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p>
    <w:p>
      <w:pPr>
        <w:spacing w:after="120" w:before="0"/>
        <w:jc w:val="center"/>
      </w:pPr>
      <w:r>
        <w:rPr>
          <w:rFonts w:ascii="Arial" w:cs="Arial" w:eastAsia="Arial" w:hAnsi="Arial"/>
          <w:b/>
          <w:bCs/>
          <w:color w:val="1F3864"/>
          <w:sz w:val="52"/>
          <w:szCs w:val="52"/>
        </w:rPr>
        <w:t xml:space="preserve">NexusTrader v1.2</w:t>
      </w:r>
    </w:p>
    <w:p>
      <w:pPr>
        <w:spacing w:after="120" w:before="0"/>
        <w:jc w:val="center"/>
      </w:pPr>
      <w:r>
        <w:rPr>
          <w:rFonts w:ascii="Arial" w:cs="Arial" w:eastAsia="Arial" w:hAnsi="Arial"/>
          <w:b/>
          <w:bCs/>
          <w:color w:val="2E75B6"/>
          <w:sz w:val="40"/>
          <w:szCs w:val="40"/>
        </w:rPr>
        <w:t xml:space="preserve">BLOCKER 4 Forensic Audit</w:t>
      </w:r>
    </w:p>
    <w:p>
      <w:pPr>
        <w:spacing w:after="360" w:before="0"/>
        <w:jc w:val="center"/>
      </w:pPr>
      <w:r>
        <w:rPr>
          <w:rFonts w:ascii="Arial" w:cs="Arial" w:eastAsia="Arial" w:hAnsi="Arial"/>
          <w:color w:val="555555"/>
          <w:sz w:val="28"/>
          <w:szCs w:val="28"/>
        </w:rPr>
        <w:t xml:space="preserve">Origin Tracing, Claims Verification &amp; Final Truth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EAF0FB" w:val="clear"/>
            <w:tcMar>
              <w:top w:type="dxa" w:w="120"/>
              <w:left w:type="dxa" w:w="200"/>
              <w:bottom w:type="dxa" w:w="120"/>
              <w:right w:type="dxa" w:w="200"/>
            </w:tcMar>
          </w:tcPr>
          <w:p>
            <w:pPr>
              <w:spacing w:after="40" w:before="0"/>
            </w:pPr>
            <w:r>
              <w:rPr>
                <w:rFonts w:ascii="Arial" w:cs="Arial" w:eastAsia="Arial" w:hAnsi="Arial"/>
                <w:b/>
                <w:bCs/>
                <w:color w:val="2E75B6"/>
                <w:sz w:val="20"/>
                <w:szCs w:val="20"/>
              </w:rPr>
              <w:t xml:space="preserve">Report Date</w:t>
            </w:r>
          </w:p>
          <w:p>
            <w:pPr>
              <w:spacing w:after="0" w:before="0"/>
            </w:pPr>
            <w:r>
              <w:rPr>
                <w:rFonts w:ascii="Arial" w:cs="Arial" w:eastAsia="Arial" w:hAnsi="Arial"/>
                <w:sz w:val="20"/>
                <w:szCs w:val="20"/>
              </w:rPr>
              <w:t xml:space="preserve">2026-03-27</w:t>
            </w:r>
          </w:p>
        </w:tc>
        <w:tc>
          <w:tcPr>
            <w:tcBorders>
              <w:top w:val="single" w:color="CCCCCC" w:sz="1"/>
              <w:left w:val="single" w:color="CCCCCC" w:sz="1"/>
              <w:bottom w:val="single" w:color="CCCCCC" w:sz="1"/>
              <w:right w:val="single" w:color="CCCCCC" w:sz="1"/>
            </w:tcBorders>
            <w:shd w:fill="EAF0FB" w:val="clear"/>
            <w:tcMar>
              <w:top w:type="dxa" w:w="120"/>
              <w:left w:type="dxa" w:w="200"/>
              <w:bottom w:type="dxa" w:w="120"/>
              <w:right w:type="dxa" w:w="200"/>
            </w:tcMar>
          </w:tcPr>
          <w:p>
            <w:pPr>
              <w:spacing w:after="40" w:before="0"/>
            </w:pPr>
            <w:r>
              <w:rPr>
                <w:rFonts w:ascii="Arial" w:cs="Arial" w:eastAsia="Arial" w:hAnsi="Arial"/>
                <w:b/>
                <w:bCs/>
                <w:color w:val="2E75B6"/>
                <w:sz w:val="20"/>
                <w:szCs w:val="20"/>
              </w:rPr>
              <w:t xml:space="preserve">System Version</w:t>
            </w:r>
          </w:p>
          <w:p>
            <w:pPr>
              <w:spacing w:after="0" w:before="0"/>
            </w:pPr>
            <w:r>
              <w:rPr>
                <w:rFonts w:ascii="Arial" w:cs="Arial" w:eastAsia="Arial" w:hAnsi="Arial"/>
                <w:sz w:val="20"/>
                <w:szCs w:val="20"/>
              </w:rPr>
              <w:t xml:space="preserve">NexusTrader v1.2  |  Session 35</w:t>
            </w:r>
          </w:p>
        </w:tc>
      </w:tr>
      <w:tr>
        <w:tc>
          <w:tcPr>
            <w:tcBorders>
              <w:top w:val="single" w:color="CCCCCC" w:sz="1"/>
              <w:left w:val="single" w:color="CCCCCC" w:sz="1"/>
              <w:bottom w:val="single" w:color="CCCCCC" w:sz="1"/>
              <w:right w:val="single" w:color="CCCCCC" w:sz="1"/>
            </w:tcBorders>
            <w:shd w:fill="EAF0FB" w:val="clear"/>
            <w:tcMar>
              <w:top w:type="dxa" w:w="120"/>
              <w:left w:type="dxa" w:w="200"/>
              <w:bottom w:type="dxa" w:w="120"/>
              <w:right w:type="dxa" w:w="200"/>
            </w:tcMar>
          </w:tcPr>
          <w:p>
            <w:pPr>
              <w:spacing w:after="40" w:before="0"/>
            </w:pPr>
            <w:r>
              <w:rPr>
                <w:rFonts w:ascii="Arial" w:cs="Arial" w:eastAsia="Arial" w:hAnsi="Arial"/>
                <w:b/>
                <w:bCs/>
                <w:color w:val="2E75B6"/>
                <w:sz w:val="20"/>
                <w:szCs w:val="20"/>
              </w:rPr>
              <w:t xml:space="preserve">Audit Scope</w:t>
            </w:r>
          </w:p>
          <w:p>
            <w:pPr>
              <w:spacing w:after="0" w:before="0"/>
            </w:pPr>
            <w:r>
              <w:rPr>
                <w:rFonts w:ascii="Arial" w:cs="Arial" w:eastAsia="Arial" w:hAnsi="Arial"/>
                <w:sz w:val="20"/>
                <w:szCs w:val="20"/>
              </w:rPr>
              <w:t xml:space="preserve">7-Phase forensic investigation</w:t>
            </w:r>
          </w:p>
        </w:tc>
        <w:tc>
          <w:tcPr>
            <w:tcBorders>
              <w:top w:val="single" w:color="CCCCCC" w:sz="1"/>
              <w:left w:val="single" w:color="CCCCCC" w:sz="1"/>
              <w:bottom w:val="single" w:color="CCCCCC" w:sz="1"/>
              <w:right w:val="single" w:color="CCCCCC" w:sz="1"/>
            </w:tcBorders>
            <w:shd w:fill="FCE4EC" w:val="clear"/>
            <w:tcMar>
              <w:top w:type="dxa" w:w="120"/>
              <w:left w:type="dxa" w:w="200"/>
              <w:bottom w:type="dxa" w:w="120"/>
              <w:right w:type="dxa" w:w="200"/>
            </w:tcMar>
          </w:tcPr>
          <w:p>
            <w:pPr>
              <w:spacing w:after="40" w:before="0"/>
            </w:pPr>
            <w:r>
              <w:rPr>
                <w:rFonts w:ascii="Arial" w:cs="Arial" w:eastAsia="Arial" w:hAnsi="Arial"/>
                <w:b/>
                <w:bCs/>
                <w:color w:val="C62828"/>
                <w:sz w:val="20"/>
                <w:szCs w:val="20"/>
              </w:rPr>
              <w:t xml:space="preserve">Prior Claim Status</w:t>
            </w:r>
          </w:p>
          <w:p>
            <w:pPr>
              <w:spacing w:after="0" w:before="0"/>
            </w:pPr>
            <w:r>
              <w:rPr>
                <w:rFonts w:ascii="Arial" w:cs="Arial" w:eastAsia="Arial" w:hAnsi="Arial"/>
                <w:b/>
                <w:bCs/>
                <w:color w:val="C62828"/>
                <w:sz w:val="20"/>
                <w:szCs w:val="20"/>
              </w:rPr>
              <w:t xml:space="preserve">"13-MONTH" CLAIM: RETRACTED</w:t>
            </w:r>
          </w:p>
        </w:tc>
      </w:tr>
    </w:tbl>
    <w:p>
      <w:pPr>
        <w:spacing w:after="0" w:before="360"/>
      </w:pPr>
    </w:p>
    <w:p>
      <w:pPr>
        <w:pStyle w:val="Heading1"/>
        <w:pBdr>
          <w:bottom w:val="single" w:color="2E75B6" w:sz="6" w:space="4"/>
        </w:pBdr>
        <w:spacing w:after="180" w:before="360"/>
      </w:pPr>
      <w:r>
        <w:rPr>
          <w:rFonts w:ascii="Arial" w:cs="Arial" w:eastAsia="Arial" w:hAnsi="Arial"/>
          <w:b/>
          <w:bCs/>
          <w:color w:val="1F3864"/>
          <w:sz w:val="32"/>
          <w:szCs w:val="32"/>
        </w:rPr>
        <w:t xml:space="preserve">Executive Summary</w:t>
      </w:r>
    </w:p>
    <w:p>
      <w:pPr>
        <w:spacing w:after="120" w:before="120"/>
      </w:pPr>
      <w:r>
        <w:rPr>
          <w:rFonts w:ascii="Arial" w:cs="Arial" w:eastAsia="Arial" w:hAnsi="Arial"/>
          <w:b w:val="false"/>
          <w:bCs w:val="false"/>
          <w:color w:val="222222"/>
          <w:sz w:val="20"/>
          <w:szCs w:val="20"/>
        </w:rPr>
        <w:t xml:space="preserve">This forensic audit was initiated after the user challenged the BLOCKER 4 backtest report, which attributed strong baseline performance numbers (CAGR≈50.8%, MaxDD≈29%, PF≈1.361) to a "13-month bull-market window." The user demanded evidence-based proof or explicit retraction.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60" w:before="0"/>
            </w:pPr>
            <w:r>
              <w:rPr>
                <w:rFonts w:ascii="Arial" w:cs="Arial" w:eastAsia="Arial" w:hAnsi="Arial"/>
                <w:b/>
                <w:bCs/>
                <w:color w:val="2E7D32"/>
                <w:sz w:val="22"/>
                <w:szCs w:val="22"/>
              </w:rPr>
              <w:t xml:space="preserve">✅ AUDIT FINDING — 13-Month Claim RETRACTED</w:t>
            </w:r>
          </w:p>
          <w:p>
            <w:pPr>
              <w:spacing w:after="0" w:before="0"/>
            </w:pPr>
            <w:r>
              <w:rPr>
                <w:rFonts w:ascii="Arial" w:cs="Arial" w:eastAsia="Arial" w:hAnsi="Arial"/>
                <w:color w:val="222222"/>
                <w:sz w:val="20"/>
                <w:szCs w:val="20"/>
              </w:rPr>
              <w:t xml:space="preserve">The prior claim is unsupported. Evidence confirms: (1) The baseline numbers came from a 4-year capital allocation study using MR+PBL+SLC strategies — a completely different system from NexusTrader v1.2. (2) Study 4 (study4_results.json) is 4 years (span_days=1437), not 13 months. (3) The "13 months" in CLAUDE.md refers to the per-model baseline period (Mar 2024 – Mar 2025), not the source of CAGR=50.8%. (4) No artifact file in the repository contains CAGR=50.8% or PF=1.361 — these values exist only in the session transcript.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after="60" w:before="0"/>
            </w:pPr>
            <w:r>
              <w:rPr>
                <w:rFonts w:ascii="Arial" w:cs="Arial" w:eastAsia="Arial" w:hAnsi="Arial"/>
                <w:b/>
                <w:bCs/>
                <w:color w:val="E65100"/>
                <w:sz w:val="22"/>
                <w:szCs w:val="22"/>
              </w:rPr>
              <w:t xml:space="preserve">✅ BLOCKER 4 VERDICT: FAILED — Correct Conclusion, Wrong Explanation</w:t>
            </w:r>
          </w:p>
          <w:p>
            <w:pPr>
              <w:spacing w:after="0" w:before="0"/>
            </w:pPr>
            <w:r>
              <w:rPr>
                <w:rFonts w:ascii="Arial" w:cs="Arial" w:eastAsia="Arial" w:hAnsi="Arial"/>
                <w:color w:val="222222"/>
                <w:sz w:val="20"/>
                <w:szCs w:val="20"/>
              </w:rPr>
              <w:t xml:space="preserve">NexusTrader v1.2 producing CAGR=-1.87%, PF=0.5794 on a 4-year backtest is correct. But the reason is NOT a 13-month bull-market window. The reason is that the 50.8%/1.361 baseline was generated by a DIFFERENT system (MR+PBL+SLC, pos_frac=20%) that has never been deployed as NexusTrader v1.2.</w:t>
            </w:r>
          </w:p>
        </w:tc>
      </w:tr>
    </w:tbl>
    <w:p>
      <w:r>
        <w:br w:type="page"/>
      </w:r>
    </w:p>
    <w:p>
      <w:pPr>
        <w:pStyle w:val="Heading1"/>
        <w:pBdr>
          <w:bottom w:val="single" w:color="2E75B6" w:sz="6" w:space="4"/>
        </w:pBdr>
        <w:spacing w:after="180" w:before="360"/>
      </w:pPr>
      <w:r>
        <w:rPr>
          <w:rFonts w:ascii="Arial" w:cs="Arial" w:eastAsia="Arial" w:hAnsi="Arial"/>
          <w:b/>
          <w:bCs/>
          <w:color w:val="1F3864"/>
          <w:sz w:val="32"/>
          <w:szCs w:val="32"/>
        </w:rPr>
        <w:t xml:space="preserve">Phase 1 &amp; 2 — Origin Tracing</w:t>
      </w:r>
    </w:p>
    <w:p>
      <w:pPr>
        <w:pStyle w:val="Heading2"/>
        <w:spacing w:after="120" w:before="240"/>
      </w:pPr>
      <w:r>
        <w:rPr>
          <w:rFonts w:ascii="Arial" w:cs="Arial" w:eastAsia="Arial" w:hAnsi="Arial"/>
          <w:b/>
          <w:bCs/>
          <w:color w:val="2E75B6"/>
          <w:sz w:val="26"/>
          <w:szCs w:val="26"/>
        </w:rPr>
        <w:t xml:space="preserve">1.1  Claim Under Audit</w:t>
      </w:r>
    </w:p>
    <w:p>
      <w:pPr>
        <w:spacing w:after="120" w:before="120"/>
      </w:pPr>
      <w:r>
        <w:rPr>
          <w:rFonts w:ascii="Arial" w:cs="Arial" w:eastAsia="Arial" w:hAnsi="Arial"/>
          <w:b w:val="false"/>
          <w:bCs w:val="false"/>
          <w:color w:val="222222"/>
          <w:sz w:val="20"/>
          <w:szCs w:val="20"/>
        </w:rPr>
        <w:t xml:space="preserve">The BLOCKER 4 report stated that the strong baseline numbers (CAGR≈50.8%, MaxDD≈29%, PF≈1.361) were produced by a "13-month study run during the 2023-2024 crypto bull market," and that the 4-year fresh backtest failure was attributable to this period mismatch. The user challenged this claim as unsubstantiated.</w:t>
      </w:r>
    </w:p>
    <w:p>
      <w:pPr>
        <w:spacing w:after="0" w:before="80"/>
      </w:pPr>
    </w:p>
    <w:p>
      <w:pPr>
        <w:pStyle w:val="Heading2"/>
        <w:spacing w:after="120" w:before="240"/>
      </w:pPr>
      <w:r>
        <w:rPr>
          <w:rFonts w:ascii="Arial" w:cs="Arial" w:eastAsia="Arial" w:hAnsi="Arial"/>
          <w:b/>
          <w:bCs/>
          <w:color w:val="2E75B6"/>
          <w:sz w:val="26"/>
          <w:szCs w:val="26"/>
        </w:rPr>
        <w:t xml:space="preserve">1.2  Artifact Search Results</w:t>
      </w:r>
    </w:p>
    <w:p>
      <w:pPr>
        <w:spacing w:after="120" w:before="120"/>
      </w:pPr>
      <w:r>
        <w:rPr>
          <w:rFonts w:ascii="Arial" w:cs="Arial" w:eastAsia="Arial" w:hAnsi="Arial"/>
          <w:b w:val="false"/>
          <w:bCs w:val="false"/>
          <w:color w:val="222222"/>
          <w:sz w:val="20"/>
          <w:szCs w:val="20"/>
        </w:rPr>
        <w:t xml:space="preserve">The following files were exhaustively searched for CAGR≈50.8%, PF≈1.361, and MaxDD≈29%:</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Artifact File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Contains 50.8%/1.361?</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Actual Top-Line Metrics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study4_results.json</w:t>
            </w:r>
          </w:p>
        </w:tc>
        <w:tc>
          <w:tcPr>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PF=2.1536, WR=54.96%, Return=302.86%, span_days=1437 (4 yr)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reports/backtest_4yr_results.json</w:t>
            </w:r>
          </w:p>
        </w:tc>
        <w:tc>
          <w:tcPr>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PF=0.652, CAGR=-1.25%, MaxDD=-8.94%</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reports/backtest_v2_final_results.json</w:t>
            </w:r>
          </w:p>
        </w:tc>
        <w:tc>
          <w:tcPr>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PF=0.5794, CAGR=-1.87%, MaxDD=-13.17%</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reports/optimization/phase5_results_*.json</w:t>
            </w:r>
          </w:p>
        </w:tc>
        <w:tc>
          <w:tcPr>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BTC-only. combined_best_MTF PF=2.976 (not 1.361)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reports/nexus_backtest_v2_results.json</w:t>
            </w:r>
          </w:p>
        </w:tc>
        <w:tc>
          <w:tcPr>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BTC-only. Best CAGR=8.91% (E_Prime__c3)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study2_results.json</w:t>
            </w:r>
          </w:p>
        </w:tc>
        <w:tc>
          <w:tcPr>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64 scenarios; none match. Closest PF=1.430 at CR2_RecovLongs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study3_results.json</w:t>
            </w:r>
          </w:p>
        </w:tc>
        <w:tc>
          <w:tcPr>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41 scenarios; verdict=READY_FOR_DEMO. None match.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regime_output/allocation_models/allocation_results.json</w:t>
            </w:r>
          </w:p>
        </w:tc>
        <w:tc>
          <w:tcPr>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Model A (MR+PBL only): CAGR=9.28%, PF=1.098</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backtest_results.json</w:t>
            </w:r>
          </w:p>
        </w:tc>
        <w:tc>
          <w:tcPr>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scenarios show null metrics (never executed)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reports/backtest_2yr/summary.txt</w:t>
            </w:r>
          </w:p>
        </w:tc>
        <w:tc>
          <w:tcPr>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Period: Mar 2024 – Mar 2025 (13 months). Portfolio PF=0.89. Per-model: TrendModel PF=1.47, MB PF=4.17</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data/backtest_results/ (3 UUID files)</w:t>
            </w:r>
          </w:p>
        </w:tc>
        <w:tc>
          <w:tcPr>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Date ranges 2026-01 to 2026-03 only (short-window runs)</w:t>
            </w:r>
          </w:p>
        </w:tc>
      </w:tr>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Session transcript (line 34339)</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YES ✔</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First appearance: capital allocation optimization table (MR+PBL+SLC system)</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after="60" w:before="0"/>
            </w:pPr>
            <w:r>
              <w:rPr>
                <w:rFonts w:ascii="Arial" w:cs="Arial" w:eastAsia="Arial" w:hAnsi="Arial"/>
                <w:b/>
                <w:bCs/>
                <w:color w:val="E65100"/>
                <w:sz w:val="22"/>
                <w:szCs w:val="22"/>
              </w:rPr>
              <w:t xml:space="preserve">⚠️  Key Finding</w:t>
            </w:r>
          </w:p>
          <w:p>
            <w:pPr>
              <w:spacing w:after="0" w:before="0"/>
            </w:pPr>
            <w:r>
              <w:rPr>
                <w:rFonts w:ascii="Arial" w:cs="Arial" w:eastAsia="Arial" w:hAnsi="Arial"/>
                <w:color w:val="222222"/>
                <w:sz w:val="20"/>
                <w:szCs w:val="20"/>
              </w:rPr>
              <w:t xml:space="preserve">CAGR=50.8%, PF=1.361, MaxDD=29.0% do NOT appear in any saved artifact file. These values exist exclusively in the session transcript at line 34339, generated by an in-session capital optimization study. No persistent file was saved for this study run.</w:t>
            </w:r>
          </w:p>
        </w:tc>
      </w:tr>
    </w:tbl>
    <w:p>
      <w:pPr>
        <w:spacing w:after="0" w:before="120"/>
      </w:pPr>
    </w:p>
    <w:p>
      <w:pPr>
        <w:pStyle w:val="Heading2"/>
        <w:spacing w:after="120" w:before="240"/>
      </w:pPr>
      <w:r>
        <w:rPr>
          <w:rFonts w:ascii="Arial" w:cs="Arial" w:eastAsia="Arial" w:hAnsi="Arial"/>
          <w:b/>
          <w:bCs/>
          <w:color w:val="2E75B6"/>
          <w:sz w:val="26"/>
          <w:szCs w:val="26"/>
        </w:rPr>
        <w:t xml:space="preserve">1.3  Session Transcript Evidence</w:t>
      </w:r>
    </w:p>
    <w:p>
      <w:pPr>
        <w:spacing w:after="120" w:before="120"/>
      </w:pPr>
      <w:r>
        <w:rPr>
          <w:rFonts w:ascii="Arial" w:cs="Arial" w:eastAsia="Arial" w:hAnsi="Arial"/>
          <w:b w:val="false"/>
          <w:bCs w:val="false"/>
          <w:color w:val="222222"/>
          <w:sz w:val="20"/>
          <w:szCs w:val="20"/>
        </w:rPr>
        <w:t xml:space="preserve">The session transcript was parsed to trace the exact origin. The following is the documented chain of evidence: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Line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Speaker</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Evidence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34317</w:t>
            </w:r>
          </w:p>
        </w:tc>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Assistant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Reports capital optimization grid results. Multi-asset portfolio study with stacking enabled. MR+PBL+SLC strategy set.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34339</w:t>
            </w:r>
          </w:p>
        </w:tc>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Assistant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Table shows: pos=20%, heat=80%, maxP=5 → PF=1.361, CAGR=50.8%, MaxDD=29.0%, N=2116. Labeled as best MaxDD≤30% configuration.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34354</w:t>
            </w:r>
          </w:p>
        </w:tc>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Assistant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Confirms row A (Model A) in capital allocation results: pos=20%, heat=80% → CAGR=50.8%, MaxDD=29.0%, PF=1.361.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34357</w:t>
            </w:r>
          </w:p>
        </w:tc>
        <w:tc>
          <w:tcPr>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"ACKNOWLEDGE AND LOCK FINAL SYSTEM... CAGR ≈ 50.8%, MaxDD ≈ 29.0%, PF ≈ 1.361. No further optimization is allowed."  User confirmed and locked these numbers as final.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34409</w:t>
            </w:r>
          </w:p>
        </w:tc>
        <w:tc>
          <w:tcPr>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Session summary references: "LOCKED FINAL CONFIG: Model A, pos_frac=20%, max_heat=80%, stacking enabled, max_positions=10, max_per_asset=3, CAGR=50.8%, MaxDD=29.0%, PF=1.361 — Backtesting scripts validated (4-year study, 2022-2026)."  Explicitly confirms 4-year period, NOT 13 months.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34411</w:t>
            </w:r>
          </w:p>
        </w:tc>
        <w:tc>
          <w:tcPr>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Assistant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Confirms: "CAGR=50.8% · MaxDD=29.0% · PF=1.361 (4-year backtest)"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34746</w:t>
            </w:r>
          </w:p>
        </w:tc>
        <w:tc>
          <w:tcPr>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BLOCKER 4 spec issued: "Expected baseline: CAGR ≈ 50.8%, MaxDD ≈ 29.0%, PF ≈ 1.361" — user requests fresh NexusTrader backtest to verify these numbers.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60" w:before="0"/>
            </w:pPr>
            <w:r>
              <w:rPr>
                <w:rFonts w:ascii="Arial" w:cs="Arial" w:eastAsia="Arial" w:hAnsi="Arial"/>
                <w:b/>
                <w:bCs/>
                <w:color w:val="2E7D32"/>
                <w:sz w:val="22"/>
                <w:szCs w:val="22"/>
              </w:rPr>
              <w:t xml:space="preserve">✅  Phase 1 &amp; 2 Conclusion</w:t>
            </w:r>
          </w:p>
          <w:p>
            <w:pPr>
              <w:spacing w:after="0" w:before="0"/>
            </w:pPr>
            <w:r>
              <w:rPr>
                <w:rFonts w:ascii="Arial" w:cs="Arial" w:eastAsia="Arial" w:hAnsi="Arial"/>
                <w:color w:val="222222"/>
                <w:sz w:val="20"/>
                <w:szCs w:val="20"/>
              </w:rPr>
              <w:t xml:space="preserve">CAGR=50.8%, MaxDD=29.0%, PF=1.361 came from an in-session 4-year capital allocation optimization study (MR+PBL+SLC strategies, Model A capital sizing). The study period is confirmed as 2022-2026 (4 years) by the user at transcript line 34409. The prior "13-month" explanation is UNSUPPORTED and is hereby RETRACTED.</w:t>
            </w:r>
          </w:p>
        </w:tc>
      </w:tr>
    </w:tbl>
    <w:p>
      <w:r>
        <w:br w:type="page"/>
      </w:r>
    </w:p>
    <w:p>
      <w:pPr>
        <w:pStyle w:val="Heading1"/>
        <w:pBdr>
          <w:bottom w:val="single" w:color="2E75B6" w:sz="6" w:space="4"/>
        </w:pBdr>
        <w:spacing w:after="180" w:before="360"/>
      </w:pPr>
      <w:r>
        <w:rPr>
          <w:rFonts w:ascii="Arial" w:cs="Arial" w:eastAsia="Arial" w:hAnsi="Arial"/>
          <w:b/>
          <w:bCs/>
          <w:color w:val="1F3864"/>
          <w:sz w:val="32"/>
          <w:szCs w:val="32"/>
        </w:rPr>
        <w:t xml:space="preserve">Phase 3 — Parameter Comparison Table</w:t>
      </w:r>
    </w:p>
    <w:p>
      <w:pPr>
        <w:pStyle w:val="Heading2"/>
        <w:spacing w:after="120" w:before="240"/>
      </w:pPr>
      <w:r>
        <w:rPr>
          <w:rFonts w:ascii="Arial" w:cs="Arial" w:eastAsia="Arial" w:hAnsi="Arial"/>
          <w:b/>
          <w:bCs/>
          <w:color w:val="2E75B6"/>
          <w:sz w:val="26"/>
          <w:szCs w:val="26"/>
        </w:rPr>
        <w:t xml:space="preserve">Baseline System vs. NexusTrader v1.2 Production</w:t>
      </w:r>
    </w:p>
    <w:p>
      <w:pPr>
        <w:spacing w:after="120" w:before="120"/>
      </w:pPr>
      <w:r>
        <w:rPr>
          <w:rFonts w:ascii="Arial" w:cs="Arial" w:eastAsia="Arial" w:hAnsi="Arial"/>
          <w:b w:val="false"/>
          <w:bCs w:val="false"/>
          <w:color w:val="222222"/>
          <w:sz w:val="20"/>
          <w:szCs w:val="20"/>
        </w:rPr>
        <w:t xml:space="preserve">The following table documents every parameter difference between the system that produced CAGR=50.8% and the NexusTrader v1.2 production configuration tested in BLOCKER 4.</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3300"/>
        <w:gridCol w:w="3300"/>
      </w:tblGrid>
      <w:tr>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3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Baseline System (50.8% CAGR)</w:t>
            </w:r>
          </w:p>
        </w:tc>
        <w:tc>
          <w:tcPr>
            <w:tcW w:type="dxa" w:w="3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NexusTrader v1.2 (BLOCKER 4 test)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Strategy set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MR (MeanReversion), PBL (PullBack Long), SLC (Short-Long Crypto)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TrendModel + MomentumBreakout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MR / MeanReversion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ARCHIVED v1.2 (PF=0.21, -$18k Study 4)</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PBL strategy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 IN PRODUCTION CODEBASE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SLC strategy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ACTIVE (bear regime)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 IN PRODUCTION CODEBASE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Position sizing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pos_frac = 20% per trade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risk_pct = 0.5%, max_cap = 4% (Phase 1 conservative)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Max portfolio heat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 (max_portfolio_heat)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Position stacking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 — up to 3 per asset, 10 total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 1 concurrent per symbol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Assets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BTC + SOL + ETH + XRP + BNB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BTC + SOL + ETH + XRP + BNB</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Timeframes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30m (MR, PBL), 1h (SLC)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30m + 4h HTF gate (v1.2 Phase 5)</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ADX threshold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 (different signal logic)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31.0 (adx_min)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Confluence threshold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0.45 (min_confluence_score)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Partial close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 specified in locked config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33% at +1R, SL moves to entry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Initial capital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$100,000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Backtest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2022-03-22 to 2026-03-21 (4 years)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2022-03-22 to 2026-03-21 (4 years)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Signal generation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Regime-segmented (MR→SIDEWAYS, PBL→BULL, SLC→BEAR)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Regime + ADX + EMA + RSI (TrendModel); Vol expansion + price break (MomentumBreakout)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CE4EC" w:val="clear"/>
            <w:tcMar>
              <w:top w:type="dxa" w:w="120"/>
              <w:left w:type="dxa" w:w="200"/>
              <w:bottom w:type="dxa" w:w="120"/>
              <w:right w:type="dxa" w:w="200"/>
            </w:tcMar>
          </w:tcPr>
          <w:p>
            <w:pPr>
              <w:spacing w:after="60" w:before="0"/>
            </w:pPr>
            <w:r>
              <w:rPr>
                <w:rFonts w:ascii="Arial" w:cs="Arial" w:eastAsia="Arial" w:hAnsi="Arial"/>
                <w:b/>
                <w:bCs/>
                <w:color w:val="C62828"/>
                <w:sz w:val="22"/>
                <w:szCs w:val="22"/>
              </w:rPr>
              <w:t xml:space="preserve">⚠️  Critical Incompatibility</w:t>
            </w:r>
          </w:p>
          <w:p>
            <w:pPr>
              <w:spacing w:after="0" w:before="0"/>
            </w:pPr>
            <w:r>
              <w:rPr>
                <w:rFonts w:ascii="Arial" w:cs="Arial" w:eastAsia="Arial" w:hAnsi="Arial"/>
                <w:color w:val="222222"/>
                <w:sz w:val="20"/>
                <w:szCs w:val="20"/>
              </w:rPr>
              <w:t xml:space="preserve">The baseline system and NexusTrader v1.2 are architecturally incompatible. They share only the asset universe and time period. The strategies, signal logic, and capital sizing are completely different. No reasonable expectation exists that NexusTrader v1.2 would reproduce the 50.8% CAGR baseline.</w:t>
            </w:r>
          </w:p>
        </w:tc>
      </w:tr>
    </w:tbl>
    <w:p>
      <w:r>
        <w:br w:type="page"/>
      </w:r>
    </w:p>
    <w:p>
      <w:pPr>
        <w:pStyle w:val="Heading1"/>
        <w:pBdr>
          <w:bottom w:val="single" w:color="2E75B6" w:sz="6" w:space="4"/>
        </w:pBdr>
        <w:spacing w:after="180" w:before="360"/>
      </w:pPr>
      <w:r>
        <w:rPr>
          <w:rFonts w:ascii="Arial" w:cs="Arial" w:eastAsia="Arial" w:hAnsi="Arial"/>
          <w:b/>
          <w:bCs/>
          <w:color w:val="1F3864"/>
          <w:sz w:val="32"/>
          <w:szCs w:val="32"/>
        </w:rPr>
        <w:t xml:space="preserve">Phase 4 — Config Drift Analysis</w:t>
      </w:r>
    </w:p>
    <w:p>
      <w:pPr>
        <w:pStyle w:val="Heading2"/>
        <w:spacing w:after="120" w:before="240"/>
      </w:pPr>
      <w:r>
        <w:rPr>
          <w:rFonts w:ascii="Arial" w:cs="Arial" w:eastAsia="Arial" w:hAnsi="Arial"/>
          <w:b/>
          <w:bCs/>
          <w:color w:val="2E75B6"/>
          <w:sz w:val="26"/>
          <w:szCs w:val="26"/>
        </w:rPr>
        <w:t xml:space="preserve">4.1  NexusTrader v1.2 Config Accuracy</w:t>
      </w:r>
    </w:p>
    <w:p>
      <w:pPr>
        <w:spacing w:after="120" w:before="120"/>
      </w:pPr>
      <w:r>
        <w:rPr>
          <w:rFonts w:ascii="Arial" w:cs="Arial" w:eastAsia="Arial" w:hAnsi="Arial"/>
          <w:b w:val="false"/>
          <w:bCs w:val="false"/>
          <w:color w:val="222222"/>
          <w:sz w:val="20"/>
          <w:szCs w:val="20"/>
        </w:rPr>
        <w:t xml:space="preserve">The fresh 4-year backtest (backtest_v2_final.py) used EXACT production config.yaml parameters. There is NO config drift between config.yaml and the test parameters.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config.yaml (production)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backtest_v2_final.py (test)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Confluence threshold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0.45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0.45  ✔</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ADX minimum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31.0  ✔</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Risk pct per trade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  ✔</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Max capital pct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4.0%  ✔</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Partial pct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0.33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0.33  ✔</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Partial R trigger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1.0R  ✔</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MTF confirmation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4h gate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4h gate enabled  ✔</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Primary timeframe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30m  ✔</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Active models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TrendModel + MomentumBreakout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TrendModel + MomentumBreakout  ✔</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Disabled models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mean_reversion, liquidity_sweep, vwap_reversion, order_book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None active in test  ✔</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60" w:before="0"/>
            </w:pPr>
            <w:r>
              <w:rPr>
                <w:rFonts w:ascii="Arial" w:cs="Arial" w:eastAsia="Arial" w:hAnsi="Arial"/>
                <w:b/>
                <w:bCs/>
                <w:color w:val="2E7D32"/>
                <w:sz w:val="22"/>
                <w:szCs w:val="22"/>
              </w:rPr>
              <w:t xml:space="preserve">✅  Phase 4 Finding</w:t>
            </w:r>
          </w:p>
          <w:p>
            <w:pPr>
              <w:spacing w:after="0" w:before="0"/>
            </w:pPr>
            <w:r>
              <w:rPr>
                <w:rFonts w:ascii="Arial" w:cs="Arial" w:eastAsia="Arial" w:hAnsi="Arial"/>
                <w:color w:val="222222"/>
                <w:sz w:val="20"/>
                <w:szCs w:val="20"/>
              </w:rPr>
              <w:t xml:space="preserve">Config drift between production config.yaml and the fresh backtest: ZERO. All parameters match exactly. Config drift is not a factor in the performance divergence.</w:t>
            </w:r>
          </w:p>
        </w:tc>
      </w:tr>
    </w:tbl>
    <w:p>
      <w:pPr>
        <w:spacing w:after="0" w:before="120"/>
      </w:pPr>
    </w:p>
    <w:p>
      <w:pPr>
        <w:pStyle w:val="Heading2"/>
        <w:spacing w:after="120" w:before="240"/>
      </w:pPr>
      <w:r>
        <w:rPr>
          <w:rFonts w:ascii="Arial" w:cs="Arial" w:eastAsia="Arial" w:hAnsi="Arial"/>
          <w:b/>
          <w:bCs/>
          <w:color w:val="2E75B6"/>
          <w:sz w:val="26"/>
          <w:szCs w:val="26"/>
        </w:rPr>
        <w:t xml:space="preserve">4.2  True Source of Performance Divergence</w:t>
      </w:r>
    </w:p>
    <w:p>
      <w:pPr>
        <w:spacing w:after="120" w:before="120"/>
      </w:pPr>
      <w:r>
        <w:rPr>
          <w:rFonts w:ascii="Arial" w:cs="Arial" w:eastAsia="Arial" w:hAnsi="Arial"/>
          <w:b w:val="false"/>
          <w:bCs w:val="false"/>
          <w:color w:val="222222"/>
          <w:sz w:val="20"/>
          <w:szCs w:val="20"/>
        </w:rPr>
        <w:t xml:space="preserve">The divergence between the 50.8% baseline and the -1.87% fresh backtest is explained entirely by the strategy and capital sizing differences documented in Phase 3:</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620"/>
        <w:gridCol w:w="1620"/>
        <w:gridCol w:w="300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Factor</w:t>
            </w:r>
          </w:p>
        </w:tc>
        <w:tc>
          <w:tcPr>
            <w:tcW w:type="dxa" w:w="16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Baseline</w:t>
            </w:r>
          </w:p>
        </w:tc>
        <w:tc>
          <w:tcPr>
            <w:tcW w:type="dxa" w:w="16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v1.2 Test</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Strategy signal quality (all 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MR+PBL+SLC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Trend+MB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Different alpha sources; no direct equivalence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Capital per trade (approx. $100k equity)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~$200-$400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50-100x less capital per trade in v1.2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Position stacking (multiplier)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Up to 10 simultaneous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Max 3 symbols x1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Baseline can deploy 5-10x more capital at once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MeanReversion contribution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$24,831 net (41% of PnL)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Archived (PF=0.21)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Primary alpha source removed in v1.2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Time period</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2022-2026 (4 years)</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2022-2026 (4 years)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IDENTICAL. Period mismatch is not a factor.</w:t>
            </w:r>
          </w:p>
        </w:tc>
      </w:tr>
    </w:tbl>
    <w:p>
      <w:r>
        <w:br w:type="page"/>
      </w:r>
    </w:p>
    <w:p>
      <w:pPr>
        <w:pStyle w:val="Heading1"/>
        <w:pBdr>
          <w:bottom w:val="single" w:color="2E75B6" w:sz="6" w:space="4"/>
        </w:pBdr>
        <w:spacing w:after="180" w:before="360"/>
      </w:pPr>
      <w:r>
        <w:rPr>
          <w:rFonts w:ascii="Arial" w:cs="Arial" w:eastAsia="Arial" w:hAnsi="Arial"/>
          <w:b/>
          <w:bCs/>
          <w:color w:val="1F3864"/>
          <w:sz w:val="32"/>
          <w:szCs w:val="32"/>
        </w:rPr>
        <w:t xml:space="preserve">Phase 5 — 4-Year Backtest Verification</w:t>
      </w:r>
    </w:p>
    <w:p>
      <w:pPr>
        <w:pStyle w:val="Heading2"/>
        <w:spacing w:after="120" w:before="240"/>
      </w:pPr>
      <w:r>
        <w:rPr>
          <w:rFonts w:ascii="Arial" w:cs="Arial" w:eastAsia="Arial" w:hAnsi="Arial"/>
          <w:b/>
          <w:bCs/>
          <w:color w:val="2E75B6"/>
          <w:sz w:val="26"/>
          <w:szCs w:val="26"/>
        </w:rPr>
        <w:t xml:space="preserve">5.1  Fresh Backtest: Confirmed Parameters &amp; Results</w:t>
      </w:r>
    </w:p>
    <w:p>
      <w:pPr>
        <w:spacing w:after="120" w:before="120"/>
      </w:pPr>
      <w:r>
        <w:rPr>
          <w:rFonts w:ascii="Arial" w:cs="Arial" w:eastAsia="Arial" w:hAnsi="Arial"/>
          <w:b w:val="false"/>
          <w:bCs w:val="false"/>
          <w:color w:val="222222"/>
          <w:sz w:val="20"/>
          <w:szCs w:val="20"/>
        </w:rPr>
        <w:t xml:space="preserve">Period: 2022-03-22 to 2026-03-21 — Duration: 4.00 years  |  Assets: BTC, ETH, SOL, XRP, BNB  |  Initial Capital: $100,000</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2120"/>
        <w:gridCol w:w="196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c>
          <w:tcPr>
            <w:tcW w:type="dxa" w:w="2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Baseline (50.8% system)</w:t>
            </w:r>
          </w:p>
        </w:tc>
        <w:tc>
          <w:tcPr>
            <w:tcW w:type="dxa" w:w="1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CAGR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-1.87%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50.8%</w:t>
            </w:r>
          </w:p>
        </w:tc>
        <w:tc>
          <w:tcPr>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FAIL ❌</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Profit Factor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0.5794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1.361</w:t>
            </w:r>
          </w:p>
        </w:tc>
        <w:tc>
          <w:tcPr>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FAIL ❌</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Max Drawdown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-13.17%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-29.0%</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BETTER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Win Rate (full closes)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31.6%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~57%</w:t>
            </w:r>
          </w:p>
        </w:tc>
        <w:tc>
          <w:tcPr>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FAIL ❌</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Total Full Trades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658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2,116</w:t>
            </w:r>
          </w:p>
        </w:tc>
        <w:tc>
          <w:tcPr>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LOWER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Total Partial Closes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354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Final Equity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$92,740.55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Total P&amp;L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-$7,259.45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Avg R (winners)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1.254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Profitable Months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 / 49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Best Month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Jan-2023: +$858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Worst Month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Feb-2025: -$3,254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bl>
    <w:p>
      <w:pPr>
        <w:spacing w:after="0" w:before="120"/>
      </w:pPr>
    </w:p>
    <w:p>
      <w:pPr>
        <w:pStyle w:val="Heading2"/>
        <w:spacing w:after="120" w:before="240"/>
      </w:pPr>
      <w:r>
        <w:rPr>
          <w:rFonts w:ascii="Arial" w:cs="Arial" w:eastAsia="Arial" w:hAnsi="Arial"/>
          <w:b/>
          <w:bCs/>
          <w:color w:val="2E75B6"/>
          <w:sz w:val="26"/>
          <w:szCs w:val="26"/>
        </w:rPr>
        <w:t xml:space="preserve">5.2  Trade-Level Verification (5 Verified Trades)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680"/>
        <w:gridCol w:w="680"/>
        <w:gridCol w:w="1560"/>
        <w:gridCol w:w="1560"/>
        <w:gridCol w:w="1000"/>
        <w:gridCol w:w="1000"/>
        <w:gridCol w:w="1200"/>
        <w:gridCol w:w="1160"/>
      </w:tblGrid>
      <w:tr>
        <w:tc>
          <w:tcPr>
            <w:tcW w:type="dxa" w:w="5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Symbol</w:t>
            </w:r>
          </w:p>
        </w:tc>
        <w:tc>
          <w:tcPr>
            <w:tcW w:type="dxa" w:w="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Side</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Entry Time</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Exit Time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Entry Px</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P&amp;L</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Exit Reason</w:t>
            </w:r>
          </w:p>
        </w:tc>
        <w:tc>
          <w:tcPr>
            <w:tcW w:type="dxa" w:w="1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Regime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2022-03-27 22:00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2022-03-28 13:30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$3,278.82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E7D32"/>
                <w:sz w:val="20"/>
                <w:szCs w:val="20"/>
              </w:rPr>
              <w:t xml:space="preserve">+$190.12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take_profit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vol_expansion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BTC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2022-03-27 21:30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2022-03-28 15:00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$46,466.29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E7D32"/>
                <w:sz w:val="20"/>
                <w:szCs w:val="20"/>
              </w:rPr>
              <w:t xml:space="preserve">+$192.91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take_profit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vol_expansion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BTC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Short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2022-04-01 05:30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2022-04-01 08:00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$44,704.32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C62828"/>
                <w:sz w:val="20"/>
                <w:szCs w:val="20"/>
              </w:rPr>
              <w:t xml:space="preserve">-$127.17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stop_loss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bear_trend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Short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2022-04-06 15:00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2022-04-06 18:00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$3,255.75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C62828"/>
                <w:sz w:val="20"/>
                <w:szCs w:val="20"/>
              </w:rPr>
              <w:t xml:space="preserve">-$6.06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stop_loss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bear_trend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Short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2024-04-13 00:00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2024-04-13 04:00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$153.08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C62828"/>
                <w:sz w:val="20"/>
                <w:szCs w:val="20"/>
              </w:rPr>
              <w:t xml:space="preserve">-$5.83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stop_loss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bear_trend</w:t>
            </w:r>
          </w:p>
        </w:tc>
      </w:tr>
    </w:tbl>
    <w:p>
      <w:pPr>
        <w:spacing w:after="0" w:before="80"/>
      </w:pPr>
    </w:p>
    <w:p>
      <w:pPr>
        <w:spacing w:after="120" w:before="120"/>
      </w:pPr>
      <w:r>
        <w:rPr>
          <w:rFonts w:ascii="Arial" w:cs="Arial" w:eastAsia="Arial" w:hAnsi="Arial"/>
          <w:b w:val="false"/>
          <w:bCs w:val="false"/>
          <w:color w:val="222222"/>
          <w:sz w:val="20"/>
          <w:szCs w:val="20"/>
        </w:rPr>
        <w:t xml:space="preserve">All 5 trades verified: proper regime assignment, valid entry/exit timestamps, correct P&amp;L direction. Trade logic aligns with TrendModel + MomentumBreakout signal definitions.</w:t>
      </w:r>
    </w:p>
    <w:p>
      <w:r>
        <w:br w:type="page"/>
      </w:r>
    </w:p>
    <w:p>
      <w:pPr>
        <w:pStyle w:val="Heading1"/>
        <w:pBdr>
          <w:bottom w:val="single" w:color="2E75B6" w:sz="6" w:space="4"/>
        </w:pBdr>
        <w:spacing w:after="180" w:before="360"/>
      </w:pPr>
      <w:r>
        <w:rPr>
          <w:rFonts w:ascii="Arial" w:cs="Arial" w:eastAsia="Arial" w:hAnsi="Arial"/>
          <w:b/>
          <w:bCs/>
          <w:color w:val="1F3864"/>
          <w:sz w:val="32"/>
          <w:szCs w:val="32"/>
        </w:rPr>
        <w:t xml:space="preserve">Phase 6 — Reconciliation</w:t>
      </w:r>
    </w:p>
    <w:p>
      <w:pPr>
        <w:pStyle w:val="Heading2"/>
        <w:spacing w:after="120" w:before="240"/>
      </w:pPr>
      <w:r>
        <w:rPr>
          <w:rFonts w:ascii="Arial" w:cs="Arial" w:eastAsia="Arial" w:hAnsi="Arial"/>
          <w:b/>
          <w:bCs/>
          <w:color w:val="2E75B6"/>
          <w:sz w:val="26"/>
          <w:szCs w:val="26"/>
        </w:rPr>
        <w:t xml:space="preserve">6.1  Why BLOCKER 4 "FAILED" — Correct Verdict, Wrong Reason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Claim</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 BLOCKER4 Report Said</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Forensic Audit Finds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Origin of 50.8%/1.361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13-month bull-market window (2023-2024)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4-year capital optimization study (MR+PBL+SLC). Transcript line 34339. NOT 13 months.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Study that produced numbers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"Study 4, 13 months"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 Study 4. A separate in-session capital allocation study. No artifact file saved.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Period of failing backtest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 years (2022-2026)  ✔</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 years (2022-2026)  ✔  Confirmed correct.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NexusTrader v1.2 CAGR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-1.87%  ✔</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-1.87%  ✔  Confirmed correct.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Reason for divergence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"Bull market window vs full 4-year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Different strategies (MR/PBL/SLC vs Trend/MB) and 40-50x different capital sizing.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FAIL verdict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CORRECT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CORRECT  ✔  NexusTrader v1.2 does not reproduce the baseline numbers from a different system.</w:t>
            </w:r>
          </w:p>
        </w:tc>
      </w:tr>
    </w:tbl>
    <w:p>
      <w:pPr>
        <w:spacing w:after="0" w:before="120"/>
      </w:pPr>
    </w:p>
    <w:p>
      <w:pPr>
        <w:pStyle w:val="Heading2"/>
        <w:spacing w:after="120" w:before="240"/>
      </w:pPr>
      <w:r>
        <w:rPr>
          <w:rFonts w:ascii="Arial" w:cs="Arial" w:eastAsia="Arial" w:hAnsi="Arial"/>
          <w:b/>
          <w:bCs/>
          <w:color w:val="2E75B6"/>
          <w:sz w:val="26"/>
          <w:szCs w:val="26"/>
        </w:rPr>
        <w:t xml:space="preserve">6.2  Study 4 Clarification</w:t>
      </w:r>
    </w:p>
    <w:p>
      <w:pPr>
        <w:spacing w:after="120" w:before="120"/>
      </w:pPr>
      <w:r>
        <w:rPr>
          <w:rFonts w:ascii="Arial" w:cs="Arial" w:eastAsia="Arial" w:hAnsi="Arial"/>
          <w:b w:val="false"/>
          <w:bCs w:val="false"/>
          <w:color w:val="222222"/>
          <w:sz w:val="20"/>
          <w:szCs w:val="20"/>
        </w:rPr>
        <w:t xml:space="preserve">Study 4 (study4_results.json) is also frequently cited in this investigation. Key facts to prevent ongoing confusion: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Study 4 Attribute</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Confirmed Value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2022-2026 (span_days = 1437, ~4 years). Generated 2026-03-21T16:38.</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Strategy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MomentumBreakout (primary) + Trend as gate_only. execution_tf="5m".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Capital config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CONSERVATIVE_1X: Return=302.86%, PF=2.1536, WR=54.96%, MaxDD=-3.93%, 675 trades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CAGR (approximate)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~40.6% annualized for CONSERVATIVE_1X (302.86% total over 4 years)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Relation to 50.8%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 the source. Study 4 uses different strategies and capital configs from the 50.8% study.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"13-month" reference in CLAUDE.md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Refers to backtest_2yr/summary.txt (Mar 2024 – Mar 2025). That report shows portfolio PF=0.89 with all models; model breakdown: TrendModel PF=1.47 WR=50.3%, MomentumBreakout PF=4.17 WR=63.5%.</w:t>
            </w:r>
          </w:p>
        </w:tc>
      </w:tr>
    </w:tbl>
    <w:p>
      <w:pPr>
        <w:spacing w:after="0" w:before="120"/>
      </w:pPr>
    </w:p>
    <w:p>
      <w:pPr>
        <w:pStyle w:val="Heading2"/>
        <w:spacing w:after="120" w:before="240"/>
      </w:pPr>
      <w:r>
        <w:rPr>
          <w:rFonts w:ascii="Arial" w:cs="Arial" w:eastAsia="Arial" w:hAnsi="Arial"/>
          <w:b/>
          <w:bCs/>
          <w:color w:val="2E75B6"/>
          <w:sz w:val="26"/>
          <w:szCs w:val="26"/>
        </w:rPr>
        <w:t xml:space="preserve">6.3  NexusTrader v1.2 Performance Root Cause Analysis</w:t>
      </w:r>
    </w:p>
    <w:p>
      <w:pPr>
        <w:spacing w:after="120" w:before="120"/>
      </w:pPr>
      <w:r>
        <w:rPr>
          <w:rFonts w:ascii="Arial" w:cs="Arial" w:eastAsia="Arial" w:hAnsi="Arial"/>
          <w:b w:val="false"/>
          <w:bCs w:val="false"/>
          <w:color w:val="222222"/>
          <w:sz w:val="20"/>
          <w:szCs w:val="20"/>
        </w:rPr>
        <w:t xml:space="preserve">The CAGR=-1.87%, PF=0.5794 result has three root causes independent of the baseline comparison: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Root Cause</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Evidence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ADX threshold too restrictive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ADX ≥31.0 with confluence 0.45 requires extreme trend conditions. TrendModel score formula: 0.15 + min(0.40, (adx-31)/31 × 0.40) reaches threshold 0.45 only at ADX≈54.25. MomentumBreakout requires vol_expansion regime (bb_ratio &gt; 2.5). Combined: very few qualifying signals.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Partial close WR drag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33% partial close at +1R moves SL to entry. All subsequent exits that hit the breakeven SL count as losses with near-zero PnL. This structurally lowers win rate compared to full-close systems. The 31.6% WR reflects this accounting, not underlying edge loss.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Conservative capital sizing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risk_pct=0.5%, max_cap=4% means position sizes are typically $200-$500 on a $100k account. P&amp;L amounts are small; transaction costs (0.04% fee + 0.05% slippage) consume a significant portion of small wins.</w:t>
            </w:r>
          </w:p>
        </w:tc>
      </w:tr>
    </w:tbl>
    <w:p>
      <w:r>
        <w:br w:type="page"/>
      </w:r>
    </w:p>
    <w:p>
      <w:pPr>
        <w:pStyle w:val="Heading1"/>
        <w:pBdr>
          <w:bottom w:val="single" w:color="2E75B6" w:sz="6" w:space="4"/>
        </w:pBdr>
        <w:spacing w:after="180" w:before="360"/>
      </w:pPr>
      <w:r>
        <w:rPr>
          <w:rFonts w:ascii="Arial" w:cs="Arial" w:eastAsia="Arial" w:hAnsi="Arial"/>
          <w:b/>
          <w:bCs/>
          <w:color w:val="1F3864"/>
          <w:sz w:val="32"/>
          <w:szCs w:val="32"/>
        </w:rPr>
        <w:t xml:space="preserve">Phase 7 — Final Truth Statement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CE4EC" w:val="clear"/>
            <w:tcMar>
              <w:top w:type="dxa" w:w="120"/>
              <w:left w:type="dxa" w:w="200"/>
              <w:bottom w:type="dxa" w:w="120"/>
              <w:right w:type="dxa" w:w="200"/>
            </w:tcMar>
          </w:tcPr>
          <w:p>
            <w:pPr>
              <w:spacing w:after="60" w:before="0"/>
            </w:pPr>
            <w:r>
              <w:rPr>
                <w:rFonts w:ascii="Arial" w:cs="Arial" w:eastAsia="Arial" w:hAnsi="Arial"/>
                <w:b/>
                <w:bCs/>
                <w:color w:val="C62828"/>
                <w:sz w:val="22"/>
                <w:szCs w:val="22"/>
              </w:rPr>
              <w:t xml:space="preserve">RETRACTION OF PRIOR CLAIM</w:t>
            </w:r>
          </w:p>
          <w:p>
            <w:pPr>
              <w:spacing w:after="0" w:before="0"/>
            </w:pPr>
            <w:r>
              <w:rPr>
                <w:rFonts w:ascii="Arial" w:cs="Arial" w:eastAsia="Arial" w:hAnsi="Arial"/>
                <w:color w:val="222222"/>
                <w:sz w:val="20"/>
                <w:szCs w:val="20"/>
              </w:rPr>
              <w:t xml:space="preserve">The following statement from the BLOCKER 4 Backtest Report is hereby formally retracted:
"This falls significantly short of the Study 4 baseline (CAGR 50.8%, PF 2.976), which was a 13-month study run during the 2023-2024 crypto bull market under different parameters."
This claim was incorrect on multiple grounds: (1) The 50.8%/1.361 numbers did not come from Study 4. (2) The period was 4 years, not 13 months. (3) Study 4 covered the full 2022-2026 period. (4) The bull-market window explanation was fabricated.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AF0FB" w:val="clear"/>
            <w:tcMar>
              <w:top w:type="dxa" w:w="120"/>
              <w:left w:type="dxa" w:w="200"/>
              <w:bottom w:type="dxa" w:w="120"/>
              <w:right w:type="dxa" w:w="200"/>
            </w:tcMar>
          </w:tcPr>
          <w:p>
            <w:pPr>
              <w:spacing w:after="60" w:before="0"/>
            </w:pPr>
            <w:r>
              <w:rPr>
                <w:rFonts w:ascii="Arial" w:cs="Arial" w:eastAsia="Arial" w:hAnsi="Arial"/>
                <w:b/>
                <w:bCs/>
                <w:color w:val="2E75B6"/>
                <w:sz w:val="22"/>
                <w:szCs w:val="22"/>
              </w:rPr>
              <w:t xml:space="preserve">✅ TRUTH STATEMENT — WHAT ACTUALLY HAPPENED</w:t>
            </w:r>
          </w:p>
          <w:p>
            <w:pPr>
              <w:spacing w:after="0" w:before="0"/>
            </w:pPr>
            <w:r>
              <w:rPr>
                <w:rFonts w:ascii="Arial" w:cs="Arial" w:eastAsia="Arial" w:hAnsi="Arial"/>
                <w:color w:val="222222"/>
                <w:sz w:val="20"/>
                <w:szCs w:val="20"/>
              </w:rPr>
              <w:t xml:space="preserve">1. The CAGR=50.8%, MaxDD=29.0%, PF=1.361 baseline numbers were generated during a prior conversation session through an in-session capital allocation optimization study. That study used three strategies (MR, PBL, SLC) with aggressive capital sizing (pos_frac=20%, max_heat=80%, stacking enabled). These numbers were confirmed as a 4-year (2022-2026) study by the user at transcript line 34409.
2. These strategies (PBL, SLC) are NOT present in the NexusTrader v1.2 production codebase. MeanReversion (MR) was ARCHIVED in v1.2 due to poor performance (PF=0.21 in Study 4). The capital sizing used in the baseline (20% per trade) is 40-50x larger than NexusTrader v1.2 production sizing (0.5% risk / 4% cap).
3. The BLOCKER 4 task asked NexusTrader v1.2 to reproduce numbers from a fundamentally different system. No reasonable expectation of match exists.
4. The FAILED verdict is correct. NexusTrader v1.2 with production config.yaml produces CAGR=-1.87%, PF=0.5794 over 4 years. This result is internally consistent, correctly parametrized, and cross-validated against FastBacktester outputs. It accurately reflects NexusTrader v1.2's performance under production conditions.
5. No further comparison to the 50.8%/1.361 baseline should be made. These numbers are not a valid benchmark for NexusTrader v1.2.</w:t>
            </w:r>
          </w:p>
        </w:tc>
      </w:tr>
    </w:tbl>
    <w:p>
      <w:pPr>
        <w:spacing w:after="0" w:before="120"/>
      </w:pPr>
    </w:p>
    <w:p>
      <w:pPr>
        <w:pStyle w:val="Heading2"/>
        <w:spacing w:after="120" w:before="240"/>
      </w:pPr>
      <w:r>
        <w:rPr>
          <w:rFonts w:ascii="Arial" w:cs="Arial" w:eastAsia="Arial" w:hAnsi="Arial"/>
          <w:b/>
          <w:bCs/>
          <w:color w:val="2E75B6"/>
          <w:sz w:val="26"/>
          <w:szCs w:val="26"/>
        </w:rPr>
        <w:t xml:space="preserve">7.1  System Approval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4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Check</w:t>
            </w:r>
          </w:p>
        </w:tc>
        <w:tc>
          <w:tcPr>
            <w:tcW w:type="dxa" w:w="2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4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Prior 13-month claim resolved</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 RETRACTED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Claim was unsupported. Origin confirmed as 4-yr study, different system.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50.8%/1.361 origin identified</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 CONFIRMED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Transcript line 34339. MR+PBL+SLC capital optimization.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Baseline validity for v1.2</w:t>
            </w:r>
          </w:p>
        </w:tc>
        <w:tc>
          <w:tcPr>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 INVALID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Different strategies, different sizing. Not a valid NexusTrader benchmark.</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Fresh 4yr backtest valid</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 VALID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CAGR=-1.87%, PF=0.5794, exact config.yaml params. Zero config drift confirmed.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NexusTrader v1.2 profitability</w:t>
            </w:r>
          </w:p>
        </w:tc>
        <w:tc>
          <w:tcPr>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 NOT YET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4yr backtest PF=0.5794 &lt; 1.0. Demo trading currently in Phase 1 (50+ trade evaluation window).</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Demo trading approved</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 YES (Phase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1 demo with 0.5% risk / 4% cap is active and appropriate. Backtest result does not block demo.</w:t>
            </w:r>
          </w:p>
        </w:tc>
      </w:tr>
    </w:tbl>
    <w:p>
      <w:pPr>
        <w:spacing w:after="0" w:before="120"/>
      </w:pPr>
    </w:p>
    <w:p>
      <w:pPr>
        <w:pStyle w:val="Heading2"/>
        <w:spacing w:after="120" w:before="240"/>
      </w:pPr>
      <w:r>
        <w:rPr>
          <w:rFonts w:ascii="Arial" w:cs="Arial" w:eastAsia="Arial" w:hAnsi="Arial"/>
          <w:b/>
          <w:bCs/>
          <w:color w:val="2E75B6"/>
          <w:sz w:val="26"/>
          <w:szCs w:val="26"/>
        </w:rPr>
        <w:t xml:space="preserve">7.2  Recommended Actions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6240"/>
      </w:tblGrid>
      <w:tr>
        <w:tc>
          <w:tcPr>
            <w:tcW w:type="dxa" w:w="5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Remove 50.8%/1.361 as benchmark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These numbers are from a different system. Using them as NexusTrader v1.2 targets creates category error. Remove from all future reports and CLAUDE.md.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Update CLAUDE.md backtest table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Correct the column heading that says "Study 4, 13 months." Study 4 is 4 years. The 13-month period refers to backtest_2yr/summary.txt, not Study 4.</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Continue Phase 1 demo trading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conservative 0.5%/4% sizing is appropriate for the evaluation window. Evaluate after 50+ trades against backtest_2yr per-model baselines (TrendModel PF≥1.10, MB PF≥3.63).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Archive BLOCKER4 report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BLOCKER4 Backtest Report is superseded by this forensic audit. Keep it as historical record but do not use its conclusions.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Re-examine MR/PBL/SLC potential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If the 50.8% system is of interest, that would require a NEW project: implement PBL and SLC in NexusTrader, re-test MeanReversion with current data, and accept Phase 2+ capital sizing (20% pos). Not a v1.2 action item.</w:t>
            </w:r>
          </w:p>
        </w:tc>
      </w:tr>
    </w:tbl>
    <w:p>
      <w:pPr>
        <w:spacing w:after="0" w:before="200"/>
      </w:pPr>
    </w:p>
    <w:p>
      <w:pPr>
        <w:pBdr>
          <w:top w:val="single" w:color="CCCCCC" w:sz="4" w:space="4"/>
        </w:pBdr>
        <w:spacing w:after="0" w:before="160"/>
        <w:jc w:val="center"/>
      </w:pPr>
      <w:r>
        <w:rPr>
          <w:rFonts w:ascii="Arial" w:cs="Arial" w:eastAsia="Arial" w:hAnsi="Arial"/>
          <w:color w:val="888888"/>
          <w:sz w:val="18"/>
          <w:szCs w:val="18"/>
        </w:rPr>
        <w:t xml:space="preserve">NexusTrader v1.2  |  BLOCKER 4 Forensic Audit  |  2026-03-27  |  Report Status: FINAL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spacing w:after="0" w:before="80"/>
    </w:pPr>
    <w:r>
      <w:rPr>
        <w:rFonts w:ascii="Arial" w:cs="Arial" w:eastAsia="Arial" w:hAnsi="Arial"/>
        <w:color w:val="888888"/>
        <w:sz w:val="16"/>
        <w:szCs w:val="16"/>
      </w:rPr>
      <w:t xml:space="preserve">NexusTrader v1.2  |  Forensic Audit Report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360"/>
      </w:tabs>
      <w:spacing w:after="80" w:before="0"/>
    </w:pPr>
    <w:r>
      <w:rPr>
        <w:rFonts w:ascii="Arial" w:cs="Arial" w:eastAsia="Arial" w:hAnsi="Arial"/>
        <w:color w:val="888888"/>
        <w:sz w:val="18"/>
        <w:szCs w:val="18"/>
      </w:rPr>
      <w:t xml:space="preserve">NexusTrader  |  BLOCKER 4 Forensic Audit  |  CONFIDENTIAL</w:t>
    </w:r>
    <w:r>
      <w:rPr>
        <w:rFonts w:ascii="Arial" w:cs="Arial" w:eastAsia="Arial" w:hAnsi="Arial"/>
        <w:color w:val="888888"/>
        <w:sz w:val="18"/>
        <w:szCs w:val="18"/>
      </w:rPr>
      <w:t xml:space="preserve">	2026-03-27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32"/>
      <w:szCs w:val="32"/>
    </w:rPr>
  </w:style>
  <w:style w:type="paragraph" w:styleId="Heading2">
    <w:name w:val="Heading 2"/>
    <w:basedOn w:val="Normal"/>
    <w:next w:val="Normal"/>
    <w:qFormat/>
    <w:pPr>
      <w:outlineLvl w:val="1"/>
    </w:pPr>
    <w:rPr>
      <w:rFonts w:ascii="Arial" w:cs="Arial" w:eastAsia="Arial" w:hAnsi="Arial"/>
      <w:b/>
      <w:bCs/>
      <w:color w:val="2E75B6"/>
      <w:sz w:val="26"/>
      <w:szCs w:val="26"/>
    </w:rPr>
  </w:style>
  <w:style w:type="paragraph" w:styleId="Heading3">
    <w:name w:val="Heading 3"/>
    <w:basedOn w:val="Normal"/>
    <w:next w:val="Normal"/>
    <w:qFormat/>
    <w:pPr>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2026-03-27T22:19:50.138Z</dcterms:created>
  <dcterms:modified xsi:type="dcterms:W3CDTF">2026-03-27T22:19:50.139Z</dcterms:modified>
</cp:coreProperties>
</file>

<file path=docProps/custom.xml><?xml version="1.0" encoding="utf-8"?>
<Properties xmlns="http://schemas.openxmlformats.org/officeDocument/2006/custom-properties" xmlns:vt="http://schemas.openxmlformats.org/officeDocument/2006/docPropsVTypes"/>
</file>