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jc w:val="center"/>
      </w:pPr>
      <w:r>
        <w:rPr>
          <w:rFonts w:ascii="Arial" w:cs="Arial" w:eastAsia="Arial" w:hAnsi="Arial"/>
          <w:b/>
          <w:bCs/>
          <w:color w:val="1B3A5C"/>
          <w:sz w:val="40"/>
          <w:szCs w:val="40"/>
        </w:rPr>
        <w:t xml:space="preserve">NEXUS TRADER</w:t>
      </w:r>
    </w:p>
    <w:p>
      <w:pPr>
        <w:spacing w:after="200"/>
        <w:jc w:val="center"/>
      </w:pPr>
      <w:r>
        <w:rPr>
          <w:rFonts w:ascii="Arial" w:cs="Arial" w:eastAsia="Arial" w:hAnsi="Arial"/>
          <w:color w:val="2E5E8E"/>
          <w:sz w:val="30"/>
          <w:szCs w:val="30"/>
        </w:rPr>
        <w:t xml:space="preserve">Phase 3 — Production Hardening</w:t>
      </w:r>
    </w:p>
    <w:p>
      <w:pPr>
        <w:spacing w:after="60"/>
        <w:jc w:val="center"/>
      </w:pPr>
      <w:r>
        <w:rPr>
          <w:rFonts w:ascii="Arial" w:cs="Arial" w:eastAsia="Arial" w:hAnsi="Arial"/>
          <w:color w:val="3C7AB5"/>
          <w:sz w:val="26"/>
          <w:szCs w:val="26"/>
        </w:rPr>
        <w:t xml:space="preserve">Proof Report</w:t>
      </w:r>
    </w:p>
    <w:p>
      <w:pPr>
        <w:spacing w:after="400"/>
        <w:jc w:val="center"/>
      </w:pPr>
      <w:r>
        <w:rPr>
          <w:rFonts w:ascii="Arial" w:cs="Arial" w:eastAsia="Arial" w:hAnsi="Arial"/>
          <w:color w:val="888888"/>
          <w:sz w:val="22"/>
          <w:szCs w:val="22"/>
        </w:rPr>
        <w:t xml:space="preserve">Session 51 — 2026-03-29</w:t>
      </w:r>
    </w:p>
    <w:p>
      <w:pPr>
        <w:pStyle w:val="Heading1"/>
      </w:pPr>
      <w:r>
        <w:t xml:space="preserve">Executive Summary</w:t>
      </w:r>
    </w:p>
    <w:p>
      <w:pPr>
        <w:spacing w:after="120"/>
      </w:pPr>
      <w:r>
        <w:rPr>
          <w:rFonts w:ascii="Arial" w:cs="Arial" w:eastAsia="Arial" w:hAnsi="Arial"/>
          <w:sz w:val="22"/>
          <w:szCs w:val="22"/>
        </w:rPr>
        <w:t xml:space="preserve">Phase 3 implements seven production hardening modules across the LiveExecutor, OrderRouter, ExchangeManager, CrashDefenseController, MetricsService, and RiskGate. The primary goal is to make the live execution path deterministic, resilient to exchange failures, and auditable. All seven modules are complete with 51 dedicated tests and zero regressions across Phase 1, Phase 2, and Phase 3 test suites (246 combined tests passing).</w:t>
      </w:r>
    </w:p>
    <w:p>
      <w:pPr>
        <w:pStyle w:val="Heading1"/>
      </w:pPr>
      <w:r>
        <w:t xml:space="preserve">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560"/>
        <w:gridCol w:w="16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Order Execution Safety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 state machine, exchange_call() timeout wrapper, JSON debounce, destructive action audit log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 Resilience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ExchangeManager retry/backoff, degraded state, health_check(), connectivity gate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Thread Safety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OrderRouter Lock + candidate validation, adjust_stop/adjust_target lock scope, regime whitelist constant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CrashDefense Contract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Replace _positions private access with get_open_positions() public API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GUI Contract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MetricsService null-safe executor access, public API for capital/stats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RiskGate Fix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Move regime variable before calibrator block to prevent NameError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DONE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Suite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 targeted tests (14 classes) + Phase 1/2 fixture updates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DONE</w:t>
            </w:r>
          </w:p>
        </w:tc>
      </w:tr>
    </w:tbl>
    <w:p>
      <w:pPr>
        <w:spacing w:after="120"/>
      </w:pPr>
      <w:r>
        <w:rPr>
          <w:rFonts w:ascii="Arial" w:cs="Arial" w:eastAsia="Arial" w:hAnsi="Arial"/>
          <w:sz w:val="22"/>
          <w:szCs w:val="22"/>
        </w:rPr>
        <w:t xml:space="preserve"/>
      </w:r>
    </w:p>
    <w:p>
      <w:r>
        <w:br w:type="page"/>
      </w:r>
    </w:p>
    <w:p>
      <w:pPr>
        <w:pStyle w:val="Heading1"/>
      </w:pPr>
      <w:r>
        <w:t xml:space="preserve">Module 1: Order Execution Safety</w:t>
      </w:r>
    </w:p>
    <w:p>
      <w:pPr>
        <w:pStyle w:val="Heading2"/>
      </w:pPr>
      <w:r>
        <w:t xml:space="preserve">Position Close State Machine</w:t>
      </w:r>
    </w:p>
    <w:p>
      <w:pPr>
        <w:spacing w:after="120"/>
      </w:pPr>
      <w:r>
        <w:rPr>
          <w:rFonts w:ascii="Arial" w:cs="Arial" w:eastAsia="Arial" w:hAnsi="Arial"/>
          <w:sz w:val="22"/>
          <w:szCs w:val="22"/>
        </w:rPr>
        <w:t xml:space="preserve">Every position now tracks a deterministic close lifecycle. The position is never removed from local state until close is confirmed on the exchange. This eliminates position orphaning where a close order fails mid-flight but the position disappears from the trader’s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close_requested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 or system initiates close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Set close_status, save JSON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close_requested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close_pending</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 order submitted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Await confirmation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close_pending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 confirms fill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Remove from _positions, record trade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close_pending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close_failed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Timeout or exchange error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Position stays, visible for retry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close_failed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 restart (recovery)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Reset to open, log reconciliation issue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On restart, stale close states are recovered: close_pending and close_requested positions are reset to open with a reconciliation issue logged. close_failed positions are also reset to open. Positions marked closed are removed from state.</w:t>
      </w:r>
    </w:p>
    <w:p>
      <w:pPr>
        <w:pStyle w:val="Heading2"/>
      </w:pPr>
      <w:r>
        <w:t xml:space="preserve">exchange_call() Wrapper</w:t>
      </w:r>
    </w:p>
    <w:p>
      <w:pPr>
        <w:spacing w:after="120"/>
      </w:pPr>
      <w:r>
        <w:rPr>
          <w:rFonts w:ascii="Arial" w:cs="Arial" w:eastAsia="Arial" w:hAnsi="Arial"/>
          <w:sz w:val="22"/>
          <w:szCs w:val="22"/>
        </w:rPr>
        <w:t xml:space="preserve">All CCXT exchange calls now go through a centralized exchange_call() function that enforces config-driven timeouts via a single-use ThreadPoolExecutor. The executor is always shut down in a finally block with cancel_futures=True, preventing thread leaks even on timeout. Two timeout classes exist: order_timeout (20s default) for trade-critical operations and data_timeout (10s default) for balance/position queries.</w:t>
      </w:r>
    </w:p>
    <w:p>
      <w:pPr>
        <w:spacing w:after="120"/>
      </w:pPr>
      <w:r>
        <w:rPr>
          <w:rFonts w:ascii="Arial" w:cs="Arial" w:eastAsia="Arial" w:hAnsi="Arial"/>
          <w:sz w:val="22"/>
          <w:szCs w:val="22"/>
        </w:rPr>
        <w:t xml:space="preserve">Wrapped calls include: create_market_order (entry and close), fetch_balance (USDT free and total equity), fetch_positions (verification), and close_residual.</w:t>
      </w:r>
    </w:p>
    <w:p>
      <w:pPr>
        <w:pStyle w:val="Heading2"/>
      </w:pPr>
      <w:r>
        <w:t xml:space="preserve">JSON Write Debouncing</w:t>
      </w:r>
    </w:p>
    <w:p>
      <w:pPr>
        <w:spacing w:after="120"/>
      </w:pPr>
      <w:r>
        <w:rPr>
          <w:rFonts w:ascii="Arial" w:cs="Arial" w:eastAsia="Arial" w:hAnsi="Arial"/>
          <w:sz w:val="22"/>
          <w:szCs w:val="22"/>
        </w:rPr>
        <w:t xml:space="preserve">Position JSON saves are now debounced with a configurable interval (default 1.0s). A _json_dirty flag tracks pending writes. Critical events (position open, position close, stop/target adjustment, kill switch activation, critical state change) bypass debouncing via force=True, ensuring no data loss for important state transitions while eliminating unnecessary I/O during rapid tick updates.</w:t>
      </w:r>
    </w:p>
    <w:p>
      <w:pPr>
        <w:pStyle w:val="Heading2"/>
      </w:pPr>
      <w:r>
        <w:t xml:space="preserve">Destructive Action Audit Log</w:t>
      </w:r>
    </w:p>
    <w:p>
      <w:pPr>
        <w:spacing w:after="120"/>
      </w:pPr>
      <w:r>
        <w:rPr>
          <w:rFonts w:ascii="Arial" w:cs="Arial" w:eastAsia="Arial" w:hAnsi="Arial"/>
          <w:sz w:val="22"/>
          <w:szCs w:val="22"/>
        </w:rPr>
        <w:t xml:space="preserve">All destructive operations (close_all, close_all_longs, move_all_longs_to_breakeven, kill switch activation) are recorded in an in-memory audit log with timestamp, action name, detail string, result, reason, current mode, and state_version. The log is capped at 200 entries with FIFO eviction. This provides a forensic trail for post-incident analysis.</w:t>
      </w:r>
    </w:p>
    <w:p>
      <w:pPr>
        <w:pStyle w:val="Heading1"/>
      </w:pPr>
      <w:r>
        <w:t xml:space="preserve">Module 2: Exchange Resilience</w:t>
      </w:r>
    </w:p>
    <w:p>
      <w:pPr>
        <w:spacing w:after="120"/>
      </w:pPr>
      <w:r>
        <w:rPr>
          <w:rFonts w:ascii="Arial" w:cs="Arial" w:eastAsia="Arial" w:hAnsi="Arial"/>
          <w:sz w:val="22"/>
          <w:szCs w:val="22"/>
        </w:rPr>
        <w:t xml:space="preserve">ExchangeManager.load_active_exchange() now implements retry with exponential backoff. On connection failure, it retries up to connection_retry_attempts (default 3) with increasing delays (2s, 4s, 8s). If all retries fail, the exchange enters a visible degraded state that blocks all trading via _pre_trade_check().</w:t>
      </w:r>
    </w:p>
    <w:p>
      <w:pPr>
        <w:spacing w:after="120"/>
      </w:pPr>
      <w:r>
        <w:rPr>
          <w:rFonts w:ascii="Arial" w:cs="Arial" w:eastAsia="Arial" w:hAnsi="Arial"/>
          <w:sz w:val="22"/>
          <w:szCs w:val="22"/>
        </w:rPr>
        <w:t xml:space="preserve">A new health_check() method returns a diagnostic dict with connection status, degraded state, last fetch age, latency, and mode. This powers the System Health GUI page without reaching into private state.</w:t>
      </w:r>
    </w:p>
    <w:p>
      <w:pPr>
        <w:pStyle w:val="Heading2"/>
      </w:pPr>
      <w:r>
        <w:t xml:space="preserve">Config-Driven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exchange.order_timeout_seconds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Timeout for create_market_order / close calls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exchange.data_timeout_seconds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Timeout for fetch_balance / fetch_positions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exchange.connection_retry_attempts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 retries for exchange connection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exchange.connection_backoff_seconds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backoff (exponential: 2, 4, 8s)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exchange.json_debounce_seconds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 interval between JSON position writes</w:t>
            </w:r>
          </w:p>
        </w:tc>
      </w:tr>
    </w:tbl>
    <w:p>
      <w:pPr>
        <w:spacing w:after="120"/>
      </w:pPr>
      <w:r>
        <w:rPr>
          <w:rFonts w:ascii="Arial" w:cs="Arial" w:eastAsia="Arial" w:hAnsi="Arial"/>
          <w:sz w:val="22"/>
          <w:szCs w:val="22"/>
        </w:rPr>
        <w:t xml:space="preserve"/>
      </w:r>
    </w:p>
    <w:p>
      <w:r>
        <w:br w:type="page"/>
      </w:r>
    </w:p>
    <w:p>
      <w:pPr>
        <w:pStyle w:val="Heading1"/>
      </w:pPr>
      <w:r>
        <w:t xml:space="preserve">Module 3: Thread Safety</w:t>
      </w:r>
    </w:p>
    <w:p>
      <w:pPr>
        <w:pStyle w:val="Heading2"/>
      </w:pPr>
      <w:r>
        <w:t xml:space="preserve">OrderRouter Serialization</w:t>
      </w:r>
    </w:p>
    <w:p>
      <w:pPr>
        <w:spacing w:after="120"/>
      </w:pPr>
      <w:r>
        <w:rPr>
          <w:rFonts w:ascii="Arial" w:cs="Arial" w:eastAsia="Arial" w:hAnsi="Arial"/>
          <w:sz w:val="22"/>
          <w:szCs w:val="22"/>
        </w:rPr>
        <w:t xml:space="preserve">OrderRouter.submit() now acquires a threading.Lock before executing submission logic. This prevents race conditions when multiple scan workers attempt to submit candidates concurrently. The lock is held only during the _submit_inner() call, not during validation.</w:t>
      </w:r>
    </w:p>
    <w:p>
      <w:pPr>
        <w:pStyle w:val="Heading2"/>
      </w:pPr>
      <w:r>
        <w:t xml:space="preserve">Candidate Validation</w:t>
      </w:r>
    </w:p>
    <w:p>
      <w:pPr>
        <w:spacing w:after="120"/>
      </w:pPr>
      <w:r>
        <w:rPr>
          <w:rFonts w:ascii="Arial" w:cs="Arial" w:eastAsia="Arial" w:hAnsi="Arial"/>
          <w:sz w:val="22"/>
          <w:szCs w:val="22"/>
        </w:rPr>
        <w:t xml:space="preserve">A new _validate_candidate() method checks symbol (non-empty string), side (buy or sell), position_size_usdt (positive number), stop_loss_price (positive number), and take_profit_price (positive number) before any submission proceeds. Invalid candidates are rejected with a descriptive error logged.</w:t>
      </w:r>
    </w:p>
    <w:p>
      <w:pPr>
        <w:pStyle w:val="Heading2"/>
      </w:pPr>
      <w:r>
        <w:t xml:space="preserve">Lock Scope Expansion</w:t>
      </w:r>
    </w:p>
    <w:p>
      <w:pPr>
        <w:spacing w:after="120"/>
      </w:pPr>
      <w:r>
        <w:rPr>
          <w:rFonts w:ascii="Arial" w:cs="Arial" w:eastAsia="Arial" w:hAnsi="Arial"/>
          <w:sz w:val="22"/>
          <w:szCs w:val="22"/>
        </w:rPr>
        <w:t xml:space="preserve">adjust_stop() and adjust_target() previously acquired the lock, read the position, released the lock, then modified the position. This created a TOCTOU window where another thread could close the position between read and write. Both methods now hold the lock for the entire read-modify-write cycle, followed by a force JSON flush outside the lock.</w:t>
      </w:r>
    </w:p>
    <w:p>
      <w:pPr>
        <w:pStyle w:val="Heading2"/>
      </w:pPr>
      <w:r>
        <w:t xml:space="preserve">Regime Whitelist Constant</w:t>
      </w:r>
    </w:p>
    <w:p>
      <w:pPr>
        <w:spacing w:after="120"/>
      </w:pPr>
      <w:r>
        <w:rPr>
          <w:rFonts w:ascii="Arial" w:cs="Arial" w:eastAsia="Arial" w:hAnsi="Arial"/>
          <w:sz w:val="22"/>
          <w:szCs w:val="22"/>
        </w:rPr>
        <w:t xml:space="preserve">The auto-execution regime whitelist default was previously duplicated across set_auto_execute() and __init__(). It is now defined once as _DEFAULT_REGIME_WHITELIST class constant, eliminating drift between the two definitions.</w:t>
      </w:r>
    </w:p>
    <w:p>
      <w:pPr>
        <w:pStyle w:val="Heading1"/>
      </w:pPr>
      <w:r>
        <w:t xml:space="preserve">Module 4: CrashDefense Contract</w:t>
      </w:r>
    </w:p>
    <w:p>
      <w:pPr>
        <w:spacing w:after="120"/>
      </w:pPr>
      <w:r>
        <w:rPr>
          <w:rFonts w:ascii="Arial" w:cs="Arial" w:eastAsia="Arial" w:hAnsi="Arial"/>
          <w:sz w:val="22"/>
          <w:szCs w:val="22"/>
        </w:rPr>
        <w:t xml:space="preserve">CrashDefenseController._apply_defensive_tier2() previously accessed executor._positions directly to iterate open long positions for partial close. This coupled CrashDefenseController to LiveExecutor internals and would break if position storage changed. The fix replaces self._executor._positions.items() with self._executor.get_open_positions(), which returns a list of dicts via the public API. The iteration now checks pos_dict.get("side") == "buy" instead of pos.side == "buy".</w:t>
      </w:r>
    </w:p>
    <w:p>
      <w:pPr>
        <w:pStyle w:val="Heading1"/>
      </w:pPr>
      <w:r>
        <w:t xml:space="preserve">Module 5: GUI Contract</w:t>
      </w:r>
    </w:p>
    <w:p>
      <w:pPr>
        <w:spacing w:after="120"/>
      </w:pPr>
      <w:r>
        <w:rPr>
          <w:rFonts w:ascii="Arial" w:cs="Arial" w:eastAsia="Arial" w:hAnsi="Arial"/>
          <w:sz w:val="22"/>
          <w:szCs w:val="22"/>
        </w:rPr>
        <w:t xml:space="preserve">MetricsService._get_executor() is now null-safe, returning None instead of propagating ImportError or AttributeError. All public methods (get_snapshot, get_closed_trades, get_open_positions, get_stats, get_initial_capital, get_current_capital, get_state_version) handle None executor gracefully with appropriate defaults (empty list, empty dict, 0.0, 0).</w:t>
      </w:r>
    </w:p>
    <w:p>
      <w:pPr>
        <w:spacing w:after="120"/>
      </w:pPr>
      <w:r>
        <w:rPr>
          <w:rFonts w:ascii="Arial" w:cs="Arial" w:eastAsia="Arial" w:hAnsi="Arial"/>
          <w:sz w:val="22"/>
          <w:szCs w:val="22"/>
        </w:rPr>
        <w:t xml:space="preserve">get_initial_capital() and get_current_capital() now prefer the public API (get_stats() dict, available_capital property) over private attributes (_initial_capital, _initial_usdt, _capital). Private attribute access is retained only as a backward-compatibility fallback for PaperExecutor.</w:t>
      </w:r>
    </w:p>
    <w:p>
      <w:pPr>
        <w:pStyle w:val="Heading1"/>
      </w:pPr>
      <w:r>
        <w:t xml:space="preserve">Module 6: RiskGate Fix</w:t>
      </w:r>
    </w:p>
    <w:p>
      <w:pPr>
        <w:spacing w:after="120"/>
      </w:pPr>
      <w:r>
        <w:rPr>
          <w:rFonts w:ascii="Arial" w:cs="Arial" w:eastAsia="Arial" w:hAnsi="Arial"/>
          <w:sz w:val="22"/>
          <w:szCs w:val="22"/>
        </w:rPr>
        <w:t xml:space="preserve">RiskGate.evaluate() previously defined the regime variable inside a try block that could throw an exception in the calibrator path. If the calibrator failed, regime was undefined when referenced later, causing a NameError. The fix moves regime = candidate.regime.lower() if candidate.regime else "" to before the calibrator try block, ensuring it is always defined regardless of calibrator success.</w:t>
      </w:r>
    </w:p>
    <w:p>
      <w:r>
        <w:br w:type="page"/>
      </w:r>
    </w:p>
    <w:p>
      <w:pPr>
        <w:pStyle w:val="Heading1"/>
      </w:pPr>
      <w:r>
        <w:t xml:space="preserve">Module 7: Test Suite</w:t>
      </w:r>
    </w:p>
    <w:p>
      <w:pPr>
        <w:pStyle w:val="Heading2"/>
      </w:pPr>
      <w:r>
        <w:t xml:space="preserve">Phase 3 Dedicated Tests</w:t>
      </w:r>
    </w:p>
    <w:p>
      <w:pPr>
        <w:spacing w:after="120"/>
      </w:pPr>
      <w:r>
        <w:rPr>
          <w:rFonts w:ascii="Arial" w:cs="Arial" w:eastAsia="Arial" w:hAnsi="Arial"/>
          <w:sz w:val="22"/>
          <w:szCs w:val="22"/>
        </w:rPr>
        <w:t xml:space="preserve">51 test methods across 14 test classes in test_phase3_production_hardening.py cover all 7 modules. Tests verify the close state machine, JSON debounce logic, audit logging, exchange_call timeout, ExchangeManager health check and degraded state, OrderRouter lock type, candidate validation (valid and invalid cases), regime whitelist, CrashDefense public API usage, MetricsService null guards, RiskGate regime ordering (via AST inspection), and cross-module integration scenarios.</w:t>
      </w:r>
    </w:p>
    <w:p>
      <w:pPr>
        <w:pStyle w:val="Heading2"/>
      </w:pPr>
      <w:r>
        <w:t xml:space="preserve">Fixture Updates</w:t>
      </w:r>
    </w:p>
    <w:p>
      <w:pPr>
        <w:spacing w:after="120"/>
      </w:pPr>
      <w:r>
        <w:rPr>
          <w:rFonts w:ascii="Arial" w:cs="Arial" w:eastAsia="Arial" w:hAnsi="Arial"/>
          <w:sz w:val="22"/>
          <w:szCs w:val="22"/>
        </w:rPr>
        <w:t xml:space="preserve">Phase 1, Phase 2, and Phase 2 GUI test suites used object.__new__(LiveExecutor) or MagicMock to bypass __init__(). These fixtures lacked Phase 3 attributes (_kill_switch_active, _safety_action_cooldowns, _json_last_write, _json_debounce_s, _json_dirty, _destructive_action_log, _exchange_connected, _state_version, _SAFETY_COOLDOWN_SECONDS, _safety_action_log). All fixtures were updated to include these attributes. Additionally, two MagicMock-based tests needed check_safety_action_rate_limit explicitly set to return False since MagicMock auto-generated methods return truthy MagicMock objects.</w:t>
      </w:r>
    </w:p>
    <w:p>
      <w:pPr>
        <w:pStyle w:val="Heading2"/>
      </w:pPr>
      <w:r>
        <w:t xml:space="preserve">Regression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200"/>
        <w:gridCol w:w="17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Suite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Passed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Failed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Skipped</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Errors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3 (new)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51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6600"/>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1 (live executor)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70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6600"/>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1 review fixes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6600"/>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2 fixes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49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6600"/>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2 GUI wiring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33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6600"/>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regression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600"/>
                <w:sz w:val="20"/>
                <w:szCs w:val="20"/>
              </w:rPr>
              <w:t xml:space="preserve">1870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30 remaining failures are pre-existing (indicator contract changes, feedparser detection, research lab data registry, TrendModel/DonchianBreakout model list additions, symbol allocator import check). The 110 errors are all ModuleNotFoundError for ccxt, torch, or sqlalchemy in the sandbox environment. Zero Phase 3 regressions.</w:t>
      </w:r>
    </w:p>
    <w:p>
      <w:pPr>
        <w:pStyle w:val="Heading1"/>
      </w:pPr>
      <w: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360"/>
        <w:gridCol w:w="300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core/execution/live_executor.py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M1, M3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core/execution/exchange_call.py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core/execution/order_router.py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core/execution/metrics_service.py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core/market_data/exchange_manager.py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core/risk/crash_defense_controller.py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core/risk/risk_gate.py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config/settings.py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M1, M2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tests/unit/test_phase3_production_hardening.py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Created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M7</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tests/unit/test_phase1_live_executor.py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M7 (fixtures)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tests/unit/test_phase1_review_fixes.py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M7 (fixtures)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tests/unit/test_phase2_fixes.py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M7 (fixtures)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tests/unit/test_phase2_gui_wiring.py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Modified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M7 (fixtures)</w:t>
            </w:r>
          </w:p>
        </w:tc>
      </w:tr>
    </w:tbl>
    <w:p>
      <w:pPr>
        <w:spacing w:after="120"/>
      </w:pPr>
      <w:r>
        <w:rPr>
          <w:rFonts w:ascii="Arial" w:cs="Arial" w:eastAsia="Arial" w:hAnsi="Arial"/>
          <w:sz w:val="22"/>
          <w:szCs w:val="22"/>
        </w:rPr>
        <w:t xml:space="preserve"/>
      </w:r>
    </w:p>
    <w:p>
      <w:pPr>
        <w:pStyle w:val="Heading1"/>
      </w:pPr>
      <w:r>
        <w:t xml:space="preserve">Deferred Items</w:t>
      </w:r>
    </w:p>
    <w:p>
      <w:pPr>
        <w:spacing w:after="120"/>
      </w:pPr>
      <w:r>
        <w:rPr>
          <w:rFonts w:ascii="Arial" w:cs="Arial" w:eastAsia="Arial" w:hAnsi="Arial"/>
          <w:sz w:val="22"/>
          <w:szCs w:val="22"/>
        </w:rPr>
        <w:t xml:space="preserve">The following items are deferred to Phase 4 or future sessions:</w:t>
      </w:r>
    </w:p>
    <w:p>
      <w:pPr>
        <w:spacing w:after="120"/>
      </w:pPr>
      <w:r>
        <w:rPr>
          <w:rFonts w:ascii="Arial" w:cs="Arial" w:eastAsia="Arial" w:hAnsi="Arial"/>
          <w:b/>
          <w:bCs/>
          <w:sz w:val="22"/>
          <w:szCs w:val="22"/>
        </w:rPr>
        <w:t xml:space="preserve">1. Live exchange integration testing: </w:t>
      </w:r>
      <w:r>
        <w:rPr>
          <w:rFonts w:ascii="Arial" w:cs="Arial" w:eastAsia="Arial" w:hAnsi="Arial"/>
          <w:sz w:val="22"/>
          <w:szCs w:val="22"/>
        </w:rPr>
        <w:t xml:space="preserve">exchange_call() and degraded state logic have been unit-tested with mocks. End-to-end testing against Bybit Demo requires live credentials (deferred per user directive).</w:t>
      </w:r>
    </w:p>
    <w:p>
      <w:pPr>
        <w:spacing w:after="120"/>
      </w:pPr>
      <w:r>
        <w:rPr>
          <w:rFonts w:ascii="Arial" w:cs="Arial" w:eastAsia="Arial" w:hAnsi="Arial"/>
          <w:b/>
          <w:bCs/>
          <w:sz w:val="22"/>
          <w:szCs w:val="22"/>
        </w:rPr>
        <w:t xml:space="preserve">2. GUI System Health page wiring: </w:t>
      </w:r>
      <w:r>
        <w:rPr>
          <w:rFonts w:ascii="Arial" w:cs="Arial" w:eastAsia="Arial" w:hAnsi="Arial"/>
          <w:sz w:val="22"/>
          <w:szCs w:val="22"/>
        </w:rPr>
        <w:t xml:space="preserve">health_check() dict is available but not yet wired to a dedicated GUI panel. MetricsService.get_safety_summary() exposes all safety states for UI rendering.</w:t>
      </w:r>
    </w:p>
    <w:p>
      <w:pPr>
        <w:spacing w:after="120"/>
      </w:pPr>
      <w:r>
        <w:rPr>
          <w:rFonts w:ascii="Arial" w:cs="Arial" w:eastAsia="Arial" w:hAnsi="Arial"/>
          <w:b/>
          <w:bCs/>
          <w:sz w:val="22"/>
          <w:szCs w:val="22"/>
        </w:rPr>
        <w:t xml:space="preserve">3. Position reconciliation on reconnect: </w:t>
      </w:r>
      <w:r>
        <w:rPr>
          <w:rFonts w:ascii="Arial" w:cs="Arial" w:eastAsia="Arial" w:hAnsi="Arial"/>
          <w:sz w:val="22"/>
          <w:szCs w:val="22"/>
        </w:rPr>
        <w:t xml:space="preserve">When exchange transitions from degraded to connected, automatic position reconciliation should run. Currently, reconnection resets the degraded flag but does not trigger reconcile_with_exchange().</w:t>
      </w:r>
    </w:p>
    <w:p>
      <w:pPr>
        <w:spacing w:after="120"/>
      </w:pPr>
      <w:r>
        <w:rPr>
          <w:rFonts w:ascii="Arial" w:cs="Arial" w:eastAsia="Arial" w:hAnsi="Arial"/>
          <w:b/>
          <w:bCs/>
          <w:sz w:val="22"/>
          <w:szCs w:val="22"/>
        </w:rPr>
        <w:t xml:space="preserve">4. Audit log persistence: </w:t>
      </w:r>
      <w:r>
        <w:rPr>
          <w:rFonts w:ascii="Arial" w:cs="Arial" w:eastAsia="Arial" w:hAnsi="Arial"/>
          <w:sz w:val="22"/>
          <w:szCs w:val="22"/>
        </w:rPr>
        <w:t xml:space="preserve">Destructive action audit log is in-memory only. For production, this should be persisted to SQLite or a dedicated JSON file.</w:t>
      </w:r>
    </w:p>
    <w:p>
      <w:pPr>
        <w:pStyle w:val="Heading1"/>
      </w:pPr>
      <w:r>
        <w:t xml:space="preserve">Verdict</w:t>
      </w:r>
    </w:p>
    <w:p>
      <w:pPr>
        <w:spacing w:after="120"/>
      </w:pPr>
      <w:r>
        <w:rPr>
          <w:rFonts w:ascii="Arial" w:cs="Arial" w:eastAsia="Arial" w:hAnsi="Arial"/>
          <w:b/>
          <w:bCs/>
          <w:sz w:val="22"/>
          <w:szCs w:val="22"/>
        </w:rPr>
        <w:t xml:space="preserve">Phase 3 Production Hardening is COMPLETE. All seven modules are implemented, tested, and regression-verified. The live execution path now has deterministic position lifecycle management, config-driven timeout enforcement, exchange resilience with degraded-state trading blocks, thread-safe order routing with candidate validation, public API contracts for CrashDefense and GUI layers, and an audit trail for destructive actions. The system is ready for Phase 4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666666"/>
        <w:sz w:val="18"/>
        <w:szCs w:val="18"/>
      </w:rPr>
      <w:t xml:space="preserve">NexusTrader Phase 3 — Production Hardening Proof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E8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C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2026-03-30T02:34:11.017Z</dcterms:created>
  <dcterms:modified xsi:type="dcterms:W3CDTF">2026-03-30T02:34:11.017Z</dcterms:modified>
</cp:coreProperties>
</file>

<file path=docProps/custom.xml><?xml version="1.0" encoding="utf-8"?>
<Properties xmlns="http://schemas.openxmlformats.org/officeDocument/2006/custom-properties" xmlns:vt="http://schemas.openxmlformats.org/officeDocument/2006/docPropsVTypes"/>
</file>