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Phase 2 Validation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RangeAccumulationModel (RAM) + ConfluenceScorer v2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NexusTrader Session 51 — March 30, 2026</w:t>
      </w:r>
    </w:p>
    <w:p>
      <w:pPr>
        <w:pBdr>
          <w:top w:val="single" w:color="CC3333" w:sz="8"/>
          <w:bottom w:val="single" w:color="CC3333" w:sz="8"/>
        </w:pBdr>
        <w:spacing w:after="400" w:before="400"/>
        <w:jc w:val="center"/>
      </w:pPr>
      <w:r>
        <w:rPr>
          <w:sz w:val="16"/>
          <w:szCs w:val="16"/>
        </w:rPr>
        <w:t xml:space="preserve">
</w:t>
      </w:r>
      <w:r>
        <w:rPr>
          <w:rFonts w:ascii="Arial" w:cs="Arial" w:eastAsia="Arial" w:hAnsi="Arial"/>
          <w:b/>
          <w:bCs/>
          <w:color w:val="CC3333"/>
          <w:sz w:val="36"/>
          <w:szCs w:val="36"/>
        </w:rPr>
        <w:t xml:space="preserve">RECOMMENDATION: REVISE</w:t>
      </w:r>
      <w:r>
        <w:rPr>
          <w:sz w:val="16"/>
          <w:szCs w:val="16"/>
        </w:rPr>
        <w:t xml:space="preserve">
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RAM does not meet acceptance criteria at any tested parameter combination.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Best PF achieved: 1.0633 (required ≥ 1.18). Failure is structural, not parametric.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report documents the Phase 2 validation of the RangeAccumulationModel (RAM) and ConfluenceScorer v2 for the NexusTrader system. Phase 2 introduced the first new trading logic since the v1.3 PBL+SLC system was validated in Session 36.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Validate a mean-reversion strategy targeting ranging and accumulation regimes with robust range detection, rejection candle entries, and RSI/ADX/volume filters. Acceptance criteria: PF ≥ 1.18 with 0.04%/side fees, MaxDD ≤ 25%, trade count ≥ 30, stable across periods.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FAILED. </w:t>
      </w:r>
      <w:r>
        <w:rPr>
          <w:rFonts w:ascii="Arial" w:cs="Arial" w:eastAsia="Arial" w:hAnsi="Arial"/>
          <w:sz w:val="22"/>
          <w:szCs w:val="22"/>
        </w:rPr>
        <w:t xml:space="preserve">RAM achieved a maximum profit factor of 1.0633 across 16 parameter configurations tested. No configuration met the PF ≥ 1.18 threshold. The failure is structural: mean-reversion in 30m crypto is inherently low-edge due to the transitional nature of ranging regimes in trending asset classes.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 on existing system: </w:t>
      </w:r>
      <w:r>
        <w:rPr>
          <w:rFonts w:ascii="Arial" w:cs="Arial" w:eastAsia="Arial" w:hAnsi="Arial"/>
          <w:sz w:val="22"/>
          <w:szCs w:val="22"/>
        </w:rPr>
        <w:t xml:space="preserve">Zero. RAM is config-gated (phase_2.range_accumulation.enabled = false by default). ConfluenceScorer v2 is also config-gated. All changes are backward-compatible. PBL+SLC baseline is bit-for-bit identical (PF=1.2758, n=1,731). Regression suite: 2,376 passed, 0 new failures.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Model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RangeAccumulationModel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RAM is a mean-reversion model active exclusively in ranging and accumulation regimes, enforced by the ACTIVE_REGIMES hard gate in SignalGenerator. It detects horizontal price channels and enters on rejection candles near validated range boundaries.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Range Detection (Robust, Percentile-Based)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Rolling lookback window (default 30 bars) of the 30m OHLCV data. </w:t>
      </w:r>
      <w:r>
        <w:rPr>
          <w:rFonts w:ascii="Arial" w:cs="Arial" w:eastAsia="Arial" w:hAnsi="Arial"/>
          <w:sz w:val="22"/>
          <w:szCs w:val="22"/>
        </w:rPr>
        <w:t xml:space="preserve">2. Range boundaries: 90th percentile of closes (range_high) and 10th percentile (range_low). Percentile-based boundaries avoid skewing from single-wick extremes. </w:t>
      </w:r>
      <w:r>
        <w:rPr>
          <w:rFonts w:ascii="Arial" w:cs="Arial" w:eastAsia="Arial" w:hAnsi="Arial"/>
          <w:sz w:val="22"/>
          <w:szCs w:val="22"/>
        </w:rPr>
        <w:t xml:space="preserve">3. Validity checks: (a) ≥ 3 close touches within 0.3×ATR of each boundary; (b) drift stability: range width change between first/second half ≤ 15%; (c) breakout guard: reject if current bar breaches absolute extremes by &gt; 0.5×ATR.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Entry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Long: close within 0.5×ATR of range_low + bullish rejection candle (close &gt; open, lower wick &gt; upper wick, lower wick ≥ 1.0× body) + RSI &lt; 35. </w:t>
      </w:r>
      <w:r>
        <w:rPr>
          <w:rFonts w:ascii="Arial" w:cs="Arial" w:eastAsia="Arial" w:hAnsi="Arial"/>
          <w:sz w:val="22"/>
          <w:szCs w:val="22"/>
        </w:rPr>
        <w:t xml:space="preserve">Short: close within 0.5×ATR of range_high + bearish rejection candle + RSI &gt; 65.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Filters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ADX &lt; 25 (no trend), ATR spike &lt; 1.5× rolling average (reject volatile entries), volume &lt; 2.0× SMA20 (reject breakout volume).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Exit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SL: outside range boundary by sl_atr_mult × ATR (default 2.5). TP: near opposite range boundary (0.2×ATR inside). Geometry validation: long requires sl &lt; entry &lt; tp; short requires tp &lt; entry &lt; sl.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ConfluenceScorer v2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Three config-gated enhancements were added to the existing ConfluenceScorer: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Regime-aware thresholds </w:t>
      </w:r>
      <w:r>
        <w:rPr>
          <w:rFonts w:ascii="Arial" w:cs="Arial" w:eastAsia="Arial" w:hAnsi="Arial"/>
          <w:sz w:val="22"/>
          <w:szCs w:val="22"/>
        </w:rPr>
        <w:t xml:space="preserve">(confluence_v2.enabled): dynamic minimum score thresholds that adapt to the current regime. Ranging/accumulation: 0.35 (lower bar for mean-reversion). Bull/bear trend: 0.45 (standard). Crisis: 0.55 (higher bar during stress).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Signal-type weighting </w:t>
      </w:r>
      <w:r>
        <w:rPr>
          <w:rFonts w:ascii="Arial" w:cs="Arial" w:eastAsia="Arial" w:hAnsi="Arial"/>
          <w:sz w:val="22"/>
          <w:szCs w:val="22"/>
        </w:rPr>
        <w:t xml:space="preserve">(confluence_v2.enabled): models classified as STRUCTURAL (trend, momentum_breakout, pullback_long, swing_low_continuation, range_accumulation) receive a 1.2× weight multiplier. ENRICHMENT models (funding_rate, sentiment) receive 0.7×.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 rules </w:t>
      </w:r>
      <w:r>
        <w:rPr>
          <w:rFonts w:ascii="Arial" w:cs="Arial" w:eastAsia="Arial" w:hAnsi="Arial"/>
          <w:sz w:val="22"/>
          <w:szCs w:val="22"/>
        </w:rPr>
        <w:t xml:space="preserve">(confluence_v2.composition_rules): reject signals with zero structural model contributions. Requires at least one structural signal in the candidate pool.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Phase 2 components are config-gated OFF by default with zero impact on the existing PBL+SLC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When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phase_2.range_accumulation.enabled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SignalGenerator skips RAM entirely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ConfluenceScorer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confluence_v2.enabled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thresholds/weights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Composition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confluence_v2.composition_rules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structural-signal requirement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RAM is registered in SignalGenerator._ALL_MODELS, BacktestRunner._HMM_MODELS, ConfluenceScorer.MODEL_WEIGHTS (0.25), and REGIME_AFFINITY (ranging=1.0, accumulation=1.0, crisis=0.0). Integration is backward-compatible: the existing PBL+SLC baseline produces identical results (verified: PF=1.4026, n=1,511 in combined mode Scenario C).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Backtest Results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Baseline Scenarios (Default Parameters)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Four scenarios tested on 4-year data (2022-03-22 to 2026-03-21), BTC/ETH/SOL, 30m timeframe, 0.04%/side maker fees: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000"/>
        <w:gridCol w:w="1000"/>
        <w:gridCol w:w="12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CAGR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RAM standalone (zero fee)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B: RAM standalone (0.04%/side)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 PBL+SLC baseline (0.04%/side)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65.70%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12.93%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D: PBL+SLC+RAM combined (0.04%/side)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65.29%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13.38%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RAM adds 35 trades to the combined system but slightly dilutes quality (PF 1.4026 → 1.4008). RAM standalone PF of 1.0095 means the model breaks even after fees — no meaningful edge.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Per-Model Breakdown (Combined Mode D)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PullbackLong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1.1931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RangeAccumulation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SwingLowContinuation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1.4488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Year-by-Year Stability (RAM Standalone, 0.04%/side)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000"/>
        <w:gridCol w:w="12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negative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CRITICAL: Zero winners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1.5603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1.2892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Marginally positive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(partial)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999.0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 data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Stability verdict: FAILED. </w:t>
      </w:r>
      <w:r>
        <w:rPr>
          <w:rFonts w:ascii="Arial" w:cs="Arial" w:eastAsia="Arial" w:hAnsi="Arial"/>
          <w:sz w:val="22"/>
          <w:szCs w:val="22"/>
        </w:rPr>
        <w:t xml:space="preserve">2023 had zero winning trades (8 trades, all losers). This represents a catastrophic single-period dependency that violates the stability acceptance criterion.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4.4 Per-Asset Breakdown (RAM Standalone, 0.04%/side)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BTC/USDT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ETH/USDT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3.6152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SOL/USDT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negative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verdict: </w:t>
      </w:r>
      <w:r>
        <w:rPr>
          <w:rFonts w:ascii="Arial" w:cs="Arial" w:eastAsia="Arial" w:hAnsi="Arial"/>
          <w:sz w:val="22"/>
          <w:szCs w:val="22"/>
        </w:rPr>
        <w:t xml:space="preserve">SOL accounts for 55% of trades but has PF=0.58 — structurally negative. SOL's high volatility and strong trending behavior make mean-reversion fundamentally difficult.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Parameter Grid Search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16 parameter configurations were tested with clean settings reset between each run. Each configuration ran the full 4-year backtest with 0.04%/side fees. Data was loaded once and reused across all runs (~65 seconds per config).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800"/>
        <w:gridCol w:w="900"/>
        <w:gridCol w:w="800"/>
        <w:gridCol w:w="900"/>
        <w:gridCol w:w="26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MaxDD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prox0.8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binding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prox1.0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binding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rsi40/60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10.32%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5.4x trades, PF flat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wick0.5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0.9353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Worse PF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wick0.7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binding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touches2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binding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0.3147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Over-filtered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sl3.0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1.0359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single-param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drift0.25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-0.48%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9.97%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Worse PF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lb20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PF, low 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combo_moderate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1.0272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9.98%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combo_aggressive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negative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combo_tight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signals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sl3+prox0.8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1.0359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sl3.0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lb20_relax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1.0633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lb20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Grid Search Analysis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Non-binding constraints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Entry proximity (prox0.8, prox1.0), wick strength (wick0.7), and touch count (touches2) produced identical results to the default. These filters are NOT the binding constraint — all 44 baseline trades already satisfy them. The binding constraints are RSI thresholds and the conjunction of regime + candle pattern.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RSI is the primary trade-count gate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Relaxing RSI from 35/65 to 40/60 increased trade count 5.4× (44 → 237) but PF remained flat at 1.0076. Aggressive relaxation to 42/58 with wick=0.5 and touches=2 produced 507 trades at PF=0.9841 (net negative). Conclusion: additional RSI-relaxed signals carry no edge.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SL width provides marginal improvement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Widening SL from 2.5×ATR to 3.0×ATR improved WR from 34.1% to 43.2% and PF from 1.0095 to 1.0359 — the best single-parameter improvement. However, 1.04 is still far below the 1.18 target.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Shorter lookback helps marginally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Lookback=20 achieved the highest PF of 1.0633, but only 28 trades (below the n≥30 threshold). The shorter window captures tighter, more recent ranges that may be slightly more predictive.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Quality tightening destroys signal count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Tightening RSI to 30/70 + ADX to 20 produced zero trades. The intersection of extreme RSI + very low ADX + rejection candle + valid range is vanishingly rare in 30m crypto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Failure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Root Cause: Structural, Not Parametric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grid search tested the full parameter space systematically. The consistent PF clustering around 1.00–1.06 across all 16 configurations demonstrates that the failure is not parametric — no parameter combination can achieve PF ≥ 1.18 because the underlying mean-reversion thesis has insufficient edge in 30m crypto markets.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Why Mean-Reversion Fails in 30m Crypto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1. Ranging regimes are transitional, not stationary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 traditional markets (forex, fixed income), ranging periods can persist for weeks. In crypto, "ranging" regimes are typically consolidation phases between trend legs. The NX regime classifier labels ~35% of bars as "ranging", but these ranges frequently break within 15–30 bars. By the time the model validates a range (30-bar lookback, 3 touches), the range is often about to break.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2. Asymmetric regime distribution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Accumulation regimes account for only 2.2% of BTC 30m bars. With the dual ACTIVE_REGIMES gate (ranging + accumulation only), the model has limited regime opportunity. The "accumulation" state is too rare to generate meaningful trade volume.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3. SOL structural incompatibility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SOL accounts for 55% of all RAM trades (24/44 in default config) but has PF=0.58 — consistently net negative. SOL's high volatility and momentum-driven nature make it structurally unsuitable for mean-reversion. BTC (PF=1.76) and ETH (PF=3.62) show the model CAN work on less volatile assets, but the aggregate is dragged down by SOL.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4. 2023 structural gap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Zero winners in 2023 (8 trades, all stopped out). 2023 was a post-FTX recovery year with sustained low-volatility grind — price drifted gradually rather than oscillating within defined ranges. The model's range detection found false ranges that subsequently broke.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5. Fee drag on thin edge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Zero-fee PF was only 1.0922 (44 trades). The raw signal barely exceeds random at 1.09. After 0.04%/side fees (0.08% round-trip), the edge collapses to 1.0095. Even the theoretical zero-fee edge is too thin to survive any transaction cost.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Improvement Proposals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Three research directions could potentially salvage the mean-reversion thesis. Each requires dedicated backtest validation before production consideration.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Proposal A: Asset-Filtered RAM (ETH+BTC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Remove SOL from RAM's eligible symbol list (or add a per-asset config gate). BTC+ETH together show PF ~2.0 in the baseline (20 trades). Combined with wider SL (3.0×ATR) and shorter lookback (20 bars), this could yield PF &gt; 1.18 on BTC+ETH.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Very low trade count (~20 over 4 years). May not meet n≥30 criterion.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Proposal B: Higher Timeframe (4h) Mean-Reversion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 RAM to 4h timeframe instead of 30m. 4h ranges are more structurally significant and last longer, reducing the false-range problem. Would require new data loading in BacktestRunner, separate regime classification on 4h bars, and adjusted lookback/touch parameters.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Even fewer trades. 4h data reduces the bar count by 8× vs 30m. May need to relax entry conditions significantly.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Proposal C: Bollinger Band Reversion (Alternative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range detection with Bollinger Band mean-reversion: enter when price touches the 2σ band + RSI extreme + volume contraction, target the mid-band. This is a more established mean-reversion technique with academic support. Does not require range validation (touch counting, drift, etc.) which was a primary source of false ranges.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Bollinger Bands may have similar issues in trending crypto. VWAPReversion (a related approach) was archived at PF=0.28 — caution warranted.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Proposal D: Abandon Mean-Reversion for Crypto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that 30m crypto is fundamentally a momentum/trend-following market. The existing PBL+SLC system (PF=1.2758) exploits trend-following patterns effectively. Adding mean-reversion models dilutes the portfolio. Research effort may be better directed at: (a) DonchianBreakout parameter optimization (Session 48 candidate), (b) MomentumBreakout regime-filtered variant, or (c) new trend-following models on additional timeframes.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Acceptance Criteria Assessment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1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Achieved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 standalone PF (with fees)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1.0095 (best: 1.0633)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6.72% (best: 15.21%)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(default), 507 (max)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Year-by-year 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single-period dependency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2023: 0% WR (PF=0.00)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PF ≥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1.2758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Trade count passes at default but is coupled to PF: configs with n≥30 all have PF &lt; 1.03.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Overall: FAIL — 2 of 4 primary criteria not met.</w:t>
      </w:r>
      <w:r>
        <w:rPr>
          <w:rFonts w:ascii="Arial" w:cs="Arial" w:eastAsia="Arial" w:hAnsi="Arial"/>
          <w:sz w:val="22"/>
          <w:szCs w:val="22"/>
        </w:rPr>
        <w:t xml:space="preserve"> RAM PF falls 0.17 below the 1.18 target, and 2023 shows catastrophic period dependency (zero winners). Per the user's directive: “If NOT met: do NOT proceed, analyze failure and propose improvements.”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(pre-existing)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11 pre-existing failures are unrelated to Phase 2 changes (condition_dedup, execution, phase2_fixes, session40/41 engine tests). Zero new regressions introduced by RAM or ConfluenceScorer v2 changes.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core/signals/sub_models/range_accumulation_model.py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RAM model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core/meta_decision/confluence_scorer.py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features: regime thresholds, signal types, composition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core/signals/signal_generator.py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 registration + config gate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DEFAULT_CONFIG: phase_2.range_accumulation + confluence_v2 blocks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research/engine/backtest_runner.py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_HMM_MODELS + _MODEL_KEY + RAM enable in run()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tests/unit/test_range_accumulation_model.py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unit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scripts/ram_validation/backtest_ram.py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4-scenario validation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scripts/ram_validation/grid_search_v2.py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16-config parameter grid search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Conclusion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implementation is complete and code-correct</w:t>
      </w:r>
      <w:r>
        <w:rPr>
          <w:rFonts w:ascii="Arial" w:cs="Arial" w:eastAsia="Arial" w:hAnsi="Arial"/>
          <w:sz w:val="22"/>
          <w:szCs w:val="22"/>
        </w:rPr>
        <w:t xml:space="preserve"> — the model, integration, config gates, and test suite are all functional and backward-compatible. However,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 does not meet acceptance criteria</w:t>
      </w:r>
      <w:r>
        <w:rPr>
          <w:rFonts w:ascii="Arial" w:cs="Arial" w:eastAsia="Arial" w:hAnsi="Arial"/>
          <w:sz w:val="22"/>
          <w:szCs w:val="22"/>
        </w:rPr>
        <w:t xml:space="preserve"> and should 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be enabled in production. </w:t>
      </w:r>
      <w:r>
        <w:rPr>
          <w:rFonts w:ascii="Arial" w:cs="Arial" w:eastAsia="Arial" w:hAnsi="Arial"/>
          <w:sz w:val="22"/>
          <w:szCs w:val="22"/>
        </w:rPr>
        <w:t xml:space="preserve">The config gates (phase_2.range_accumulation.enabled = false, confluence_v2.enabled = false) should remain OFF.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code remains in the codebase as a research artifact with full config-gate protection. If future research (Proposals A–C) produces a viable mean-reversion variant, the infrastructure is ready for reuse.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next step: </w:t>
      </w:r>
      <w:r>
        <w:rPr>
          <w:rFonts w:ascii="Arial" w:cs="Arial" w:eastAsia="Arial" w:hAnsi="Arial"/>
          <w:sz w:val="22"/>
          <w:szCs w:val="22"/>
        </w:rPr>
        <w:t xml:space="preserve">Evaluate Proposals A–D above, or redirect research effort to momentum/trend-following model improvement (DonchianBreakout optimization, MomentumBreakout regime filtering, or new model development).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NexusTrader Phase 2 — RAM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2026-03-31T01:57:22.576Z</dcterms:created>
  <dcterms:modified xsi:type="dcterms:W3CDTF">2026-03-31T01:57:22.576Z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