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6"/>
          <w:szCs w:val="56"/>
        </w:rPr>
        <w:t xml:space="preserve">NexusTrader</w:t>
      </w:r>
    </w:p>
    <w:p>
      <w:pPr>
        <w:spacing w:after="400"/>
        <w:jc w:val="center"/>
      </w:pPr>
      <w:r>
        <w:rPr>
          <w:rFonts w:ascii="Arial" w:cs="Arial" w:eastAsia="Arial" w:hAnsi="Arial"/>
          <w:color w:val="2E75B6"/>
          <w:sz w:val="36"/>
          <w:szCs w:val="36"/>
        </w:rPr>
        <w:t xml:space="preserve">Regime-Orchestrated Architecture Upgrade</w:t>
      </w:r>
    </w:p>
    <w:p>
      <w:pPr>
        <w:spacing w:after="200"/>
        <w:jc w:val="center"/>
      </w:pPr>
      <w:r>
        <w:rPr>
          <w:rFonts w:ascii="Arial" w:cs="Arial" w:eastAsia="Arial" w:hAnsi="Arial"/>
          <w:color w:val="666666"/>
          <w:sz w:val="26"/>
          <w:szCs w:val="26"/>
        </w:rPr>
        <w:t xml:space="preserve">Session 51 — v2.0 Strategic Architecture</w:t>
      </w:r>
    </w:p>
    <w:p>
      <w:pPr>
        <w:jc w:val="center"/>
      </w:pPr>
      <w:r>
        <w:rPr>
          <w:rFonts w:ascii="Arial" w:cs="Arial" w:eastAsia="Arial" w:hAnsi="Arial"/>
          <w:color w:val="666666"/>
          <w:sz w:val="24"/>
          <w:szCs w:val="24"/>
        </w:rPr>
        <w:t xml:space="preserve">March 30, 2026</w:t>
      </w:r>
    </w:p>
    <w:p>
      <w:pPr>
        <w:spacing w:before="2000"/>
        <w:jc w:val="center"/>
      </w:pPr>
      <w:r>
        <w:rPr>
          <w:rFonts w:ascii="Arial" w:cs="Arial" w:eastAsia="Arial" w:hAnsi="Arial"/>
          <w:i/>
          <w:iCs/>
          <w:color w:val="999999"/>
          <w:sz w:val="20"/>
          <w:szCs w:val="20"/>
        </w:rPr>
        <w:t xml:space="preserve">Supersedes: Session 51 v1.0 Regime Coverage Report</w:t>
      </w:r>
    </w:p>
    <w:p>
      <w:r>
        <w:br w:type="page"/>
      </w:r>
    </w:p>
    <w:p>
      <w:pPr>
        <w:pStyle w:val="Heading1"/>
        <w:spacing w:after="200" w:before="300"/>
      </w:pPr>
      <w:r>
        <w:rPr>
          <w:rFonts w:ascii="Arial" w:cs="Arial" w:eastAsia="Arial" w:hAnsi="Arial"/>
          <w:b/>
          <w:bCs/>
        </w:rPr>
        <w:t xml:space="preserve">1. Regime-Orchestrated Architecture</w:t>
      </w:r>
    </w:p>
    <w:p>
      <w:pPr>
        <w:spacing w:after="160"/>
      </w:pPr>
      <w:r>
        <w:rPr>
          <w:rFonts w:ascii="Arial" w:cs="Arial" w:eastAsia="Arial" w:hAnsi="Arial"/>
          <w:b/>
          <w:bCs/>
          <w:sz w:val="22"/>
          <w:szCs w:val="22"/>
        </w:rPr>
        <w:t xml:space="preserve">Core Principle: </w:t>
      </w:r>
      <w:r>
        <w:rPr>
          <w:rFonts w:ascii="Arial" w:cs="Arial" w:eastAsia="Arial" w:hAnsi="Arial"/>
          <w:sz w:val="22"/>
          <w:szCs w:val="22"/>
        </w:rPr>
        <w:t xml:space="preserve">The system transitions from independent model activation to a centralized regime orchestrator that selects, prioritizes, and allocates capital to models based on the current and predicted regime state. Models no longer self-select—the orchestrator assigns them.</w:t>
      </w:r>
    </w:p>
    <w:p>
      <w:pPr>
        <w:spacing w:after="160"/>
      </w:pPr>
      <w:r>
        <w:rPr>
          <w:rFonts w:ascii="Arial" w:cs="Arial" w:eastAsia="Arial" w:hAnsi="Arial"/>
          <w:sz w:val="22"/>
          <w:szCs w:val="22"/>
        </w:rPr>
        <w:t xml:space="preserve">The RegimeOrchestrator replaces the current distributed activation pattern (each model declares ACTIVE_REGIMES independently) with a centralized decision layer that:</w:t>
      </w:r>
    </w:p>
    <w:p>
      <w:pPr>
        <w:pStyle w:val="ListParagraph"/>
        <w:numPr>
          <w:ilvl w:val="0"/>
          <w:numId w:val="2"/>
        </w:numPr>
        <w:spacing w:after="80"/>
      </w:pPr>
      <w:r>
        <w:rPr>
          <w:rFonts w:ascii="Arial" w:cs="Arial" w:eastAsia="Arial" w:hAnsi="Arial"/>
          <w:sz w:val="22"/>
          <w:szCs w:val="22"/>
        </w:rPr>
        <w:t xml:space="preserve">Reads the current regime + regime_probs probability distribution from the HMM ensemble</w:t>
      </w:r>
    </w:p>
    <w:p>
      <w:pPr>
        <w:pStyle w:val="ListParagraph"/>
        <w:numPr>
          <w:ilvl w:val="0"/>
          <w:numId w:val="2"/>
        </w:numPr>
        <w:spacing w:after="80"/>
      </w:pPr>
      <w:r>
        <w:rPr>
          <w:rFonts w:ascii="Arial" w:cs="Arial" w:eastAsia="Arial" w:hAnsi="Arial"/>
          <w:sz w:val="22"/>
          <w:szCs w:val="22"/>
        </w:rPr>
        <w:t xml:space="preserve">Detects regime transitions via the new TransitionDetector (Section 2)</w:t>
      </w:r>
    </w:p>
    <w:p>
      <w:pPr>
        <w:pStyle w:val="ListParagraph"/>
        <w:numPr>
          <w:ilvl w:val="0"/>
          <w:numId w:val="2"/>
        </w:numPr>
        <w:spacing w:after="80"/>
      </w:pPr>
      <w:r>
        <w:rPr>
          <w:rFonts w:ascii="Arial" w:cs="Arial" w:eastAsia="Arial" w:hAnsi="Arial"/>
          <w:sz w:val="22"/>
          <w:szCs w:val="22"/>
        </w:rPr>
        <w:t xml:space="preserve">Selects which models run, in what priority order, with what capital allocation</w:t>
      </w:r>
    </w:p>
    <w:p>
      <w:pPr>
        <w:pStyle w:val="ListParagraph"/>
        <w:numPr>
          <w:ilvl w:val="0"/>
          <w:numId w:val="2"/>
        </w:numPr>
        <w:spacing w:after="80"/>
      </w:pPr>
      <w:r>
        <w:rPr>
          <w:rFonts w:ascii="Arial" w:cs="Arial" w:eastAsia="Arial" w:hAnsi="Arial"/>
          <w:sz w:val="22"/>
          <w:szCs w:val="22"/>
        </w:rPr>
        <w:t xml:space="preserve">Resolves conflicts when multiple models fire competing signals (Section 6)</w:t>
      </w:r>
    </w:p>
    <w:p>
      <w:pPr>
        <w:pStyle w:val="ListParagraph"/>
        <w:numPr>
          <w:ilvl w:val="0"/>
          <w:numId w:val="2"/>
        </w:numPr>
        <w:spacing w:after="80"/>
      </w:pPr>
      <w:r>
        <w:rPr>
          <w:rFonts w:ascii="Arial" w:cs="Arial" w:eastAsia="Arial" w:hAnsi="Arial"/>
          <w:sz w:val="22"/>
          <w:szCs w:val="22"/>
        </w:rPr>
        <w:t xml:space="preserve">Guarantees minimum coverage via fallback logic when no primary model is active (Section 5)</w:t>
      </w:r>
    </w:p>
    <w:p>
      <w:pPr>
        <w:spacing w:after="100" w:before="200"/>
      </w:pPr>
      <w:r>
        <w:rPr>
          <w:rFonts w:ascii="Arial" w:cs="Arial" w:eastAsia="Arial" w:hAnsi="Arial"/>
          <w:b/>
          <w:bCs/>
          <w:sz w:val="22"/>
          <w:szCs w:val="22"/>
        </w:rPr>
        <w:t xml:space="preserve">Signal Pipeline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Layer</w:t>
            </w:r>
          </w:p>
        </w:tc>
        <w:tc>
          <w:tcPr>
            <w:tcW w:type="dxa" w:w="3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Component</w:t>
            </w:r>
          </w:p>
        </w:tc>
        <w:tc>
          <w:tcPr>
            <w:tcW w:type="dxa" w:w="3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Responsibility</w:t>
            </w:r>
          </w:p>
        </w:tc>
      </w:tr>
      <w:tr>
        <w:tc>
          <w:tcPr>
            <w:tcW w:type="dxa" w:w="3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sz w:val="18"/>
                <w:szCs w:val="18"/>
              </w:rPr>
              <w:t xml:space="preserve">1. Data</w:t>
            </w:r>
          </w:p>
        </w:tc>
        <w:tc>
          <w:tcPr>
            <w:tcW w:type="dxa" w:w="3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sz w:val="18"/>
                <w:szCs w:val="18"/>
              </w:rPr>
              <w:t xml:space="preserve">OHLCV + Indicators</w:t>
            </w:r>
          </w:p>
        </w:tc>
        <w:tc>
          <w:tcPr>
            <w:tcW w:type="dxa" w:w="33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sz w:val="18"/>
                <w:szCs w:val="18"/>
              </w:rPr>
              <w:t xml:space="preserve">Price data, calculate_scan_mode()</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2. Regime</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EnsembleRegimeClassifier</w:t>
            </w:r>
          </w:p>
        </w:tc>
        <w:tc>
          <w:tcPr>
            <w:tcW w:type="dxa" w:w="3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HMM + RuleBased blend, regime_probs</w:t>
            </w:r>
          </w:p>
        </w:tc>
      </w:tr>
      <w:tr>
        <w:tc>
          <w:tcPr>
            <w:tcW w:type="dxa" w:w="3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sz w:val="18"/>
                <w:szCs w:val="18"/>
              </w:rPr>
              <w:t xml:space="preserve">3. Transition</w:t>
            </w:r>
          </w:p>
        </w:tc>
        <w:tc>
          <w:tcPr>
            <w:tcW w:type="dxa" w:w="3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sz w:val="18"/>
                <w:szCs w:val="18"/>
              </w:rPr>
              <w:t xml:space="preserve">TransitionDetector (NEW)</w:t>
            </w:r>
          </w:p>
        </w:tc>
        <w:tc>
          <w:tcPr>
            <w:tcW w:type="dxa" w:w="33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sz w:val="18"/>
                <w:szCs w:val="18"/>
              </w:rPr>
              <w:t xml:space="preserve">Phase shift detection, pre-signal</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4. Orchestrator</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RegimeOrchestrator (NEW)</w:t>
            </w:r>
          </w:p>
        </w:tc>
        <w:tc>
          <w:tcPr>
            <w:tcW w:type="dxa" w:w="3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Model selection, priority, capital</w:t>
            </w:r>
          </w:p>
        </w:tc>
      </w:tr>
      <w:tr>
        <w:tc>
          <w:tcPr>
            <w:tcW w:type="dxa" w:w="3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sz w:val="18"/>
                <w:szCs w:val="18"/>
              </w:rPr>
              <w:t xml:space="preserve">5. Signal Gen</w:t>
            </w:r>
          </w:p>
        </w:tc>
        <w:tc>
          <w:tcPr>
            <w:tcW w:type="dxa" w:w="3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sz w:val="18"/>
                <w:szCs w:val="18"/>
              </w:rPr>
              <w:t xml:space="preserve">SignalGenerator</w:t>
            </w:r>
          </w:p>
        </w:tc>
        <w:tc>
          <w:tcPr>
            <w:tcW w:type="dxa" w:w="33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sz w:val="18"/>
                <w:szCs w:val="18"/>
              </w:rPr>
              <w:t xml:space="preserve">Run selected models only</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6. Confluence</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ConfluenceScorer v2</w:t>
            </w:r>
          </w:p>
        </w:tc>
        <w:tc>
          <w:tcPr>
            <w:tcW w:type="dxa" w:w="3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Regime-aware + signal-type thresholds</w:t>
            </w:r>
          </w:p>
        </w:tc>
      </w:tr>
      <w:tr>
        <w:tc>
          <w:tcPr>
            <w:tcW w:type="dxa" w:w="3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sz w:val="18"/>
                <w:szCs w:val="18"/>
              </w:rPr>
              <w:t xml:space="preserve">7. Risk + Capital</w:t>
            </w:r>
          </w:p>
        </w:tc>
        <w:tc>
          <w:tcPr>
            <w:tcW w:type="dxa" w:w="3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sz w:val="18"/>
                <w:szCs w:val="18"/>
              </w:rPr>
              <w:t xml:space="preserve">RiskGate + RegimeCapitalAlloc</w:t>
            </w:r>
          </w:p>
        </w:tc>
        <w:tc>
          <w:tcPr>
            <w:tcW w:type="dxa" w:w="33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sz w:val="18"/>
                <w:szCs w:val="18"/>
              </w:rPr>
              <w:t xml:space="preserve">Regime-based position sizing</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8. Conflict</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ConflictResolver (NEW)</w:t>
            </w:r>
          </w:p>
        </w:tc>
        <w:tc>
          <w:tcPr>
            <w:tcW w:type="dxa" w:w="3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Priority when multiple fire</w:t>
            </w:r>
          </w:p>
        </w:tc>
      </w:tr>
      <w:tr>
        <w:tc>
          <w:tcPr>
            <w:tcW w:type="dxa" w:w="3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sz w:val="18"/>
                <w:szCs w:val="18"/>
              </w:rPr>
              <w:t xml:space="preserve">9. Coverage</w:t>
            </w:r>
          </w:p>
        </w:tc>
        <w:tc>
          <w:tcPr>
            <w:tcW w:type="dxa" w:w="3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sz w:val="18"/>
                <w:szCs w:val="18"/>
              </w:rPr>
              <w:t xml:space="preserve">CoverageGuarantee (NEW)</w:t>
            </w:r>
          </w:p>
        </w:tc>
        <w:tc>
          <w:tcPr>
            <w:tcW w:type="dxa" w:w="33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sz w:val="18"/>
                <w:szCs w:val="18"/>
              </w:rPr>
              <w:t xml:space="preserve">Inactivity fallback + alerts</w:t>
            </w:r>
          </w:p>
        </w:tc>
      </w:tr>
    </w:tbl>
    <w:p>
      <w:pPr>
        <w:spacing w:after="160"/>
      </w:pPr>
      <w:r>
        <w:rPr>
          <w:rFonts w:ascii="Arial" w:cs="Arial" w:eastAsia="Arial" w:hAnsi="Arial"/>
          <w:b/>
          <w:bCs/>
          <w:sz w:val="22"/>
          <w:szCs w:val="22"/>
        </w:rPr>
        <w:t xml:space="preserve">Key shift: </w:t>
      </w:r>
      <w:r>
        <w:rPr>
          <w:rFonts w:ascii="Arial" w:cs="Arial" w:eastAsia="Arial" w:hAnsi="Arial"/>
          <w:sz w:val="22"/>
          <w:szCs w:val="22"/>
        </w:rPr>
        <w:t xml:space="preserve">Models no longer have ACTIVE_REGIMES as the sole gate. The RegimeOrchestrator reads ACTIVE_REGIMES as a hint but can override it for transition signals. The orchestrator is the single source of truth for "which models run now."</w:t>
      </w:r>
    </w:p>
    <w:p>
      <w:r>
        <w:br w:type="page"/>
      </w:r>
    </w:p>
    <w:p>
      <w:pPr>
        <w:pStyle w:val="Heading1"/>
        <w:spacing w:after="200" w:before="300"/>
      </w:pPr>
      <w:r>
        <w:rPr>
          <w:rFonts w:ascii="Arial" w:cs="Arial" w:eastAsia="Arial" w:hAnsi="Arial"/>
          <w:b/>
          <w:bCs/>
        </w:rPr>
        <w:t xml:space="preserve">2. Transition Models</w:t>
      </w:r>
    </w:p>
    <w:p>
      <w:pPr>
        <w:spacing w:after="160"/>
      </w:pPr>
      <w:r>
        <w:rPr>
          <w:rFonts w:ascii="Arial" w:cs="Arial" w:eastAsia="Arial" w:hAnsi="Arial"/>
          <w:sz w:val="22"/>
          <w:szCs w:val="22"/>
        </w:rPr>
        <w:t xml:space="preserve">Regime transitions are high-alpha events. The current system detects end-states (accumulation, volatility_expansion) but misses the transition moment itself—the exact point where accumulation resolves into a breakout, or compression releases into expansion. These transition windows typically last 2–5 bars and capture the initial momentum before trend models activate.</w:t>
      </w:r>
    </w:p>
    <w:p>
      <w:pPr>
        <w:pStyle w:val="Heading2"/>
        <w:spacing w:after="200" w:before="300"/>
      </w:pPr>
      <w:r>
        <w:rPr>
          <w:rFonts w:ascii="Arial" w:cs="Arial" w:eastAsia="Arial" w:hAnsi="Arial"/>
          <w:b/>
          <w:bCs/>
        </w:rPr>
        <w:t xml:space="preserve">2.1 TransitionDetector Component</w:t>
      </w:r>
    </w:p>
    <w:p>
      <w:pPr>
        <w:spacing w:after="160"/>
      </w:pPr>
      <w:r>
        <w:rPr>
          <w:rFonts w:ascii="Arial" w:cs="Arial" w:eastAsia="Arial" w:hAnsi="Arial"/>
          <w:b/>
          <w:bCs/>
          <w:sz w:val="22"/>
          <w:szCs w:val="22"/>
        </w:rPr>
        <w:t xml:space="preserve">Location: </w:t>
      </w:r>
      <w:r>
        <w:rPr>
          <w:rFonts w:ascii="Arial" w:cs="Arial" w:eastAsia="Arial" w:hAnsi="Arial"/>
          <w:sz w:val="22"/>
          <w:szCs w:val="22"/>
        </w:rPr>
        <w:t xml:space="preserve">core/regime/transition_detector.py (NEW)</w:t>
      </w:r>
    </w:p>
    <w:p>
      <w:pPr>
        <w:spacing w:after="160"/>
      </w:pPr>
      <w:r>
        <w:rPr>
          <w:rFonts w:ascii="Arial" w:cs="Arial" w:eastAsia="Arial" w:hAnsi="Arial"/>
          <w:sz w:val="22"/>
          <w:szCs w:val="22"/>
        </w:rPr>
        <w:t xml:space="preserve">Monitors regime_probs from the HMM ensemble across consecutive bars to detect phase shifts: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Transition</w:t>
            </w:r>
          </w:p>
        </w:tc>
        <w:tc>
          <w:tcPr>
            <w:tcW w:type="dxa" w:w="2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Detection Rule</w:t>
            </w:r>
          </w:p>
        </w:tc>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 Type</w:t>
            </w:r>
          </w:p>
        </w:tc>
        <w:tc>
          <w:tcPr>
            <w:tcW w:type="dxa" w:w="2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Time Window</w:t>
            </w:r>
          </w:p>
        </w:tc>
      </w:tr>
      <w:tr>
        <w:tc>
          <w:tcPr>
            <w:tcW w:type="dxa" w:w="22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Accumulation → Breakout</w:t>
            </w:r>
          </w:p>
        </w:tc>
        <w:tc>
          <w:tcPr>
            <w:tcW w:type="dxa" w:w="28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regime_probs[accum] drops &gt;20% AND (regime_probs[bull] OR regime_probs[vol_exp]) rises &gt;15% within 3 bars; ADX crossing 20 from below; volume surge &gt;1.5x 10-bar avg</w:t>
            </w:r>
          </w:p>
        </w:tc>
        <w:tc>
          <w:tcPr>
            <w:tcW w:type="dxa" w:w="22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TRANSITION_BREAKOUT (directional: long if bull_probs &gt; bear_probs, else short)</w:t>
            </w:r>
          </w:p>
        </w:tc>
        <w:tc>
          <w:tcPr>
            <w:tcW w:type="dxa" w:w="216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3-bar confirmation, 5-bar expiry</w:t>
            </w:r>
          </w:p>
        </w:tc>
      </w:tr>
      <w:tr>
        <w:tc>
          <w:tcPr>
            <w:tcW w:type="dxa" w:w="22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Compression → Expansion</w:t>
            </w:r>
          </w:p>
        </w:tc>
        <w:tc>
          <w:tcPr>
            <w:tcW w:type="dxa" w:w="28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BB_width_ratio crosses 0.8 from below (was &lt;0.6); ATR expanding &gt;25% over 5 bars; MS-GARCH state = HIGH_VOL with conf &gt; 0.65</w:t>
            </w:r>
          </w:p>
        </w:tc>
        <w:tc>
          <w:tcPr>
            <w:tcW w:type="dxa" w:w="22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TRANSITION_EXPANSION (non-directional initially; direction set by first 2-bar close)</w:t>
            </w:r>
          </w:p>
        </w:tc>
        <w:tc>
          <w:tcPr>
            <w:tcW w:type="dxa" w:w="216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2-bar confirmation, 4-bar expiry</w:t>
            </w:r>
          </w:p>
        </w:tc>
      </w:tr>
      <w:tr>
        <w:tc>
          <w:tcPr>
            <w:tcW w:type="dxa" w:w="22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Arial" w:cs="Arial" w:eastAsia="Arial" w:hAnsi="Arial"/>
                <w:sz w:val="18"/>
                <w:szCs w:val="18"/>
              </w:rPr>
              <w:t xml:space="preserve">Distribution → Breakdown</w:t>
            </w:r>
          </w:p>
        </w:tc>
        <w:tc>
          <w:tcPr>
            <w:tcW w:type="dxa" w:w="28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Arial" w:cs="Arial" w:eastAsia="Arial" w:hAnsi="Arial"/>
                <w:sz w:val="18"/>
                <w:szCs w:val="18"/>
              </w:rPr>
              <w:t xml:space="preserve">regime_probs[dist] drops &gt;20% AND regime_probs[bear] rises &gt;15%; price breaks below 20-bar low; volume surge</w:t>
            </w:r>
          </w:p>
        </w:tc>
        <w:tc>
          <w:tcPr>
            <w:tcW w:type="dxa" w:w="22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Arial" w:cs="Arial" w:eastAsia="Arial" w:hAnsi="Arial"/>
                <w:sz w:val="18"/>
                <w:szCs w:val="18"/>
              </w:rPr>
              <w:t xml:space="preserve">TRANSITION_BREAKDOWN (directional: short)</w:t>
            </w:r>
          </w:p>
        </w:tc>
        <w:tc>
          <w:tcPr>
            <w:tcW w:type="dxa" w:w="216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Arial" w:cs="Arial" w:eastAsia="Arial" w:hAnsi="Arial"/>
                <w:sz w:val="18"/>
                <w:szCs w:val="18"/>
              </w:rPr>
              <w:t xml:space="preserve">3-bar confirmation, 5-bar expiry</w:t>
            </w:r>
          </w:p>
        </w:tc>
      </w:tr>
      <w:tr>
        <w:tc>
          <w:tcPr>
            <w:tcW w:type="dxa" w:w="2200"/>
            <w:tcBorders>
              <w:top w:val="single" w:color="CCCCCC" w:sz="1"/>
              <w:left w:val="single" w:color="CCCCCC" w:sz="1"/>
              <w:bottom w:val="single" w:color="CCCCCC" w:sz="1"/>
              <w:right w:val="single" w:color="CCCCCC" w:sz="1"/>
            </w:tcBorders>
            <w:shd w:fill="E3F2FD" w:val="clear"/>
            <w:tcMar>
              <w:top w:type="dxa" w:w="50"/>
              <w:left w:type="dxa" w:w="100"/>
              <w:bottom w:type="dxa" w:w="50"/>
              <w:right w:type="dxa" w:w="100"/>
            </w:tcMar>
          </w:tcPr>
          <w:p>
            <w:r>
              <w:rPr>
                <w:rFonts w:ascii="Arial" w:cs="Arial" w:eastAsia="Arial" w:hAnsi="Arial"/>
                <w:sz w:val="18"/>
                <w:szCs w:val="18"/>
              </w:rPr>
              <w:t xml:space="preserve">Recovery → Trend</w:t>
            </w:r>
          </w:p>
        </w:tc>
        <w:tc>
          <w:tcPr>
            <w:tcW w:type="dxa" w:w="2800"/>
            <w:tcBorders>
              <w:top w:val="single" w:color="CCCCCC" w:sz="1"/>
              <w:left w:val="single" w:color="CCCCCC" w:sz="1"/>
              <w:bottom w:val="single" w:color="CCCCCC" w:sz="1"/>
              <w:right w:val="single" w:color="CCCCCC" w:sz="1"/>
            </w:tcBorders>
            <w:shd w:fill="E3F2FD" w:val="clear"/>
            <w:tcMar>
              <w:top w:type="dxa" w:w="50"/>
              <w:left w:type="dxa" w:w="100"/>
              <w:bottom w:type="dxa" w:w="50"/>
              <w:right w:type="dxa" w:w="100"/>
            </w:tcMar>
          </w:tcPr>
          <w:p>
            <w:r>
              <w:rPr>
                <w:rFonts w:ascii="Arial" w:cs="Arial" w:eastAsia="Arial" w:hAnsi="Arial"/>
                <w:sz w:val="18"/>
                <w:szCs w:val="18"/>
              </w:rPr>
              <w:t xml:space="preserve">ADX crosses 25 from below while EMA_slope &gt; 0 AND regime was recovery for &gt;5 bars</w:t>
            </w:r>
          </w:p>
        </w:tc>
        <w:tc>
          <w:tcPr>
            <w:tcW w:type="dxa" w:w="2200"/>
            <w:tcBorders>
              <w:top w:val="single" w:color="CCCCCC" w:sz="1"/>
              <w:left w:val="single" w:color="CCCCCC" w:sz="1"/>
              <w:bottom w:val="single" w:color="CCCCCC" w:sz="1"/>
              <w:right w:val="single" w:color="CCCCCC" w:sz="1"/>
            </w:tcBorders>
            <w:shd w:fill="E3F2FD" w:val="clear"/>
            <w:tcMar>
              <w:top w:type="dxa" w:w="50"/>
              <w:left w:type="dxa" w:w="100"/>
              <w:bottom w:type="dxa" w:w="50"/>
              <w:right w:type="dxa" w:w="100"/>
            </w:tcMar>
          </w:tcPr>
          <w:p>
            <w:r>
              <w:rPr>
                <w:rFonts w:ascii="Arial" w:cs="Arial" w:eastAsia="Arial" w:hAnsi="Arial"/>
                <w:sz w:val="18"/>
                <w:szCs w:val="18"/>
              </w:rPr>
              <w:t xml:space="preserve">TRANSITION_TREND_FORMING (directional: follows EMA slope)</w:t>
            </w:r>
          </w:p>
        </w:tc>
        <w:tc>
          <w:tcPr>
            <w:tcW w:type="dxa" w:w="2160"/>
            <w:tcBorders>
              <w:top w:val="single" w:color="CCCCCC" w:sz="1"/>
              <w:left w:val="single" w:color="CCCCCC" w:sz="1"/>
              <w:bottom w:val="single" w:color="CCCCCC" w:sz="1"/>
              <w:right w:val="single" w:color="CCCCCC" w:sz="1"/>
            </w:tcBorders>
            <w:shd w:fill="E3F2FD" w:val="clear"/>
            <w:tcMar>
              <w:top w:type="dxa" w:w="50"/>
              <w:left w:type="dxa" w:w="100"/>
              <w:bottom w:type="dxa" w:w="50"/>
              <w:right w:type="dxa" w:w="100"/>
            </w:tcMar>
          </w:tcPr>
          <w:p>
            <w:r>
              <w:rPr>
                <w:rFonts w:ascii="Arial" w:cs="Arial" w:eastAsia="Arial" w:hAnsi="Arial"/>
                <w:sz w:val="18"/>
                <w:szCs w:val="18"/>
              </w:rPr>
              <w:t xml:space="preserve">2-bar confirmation, 3-bar expiry</w:t>
            </w:r>
          </w:p>
        </w:tc>
      </w:tr>
    </w:tbl>
    <w:p>
      <w:pPr>
        <w:pStyle w:val="Heading2"/>
        <w:spacing w:after="200" w:before="300"/>
      </w:pPr>
      <w:r>
        <w:rPr>
          <w:rFonts w:ascii="Arial" w:cs="Arial" w:eastAsia="Arial" w:hAnsi="Arial"/>
          <w:b/>
          <w:bCs/>
        </w:rPr>
        <w:t xml:space="preserve">2.2 Implementation: TransitionDetector</w:t>
      </w:r>
    </w:p>
    <w:p>
      <w:pPr>
        <w:spacing w:after="160"/>
      </w:pPr>
      <w:r>
        <w:rPr>
          <w:rFonts w:ascii="Arial" w:cs="Arial" w:eastAsia="Arial" w:hAnsi="Arial"/>
          <w:sz w:val="22"/>
          <w:szCs w:val="22"/>
        </w:rPr>
        <w:t xml:space="preserve">The TransitionDetector maintains a rolling buffer of the last 10 regime_probs snapshots and computes delta vectors between consecutive observations:</w:t>
      </w:r>
    </w:p>
    <w:p>
      <w:pPr>
        <w:pStyle w:val="ListParagraph"/>
        <w:numPr>
          <w:ilvl w:val="0"/>
          <w:numId w:val="2"/>
        </w:numPr>
        <w:spacing w:after="80"/>
      </w:pPr>
      <w:r>
        <w:rPr>
          <w:rFonts w:ascii="Arial" w:cs="Arial" w:eastAsia="Arial" w:hAnsi="Arial"/>
          <w:b/>
          <w:bCs/>
          <w:sz w:val="22"/>
          <w:szCs w:val="22"/>
        </w:rPr>
        <w:t xml:space="preserve">Input: </w:t>
      </w:r>
      <w:r>
        <w:rPr>
          <w:rFonts w:ascii="Arial" w:cs="Arial" w:eastAsia="Arial" w:hAnsi="Arial"/>
          <w:sz w:val="22"/>
          <w:szCs w:val="22"/>
        </w:rPr>
        <w:t xml:space="preserve">regime_probs dict (12 keys), features dict (ADX, BB_width_ratio, vol_trend, ema_slope), current bar index</w:t>
      </w:r>
    </w:p>
    <w:p>
      <w:pPr>
        <w:pStyle w:val="ListParagraph"/>
        <w:numPr>
          <w:ilvl w:val="0"/>
          <w:numId w:val="2"/>
        </w:numPr>
        <w:spacing w:after="80"/>
      </w:pPr>
      <w:r>
        <w:rPr>
          <w:rFonts w:ascii="Arial" w:cs="Arial" w:eastAsia="Arial" w:hAnsi="Arial"/>
          <w:b/>
          <w:bCs/>
          <w:sz w:val="22"/>
          <w:szCs w:val="22"/>
        </w:rPr>
        <w:t xml:space="preserve">State: </w:t>
      </w:r>
      <w:r>
        <w:rPr>
          <w:rFonts w:ascii="Arial" w:cs="Arial" w:eastAsia="Arial" w:hAnsi="Arial"/>
          <w:sz w:val="22"/>
          <w:szCs w:val="22"/>
        </w:rPr>
        <w:t xml:space="preserve">_probs_buffer: deque(maxlen=10) of regime_probs snapshots; _active_transition: Optional[TransitionSignal] with type, direction, confidence, bars_remaining</w:t>
      </w:r>
    </w:p>
    <w:p>
      <w:pPr>
        <w:pStyle w:val="ListParagraph"/>
        <w:numPr>
          <w:ilvl w:val="0"/>
          <w:numId w:val="2"/>
        </w:numPr>
        <w:spacing w:after="80"/>
      </w:pPr>
      <w:r>
        <w:rPr>
          <w:rFonts w:ascii="Arial" w:cs="Arial" w:eastAsia="Arial" w:hAnsi="Arial"/>
          <w:b/>
          <w:bCs/>
          <w:sz w:val="22"/>
          <w:szCs w:val="22"/>
        </w:rPr>
        <w:t xml:space="preserve">Output: </w:t>
      </w:r>
      <w:r>
        <w:rPr>
          <w:rFonts w:ascii="Arial" w:cs="Arial" w:eastAsia="Arial" w:hAnsi="Arial"/>
          <w:sz w:val="22"/>
          <w:szCs w:val="22"/>
        </w:rPr>
        <w:t xml:space="preserve">Optional[TransitionSignal] — emitted once per detection, with countdown bars_remaining decrementing each call until expiry</w:t>
      </w:r>
    </w:p>
    <w:p>
      <w:pPr>
        <w:pStyle w:val="ListParagraph"/>
        <w:numPr>
          <w:ilvl w:val="0"/>
          <w:numId w:val="2"/>
        </w:numPr>
        <w:spacing w:after="80"/>
      </w:pPr>
      <w:r>
        <w:rPr>
          <w:rFonts w:ascii="Arial" w:cs="Arial" w:eastAsia="Arial" w:hAnsi="Arial"/>
          <w:b/>
          <w:bCs/>
          <w:sz w:val="22"/>
          <w:szCs w:val="22"/>
        </w:rPr>
        <w:t xml:space="preserve">Cooldown: </w:t>
      </w:r>
      <w:r>
        <w:rPr>
          <w:rFonts w:ascii="Arial" w:cs="Arial" w:eastAsia="Arial" w:hAnsi="Arial"/>
          <w:sz w:val="22"/>
          <w:szCs w:val="22"/>
        </w:rPr>
        <w:t xml:space="preserve">After a transition fires, 10-bar cooldown before same transition type can re-fire (prevents false signals in choppy transitions)</w:t>
      </w:r>
    </w:p>
    <w:p>
      <w:pPr>
        <w:pStyle w:val="Heading2"/>
        <w:spacing w:after="200" w:before="300"/>
      </w:pPr>
      <w:r>
        <w:rPr>
          <w:rFonts w:ascii="Arial" w:cs="Arial" w:eastAsia="Arial" w:hAnsi="Arial"/>
          <w:b/>
          <w:bCs/>
        </w:rPr>
        <w:t xml:space="preserve">2.3 Transition Signal Consumption</w:t>
      </w:r>
    </w:p>
    <w:p>
      <w:pPr>
        <w:spacing w:after="160"/>
      </w:pPr>
      <w:r>
        <w:rPr>
          <w:rFonts w:ascii="Arial" w:cs="Arial" w:eastAsia="Arial" w:hAnsi="Arial"/>
          <w:sz w:val="22"/>
          <w:szCs w:val="22"/>
        </w:rPr>
        <w:t xml:space="preserve">TransitionSignals are consumed by the RegimeOrchestrator, which can:</w:t>
      </w:r>
    </w:p>
    <w:p>
      <w:pPr>
        <w:pStyle w:val="ListParagraph"/>
        <w:numPr>
          <w:ilvl w:val="0"/>
          <w:numId w:val="2"/>
        </w:numPr>
        <w:spacing w:after="80"/>
      </w:pPr>
      <w:r>
        <w:rPr>
          <w:rFonts w:ascii="Arial" w:cs="Arial" w:eastAsia="Arial" w:hAnsi="Arial"/>
          <w:sz w:val="22"/>
          <w:szCs w:val="22"/>
        </w:rPr>
        <w:t xml:space="preserve">Temporarily activate models outside their declared ACTIVE_REGIMES (e.g., activate MomentumBreakout during TRANSITION_BREAKOUT even if current regime is still accumulation)</w:t>
      </w:r>
    </w:p>
    <w:p>
      <w:pPr>
        <w:pStyle w:val="ListParagraph"/>
        <w:numPr>
          <w:ilvl w:val="0"/>
          <w:numId w:val="2"/>
        </w:numPr>
        <w:spacing w:after="80"/>
      </w:pPr>
      <w:r>
        <w:rPr>
          <w:rFonts w:ascii="Arial" w:cs="Arial" w:eastAsia="Arial" w:hAnsi="Arial"/>
          <w:sz w:val="22"/>
          <w:szCs w:val="22"/>
        </w:rPr>
        <w:t xml:space="preserve">Boost confluence weight of transition-aligned signals by 1.25x (transition premium)</w:t>
      </w:r>
    </w:p>
    <w:p>
      <w:pPr>
        <w:pStyle w:val="ListParagraph"/>
        <w:numPr>
          <w:ilvl w:val="0"/>
          <w:numId w:val="2"/>
        </w:numPr>
        <w:spacing w:after="80"/>
      </w:pPr>
      <w:r>
        <w:rPr>
          <w:rFonts w:ascii="Arial" w:cs="Arial" w:eastAsia="Arial" w:hAnsi="Arial"/>
          <w:sz w:val="22"/>
          <w:szCs w:val="22"/>
        </w:rPr>
        <w:t xml:space="preserve">Reduce position size to 60% of normal during transition window (uncertainty discount)</w:t>
      </w:r>
    </w:p>
    <w:p>
      <w:pPr>
        <w:pStyle w:val="ListParagraph"/>
        <w:numPr>
          <w:ilvl w:val="0"/>
          <w:numId w:val="2"/>
        </w:numPr>
        <w:spacing w:after="80"/>
      </w:pPr>
      <w:r>
        <w:rPr>
          <w:rFonts w:ascii="Arial" w:cs="Arial" w:eastAsia="Arial" w:hAnsi="Arial"/>
          <w:sz w:val="22"/>
          <w:szCs w:val="22"/>
        </w:rPr>
        <w:t xml:space="preserve">Override the normal regime string passed to generate() with the predicted target regime</w:t>
      </w:r>
    </w:p>
    <w:p>
      <w:r>
        <w:br w:type="page"/>
      </w:r>
    </w:p>
    <w:p>
      <w:pPr>
        <w:pStyle w:val="Heading1"/>
        <w:spacing w:after="200" w:before="300"/>
      </w:pPr>
      <w:r>
        <w:rPr>
          <w:rFonts w:ascii="Arial" w:cs="Arial" w:eastAsia="Arial" w:hAnsi="Arial"/>
          <w:b/>
          <w:bCs/>
        </w:rPr>
        <w:t xml:space="preserve">3. RangeAccumulationModel Exit Upgrade</w:t>
      </w:r>
    </w:p>
    <w:p>
      <w:pPr>
        <w:spacing w:after="160"/>
      </w:pPr>
      <w:r>
        <w:rPr>
          <w:rFonts w:ascii="Arial" w:cs="Arial" w:eastAsia="Arial" w:hAnsi="Arial"/>
          <w:sz w:val="22"/>
          <w:szCs w:val="22"/>
        </w:rPr>
        <w:t xml:space="preserve">The v1.0 RangeAccumulationModel (RAM) used a static range-boundary TP. This is suboptimal because ranging markets can resolve into breakouts, and a rigid TP forces exits at the boundary even when momentum carries through. The upgraded exit logic uses a three-tier adaptive system:</w:t>
      </w:r>
    </w:p>
    <w:p>
      <w:pPr>
        <w:pStyle w:val="Heading2"/>
        <w:spacing w:after="200" w:before="300"/>
      </w:pPr>
      <w:r>
        <w:rPr>
          <w:rFonts w:ascii="Arial" w:cs="Arial" w:eastAsia="Arial" w:hAnsi="Arial"/>
          <w:b/>
          <w:bCs/>
        </w:rPr>
        <w:t xml:space="preserve">3.1 Three-Tier Exit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00"/>
        <w:gridCol w:w="2560"/>
      </w:tblGrid>
      <w:tr>
        <w:tc>
          <w:tcPr>
            <w:tcW w:type="dxa" w:w="1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c>
          <w:tcPr>
            <w:tcW w:type="dxa" w:w="2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Condition</w:t>
            </w:r>
          </w:p>
        </w:tc>
        <w:tc>
          <w:tcPr>
            <w:tcW w:type="dxa" w:w="2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25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Rationale</w:t>
            </w:r>
          </w:p>
        </w:tc>
      </w:tr>
      <w:tr>
        <w:tc>
          <w:tcPr>
            <w:tcW w:type="dxa" w:w="15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Tier 1: Partial at 1R</w:t>
            </w:r>
          </w:p>
        </w:tc>
        <w:tc>
          <w:tcPr>
            <w:tcW w:type="dxa" w:w="25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Price reaches 1.0R profit (ATR-based TP)</w:t>
            </w:r>
          </w:p>
        </w:tc>
        <w:tc>
          <w:tcPr>
            <w:tcW w:type="dxa" w:w="28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Close 33% of position; move SL to breakeven</w:t>
            </w:r>
          </w:p>
        </w:tc>
        <w:tc>
          <w:tcPr>
            <w:tcW w:type="dxa" w:w="256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Lock profit, eliminate risk on remainder</w:t>
            </w:r>
          </w:p>
        </w:tc>
      </w:tr>
      <w:tr>
        <w:tc>
          <w:tcPr>
            <w:tcW w:type="dxa" w:w="15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Tier 2: Range boundary</w:t>
            </w:r>
          </w:p>
        </w:tc>
        <w:tc>
          <w:tcPr>
            <w:tcW w:type="dxa" w:w="25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Price reaches opposite range boundary AND no breakout signal active</w:t>
            </w:r>
          </w:p>
        </w:tc>
        <w:tc>
          <w:tcPr>
            <w:tcW w:type="dxa" w:w="28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Close 50% of remaining; trail SL to 1R level</w:t>
            </w:r>
          </w:p>
        </w:tc>
        <w:tc>
          <w:tcPr>
            <w:tcW w:type="dxa" w:w="256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Capture range mean-reversion profit, keep runner</w:t>
            </w:r>
          </w:p>
        </w:tc>
      </w:tr>
      <w:tr>
        <w:tc>
          <w:tcPr>
            <w:tcW w:type="dxa" w:w="1500"/>
            <w:tcBorders>
              <w:top w:val="single" w:color="CCCCCC" w:sz="1"/>
              <w:left w:val="single" w:color="CCCCCC" w:sz="1"/>
              <w:bottom w:val="single" w:color="CCCCCC" w:sz="1"/>
              <w:right w:val="single" w:color="CCCCCC" w:sz="1"/>
            </w:tcBorders>
            <w:shd w:fill="E3F2FD" w:val="clear"/>
            <w:tcMar>
              <w:top w:type="dxa" w:w="50"/>
              <w:left w:type="dxa" w:w="100"/>
              <w:bottom w:type="dxa" w:w="50"/>
              <w:right w:type="dxa" w:w="100"/>
            </w:tcMar>
          </w:tcPr>
          <w:p>
            <w:r>
              <w:rPr>
                <w:rFonts w:ascii="Arial" w:cs="Arial" w:eastAsia="Arial" w:hAnsi="Arial"/>
                <w:sz w:val="18"/>
                <w:szCs w:val="18"/>
              </w:rPr>
              <w:t xml:space="preserve">Tier 3: Breakout override</w:t>
            </w:r>
          </w:p>
        </w:tc>
        <w:tc>
          <w:tcPr>
            <w:tcW w:type="dxa" w:w="2500"/>
            <w:tcBorders>
              <w:top w:val="single" w:color="CCCCCC" w:sz="1"/>
              <w:left w:val="single" w:color="CCCCCC" w:sz="1"/>
              <w:bottom w:val="single" w:color="CCCCCC" w:sz="1"/>
              <w:right w:val="single" w:color="CCCCCC" w:sz="1"/>
            </w:tcBorders>
            <w:shd w:fill="E3F2FD" w:val="clear"/>
            <w:tcMar>
              <w:top w:type="dxa" w:w="50"/>
              <w:left w:type="dxa" w:w="100"/>
              <w:bottom w:type="dxa" w:w="50"/>
              <w:right w:type="dxa" w:w="100"/>
            </w:tcMar>
          </w:tcPr>
          <w:p>
            <w:r>
              <w:rPr>
                <w:rFonts w:ascii="Arial" w:cs="Arial" w:eastAsia="Arial" w:hAnsi="Arial"/>
                <w:sz w:val="18"/>
                <w:szCs w:val="18"/>
              </w:rPr>
              <w:t xml:space="preserve">TransitionDetector fires TRANSITION_BREAKOUT in trade direction; OR volume surges &gt;2x AND ADX crosses 25 from below</w:t>
            </w:r>
          </w:p>
        </w:tc>
        <w:tc>
          <w:tcPr>
            <w:tcW w:type="dxa" w:w="2800"/>
            <w:tcBorders>
              <w:top w:val="single" w:color="CCCCCC" w:sz="1"/>
              <w:left w:val="single" w:color="CCCCCC" w:sz="1"/>
              <w:bottom w:val="single" w:color="CCCCCC" w:sz="1"/>
              <w:right w:val="single" w:color="CCCCCC" w:sz="1"/>
            </w:tcBorders>
            <w:shd w:fill="E3F2FD" w:val="clear"/>
            <w:tcMar>
              <w:top w:type="dxa" w:w="50"/>
              <w:left w:type="dxa" w:w="100"/>
              <w:bottom w:type="dxa" w:w="50"/>
              <w:right w:type="dxa" w:w="100"/>
            </w:tcMar>
          </w:tcPr>
          <w:p>
            <w:r>
              <w:rPr>
                <w:rFonts w:ascii="Arial" w:cs="Arial" w:eastAsia="Arial" w:hAnsi="Arial"/>
                <w:sz w:val="18"/>
                <w:szCs w:val="18"/>
              </w:rPr>
              <w:t xml:space="preserve">HOLD remaining position; switch to trailing ATR stop (1.5x ATR); extend TP to 3.0R</w:t>
            </w:r>
          </w:p>
        </w:tc>
        <w:tc>
          <w:tcPr>
            <w:tcW w:type="dxa" w:w="2560"/>
            <w:tcBorders>
              <w:top w:val="single" w:color="CCCCCC" w:sz="1"/>
              <w:left w:val="single" w:color="CCCCCC" w:sz="1"/>
              <w:bottom w:val="single" w:color="CCCCCC" w:sz="1"/>
              <w:right w:val="single" w:color="CCCCCC" w:sz="1"/>
            </w:tcBorders>
            <w:shd w:fill="E3F2FD" w:val="clear"/>
            <w:tcMar>
              <w:top w:type="dxa" w:w="50"/>
              <w:left w:type="dxa" w:w="100"/>
              <w:bottom w:type="dxa" w:w="50"/>
              <w:right w:type="dxa" w:w="100"/>
            </w:tcMar>
          </w:tcPr>
          <w:p>
            <w:r>
              <w:rPr>
                <w:rFonts w:ascii="Arial" w:cs="Arial" w:eastAsia="Arial" w:hAnsi="Arial"/>
                <w:sz w:val="18"/>
                <w:szCs w:val="18"/>
              </w:rPr>
              <w:t xml:space="preserve">Capture breakout extension—the highest-alpha scenario</w:t>
            </w:r>
          </w:p>
        </w:tc>
      </w:tr>
    </w:tbl>
    <w:p>
      <w:pPr>
        <w:pStyle w:val="Heading2"/>
        <w:spacing w:after="200" w:before="300"/>
      </w:pPr>
      <w:r>
        <w:rPr>
          <w:rFonts w:ascii="Arial" w:cs="Arial" w:eastAsia="Arial" w:hAnsi="Arial"/>
          <w:b/>
          <w:bCs/>
        </w:rPr>
        <w:t xml:space="preserve">3.2 Breakout Override Detail</w:t>
      </w:r>
    </w:p>
    <w:p>
      <w:pPr>
        <w:spacing w:after="160"/>
      </w:pPr>
      <w:r>
        <w:rPr>
          <w:rFonts w:ascii="Arial" w:cs="Arial" w:eastAsia="Arial" w:hAnsi="Arial"/>
          <w:sz w:val="22"/>
          <w:szCs w:val="22"/>
        </w:rPr>
        <w:t xml:space="preserve">The breakout override is the key innovation. When a range-bound trade coincides with the beginning of a breakout, the position is already at a favorable entry (near the range low for longs). Instead of exiting at the range boundary, the system:</w:t>
      </w:r>
    </w:p>
    <w:p>
      <w:pPr>
        <w:pStyle w:val="ListParagraph"/>
        <w:numPr>
          <w:ilvl w:val="0"/>
          <w:numId w:val="2"/>
        </w:numPr>
        <w:spacing w:after="80"/>
      </w:pPr>
      <w:r>
        <w:rPr>
          <w:rFonts w:ascii="Arial" w:cs="Arial" w:eastAsia="Arial" w:hAnsi="Arial"/>
          <w:b/>
          <w:bCs/>
          <w:sz w:val="22"/>
          <w:szCs w:val="22"/>
        </w:rPr>
        <w:t xml:space="preserve">Detects breakout initiation: </w:t>
      </w:r>
      <w:r>
        <w:rPr>
          <w:rFonts w:ascii="Arial" w:cs="Arial" w:eastAsia="Arial" w:hAnsi="Arial"/>
          <w:sz w:val="22"/>
          <w:szCs w:val="22"/>
        </w:rPr>
        <w:t xml:space="preserve">TransitionDetector fires TRANSITION_BREAKOUT, or ADX crosses 25 from below with volume surge &gt;2x average</w:t>
      </w:r>
    </w:p>
    <w:p>
      <w:pPr>
        <w:pStyle w:val="ListParagraph"/>
        <w:numPr>
          <w:ilvl w:val="0"/>
          <w:numId w:val="2"/>
        </w:numPr>
        <w:spacing w:after="80"/>
      </w:pPr>
      <w:r>
        <w:rPr>
          <w:rFonts w:ascii="Arial" w:cs="Arial" w:eastAsia="Arial" w:hAnsi="Arial"/>
          <w:b/>
          <w:bCs/>
          <w:sz w:val="22"/>
          <w:szCs w:val="22"/>
        </w:rPr>
        <w:t xml:space="preserve">Validates direction alignment: </w:t>
      </w:r>
      <w:r>
        <w:rPr>
          <w:rFonts w:ascii="Arial" w:cs="Arial" w:eastAsia="Arial" w:hAnsi="Arial"/>
          <w:sz w:val="22"/>
          <w:szCs w:val="22"/>
        </w:rPr>
        <w:t xml:space="preserve">Breakout direction must match position direction (long breakout for long position). Opposing breakout triggers immediate full exit.</w:t>
      </w:r>
    </w:p>
    <w:p>
      <w:pPr>
        <w:pStyle w:val="ListParagraph"/>
        <w:numPr>
          <w:ilvl w:val="0"/>
          <w:numId w:val="2"/>
        </w:numPr>
        <w:spacing w:after="80"/>
      </w:pPr>
      <w:r>
        <w:rPr>
          <w:rFonts w:ascii="Arial" w:cs="Arial" w:eastAsia="Arial" w:hAnsi="Arial"/>
          <w:b/>
          <w:bCs/>
          <w:sz w:val="22"/>
          <w:szCs w:val="22"/>
        </w:rPr>
        <w:t xml:space="preserve">Switches exit mode: </w:t>
      </w:r>
      <w:r>
        <w:rPr>
          <w:rFonts w:ascii="Arial" w:cs="Arial" w:eastAsia="Arial" w:hAnsi="Arial"/>
          <w:sz w:val="22"/>
          <w:szCs w:val="22"/>
        </w:rPr>
        <w:t xml:space="preserve">From fixed range-boundary TP to trailing ATR stop at 1.5x ATR. TP extends to 3.0R or the next structural resistance level.</w:t>
      </w:r>
    </w:p>
    <w:p>
      <w:pPr>
        <w:pStyle w:val="ListParagraph"/>
        <w:numPr>
          <w:ilvl w:val="0"/>
          <w:numId w:val="2"/>
        </w:numPr>
        <w:spacing w:after="80"/>
      </w:pPr>
      <w:r>
        <w:rPr>
          <w:rFonts w:ascii="Arial" w:cs="Arial" w:eastAsia="Arial" w:hAnsi="Arial"/>
          <w:b/>
          <w:bCs/>
          <w:sz w:val="22"/>
          <w:szCs w:val="22"/>
        </w:rPr>
        <w:t xml:space="preserve">Escalation path: </w:t>
      </w:r>
      <w:r>
        <w:rPr>
          <w:rFonts w:ascii="Arial" w:cs="Arial" w:eastAsia="Arial" w:hAnsi="Arial"/>
          <w:sz w:val="22"/>
          <w:szCs w:val="22"/>
        </w:rPr>
        <w:t xml:space="preserve">If breakout continues (ADX &gt;30, sustained trend), the trailing stop widens to 2.0x ATR and the trade is re-classified as a trend-following position managed by existing v1.2 partial exit logic (33% at 1R + breakeven).</w:t>
      </w:r>
    </w:p>
    <w:p>
      <w:pPr>
        <w:pStyle w:val="Heading2"/>
        <w:spacing w:after="200" w:before="300"/>
      </w:pPr>
      <w:r>
        <w:rPr>
          <w:rFonts w:ascii="Arial" w:cs="Arial" w:eastAsia="Arial" w:hAnsi="Arial"/>
          <w:b/>
          <w:bCs/>
        </w:rPr>
        <w:t xml:space="preserve">3.3 Anti-Breakout Protection</w:t>
      </w:r>
    </w:p>
    <w:p>
      <w:pPr>
        <w:spacing w:after="160"/>
      </w:pPr>
      <w:r>
        <w:rPr>
          <w:rFonts w:ascii="Arial" w:cs="Arial" w:eastAsia="Arial" w:hAnsi="Arial"/>
          <w:sz w:val="22"/>
          <w:szCs w:val="22"/>
        </w:rPr>
        <w:t xml:space="preserve">If the trade is long and a TRANSITION_BREAKDOWN fires (bearish breakout from the range), the system immediately closes the full position at market—no waiting for the SL to hit. This prevents holding a mean-reversion long into a downside breakout, which is the primary failure mode of ranging strategies.</w:t>
      </w:r>
    </w:p>
    <w:p>
      <w:r>
        <w:br w:type="page"/>
      </w:r>
    </w:p>
    <w:p>
      <w:pPr>
        <w:pStyle w:val="Heading1"/>
        <w:spacing w:after="200" w:before="300"/>
      </w:pPr>
      <w:r>
        <w:rPr>
          <w:rFonts w:ascii="Arial" w:cs="Arial" w:eastAsia="Arial" w:hAnsi="Arial"/>
          <w:b/>
          <w:bCs/>
        </w:rPr>
        <w:t xml:space="preserve">4. Regime-Aware + Signal-Type-Aware Confluence</w:t>
      </w:r>
    </w:p>
    <w:p>
      <w:pPr>
        <w:spacing w:after="160"/>
      </w:pPr>
      <w:r>
        <w:rPr>
          <w:rFonts w:ascii="Arial" w:cs="Arial" w:eastAsia="Arial" w:hAnsi="Arial"/>
          <w:sz w:val="22"/>
          <w:szCs w:val="22"/>
        </w:rPr>
        <w:t xml:space="preserve">The v1.0 confluence scorer applies a single threshold with dynamic adjustments via multiplication factors. This creates blind spots: enrichment-only signals can never reach the threshold, and the same score means different things in different regimes. The v2.0 system replaces static threshold lowering with a structured two-axis scoring matrix.</w:t>
      </w:r>
    </w:p>
    <w:p>
      <w:pPr>
        <w:pStyle w:val="Heading2"/>
        <w:spacing w:after="200" w:before="300"/>
      </w:pPr>
      <w:r>
        <w:rPr>
          <w:rFonts w:ascii="Arial" w:cs="Arial" w:eastAsia="Arial" w:hAnsi="Arial"/>
          <w:b/>
          <w:bCs/>
        </w:rPr>
        <w:t xml:space="preserve">4.1 Two-Axis Threshold Matrix</w:t>
      </w:r>
    </w:p>
    <w:p>
      <w:pPr>
        <w:spacing w:after="160"/>
      </w:pPr>
      <w:r>
        <w:rPr>
          <w:rFonts w:ascii="Arial" w:cs="Arial" w:eastAsia="Arial" w:hAnsi="Arial"/>
          <w:sz w:val="22"/>
          <w:szCs w:val="22"/>
        </w:rPr>
        <w:t xml:space="preserve">Thresholds are now determined by the intersection of (regime, signal_composition):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0"/>
        <w:gridCol w:w="1750"/>
        <w:gridCol w:w="1750"/>
        <w:gridCol w:w="1770"/>
      </w:tblGrid>
      <w:tr>
        <w:tc>
          <w:tcPr>
            <w:tcW w:type="dxa" w:w="234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Regime</w:t>
            </w:r>
          </w:p>
        </w:tc>
        <w:tc>
          <w:tcPr>
            <w:tcW w:type="dxa" w:w="175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Primary Only</w:t>
            </w:r>
          </w:p>
        </w:tc>
        <w:tc>
          <w:tcPr>
            <w:tcW w:type="dxa" w:w="175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Primary + Enrich</w:t>
            </w:r>
          </w:p>
        </w:tc>
        <w:tc>
          <w:tcPr>
            <w:tcW w:type="dxa" w:w="175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Enrichment Only</w:t>
            </w:r>
          </w:p>
        </w:tc>
        <w:tc>
          <w:tcPr>
            <w:tcW w:type="dxa" w:w="177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Transition Signal</w:t>
            </w:r>
          </w:p>
        </w:tc>
      </w:tr>
      <w:tr>
        <w:tc>
          <w:tcPr>
            <w:tcW w:type="dxa" w:w="234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bull_trend / bear_trend</w:t>
            </w:r>
          </w:p>
        </w:tc>
        <w:tc>
          <w:tcPr>
            <w:tcW w:type="dxa" w:w="175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0.45</w:t>
            </w:r>
          </w:p>
        </w:tc>
        <w:tc>
          <w:tcPr>
            <w:tcW w:type="dxa" w:w="175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0.40</w:t>
            </w:r>
          </w:p>
        </w:tc>
        <w:tc>
          <w:tcPr>
            <w:tcW w:type="dxa" w:w="175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BLOCKED</w:t>
            </w:r>
          </w:p>
        </w:tc>
        <w:tc>
          <w:tcPr>
            <w:tcW w:type="dxa" w:w="177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0.35</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volatility_expansion</w:t>
            </w:r>
          </w:p>
        </w:tc>
        <w:tc>
          <w:tcPr>
            <w:tcW w:type="dxa" w:w="17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0.48</w:t>
            </w:r>
          </w:p>
        </w:tc>
        <w:tc>
          <w:tcPr>
            <w:tcW w:type="dxa" w:w="17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0.42</w:t>
            </w:r>
          </w:p>
        </w:tc>
        <w:tc>
          <w:tcPr>
            <w:tcW w:type="dxa" w:w="17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BLOCKED</w:t>
            </w:r>
          </w:p>
        </w:tc>
        <w:tc>
          <w:tcPr>
            <w:tcW w:type="dxa" w:w="177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0.38</w:t>
            </w:r>
          </w:p>
        </w:tc>
      </w:tr>
      <w:tr>
        <w:tc>
          <w:tcPr>
            <w:tcW w:type="dxa" w:w="234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ranging / accumulation</w:t>
            </w:r>
          </w:p>
        </w:tc>
        <w:tc>
          <w:tcPr>
            <w:tcW w:type="dxa" w:w="175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0.42</w:t>
            </w:r>
          </w:p>
        </w:tc>
        <w:tc>
          <w:tcPr>
            <w:tcW w:type="dxa" w:w="175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0.38</w:t>
            </w:r>
          </w:p>
        </w:tc>
        <w:tc>
          <w:tcPr>
            <w:tcW w:type="dxa" w:w="175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0.55 (2+ models req.)</w:t>
            </w:r>
          </w:p>
        </w:tc>
        <w:tc>
          <w:tcPr>
            <w:tcW w:type="dxa" w:w="177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0.35</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recovery</w:t>
            </w:r>
          </w:p>
        </w:tc>
        <w:tc>
          <w:tcPr>
            <w:tcW w:type="dxa" w:w="17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0.44</w:t>
            </w:r>
          </w:p>
        </w:tc>
        <w:tc>
          <w:tcPr>
            <w:tcW w:type="dxa" w:w="17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0.40</w:t>
            </w:r>
          </w:p>
        </w:tc>
        <w:tc>
          <w:tcPr>
            <w:tcW w:type="dxa" w:w="17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BLOCKED</w:t>
            </w:r>
          </w:p>
        </w:tc>
        <w:tc>
          <w:tcPr>
            <w:tcW w:type="dxa" w:w="177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0.36</w:t>
            </w:r>
          </w:p>
        </w:tc>
      </w:tr>
      <w:tr>
        <w:tc>
          <w:tcPr>
            <w:tcW w:type="dxa" w:w="2340"/>
            <w:tcBorders>
              <w:top w:val="single" w:color="CCCCCC" w:sz="1"/>
              <w:left w:val="single" w:color="CCCCCC" w:sz="1"/>
              <w:bottom w:val="single" w:color="CCCCCC" w:sz="1"/>
              <w:right w:val="single" w:color="CCCCCC" w:sz="1"/>
            </w:tcBorders>
            <w:shd w:fill="F3E5F5" w:val="clear"/>
            <w:tcMar>
              <w:top w:type="dxa" w:w="50"/>
              <w:left w:type="dxa" w:w="100"/>
              <w:bottom w:type="dxa" w:w="50"/>
              <w:right w:type="dxa" w:w="100"/>
            </w:tcMar>
          </w:tcPr>
          <w:p>
            <w:r>
              <w:rPr>
                <w:rFonts w:ascii="Arial" w:cs="Arial" w:eastAsia="Arial" w:hAnsi="Arial"/>
                <w:sz w:val="18"/>
                <w:szCs w:val="18"/>
              </w:rPr>
              <w:t xml:space="preserve">vol_compression</w:t>
            </w:r>
          </w:p>
        </w:tc>
        <w:tc>
          <w:tcPr>
            <w:tcW w:type="dxa" w:w="1750"/>
            <w:tcBorders>
              <w:top w:val="single" w:color="CCCCCC" w:sz="1"/>
              <w:left w:val="single" w:color="CCCCCC" w:sz="1"/>
              <w:bottom w:val="single" w:color="CCCCCC" w:sz="1"/>
              <w:right w:val="single" w:color="CCCCCC" w:sz="1"/>
            </w:tcBorders>
            <w:shd w:fill="F3E5F5" w:val="clear"/>
            <w:tcMar>
              <w:top w:type="dxa" w:w="50"/>
              <w:left w:type="dxa" w:w="100"/>
              <w:bottom w:type="dxa" w:w="50"/>
              <w:right w:type="dxa" w:w="100"/>
            </w:tcMar>
          </w:tcPr>
          <w:p>
            <w:r>
              <w:rPr>
                <w:rFonts w:ascii="Arial" w:cs="Arial" w:eastAsia="Arial" w:hAnsi="Arial"/>
                <w:sz w:val="18"/>
                <w:szCs w:val="18"/>
              </w:rPr>
              <w:t xml:space="preserve">0.50</w:t>
            </w:r>
          </w:p>
        </w:tc>
        <w:tc>
          <w:tcPr>
            <w:tcW w:type="dxa" w:w="1750"/>
            <w:tcBorders>
              <w:top w:val="single" w:color="CCCCCC" w:sz="1"/>
              <w:left w:val="single" w:color="CCCCCC" w:sz="1"/>
              <w:bottom w:val="single" w:color="CCCCCC" w:sz="1"/>
              <w:right w:val="single" w:color="CCCCCC" w:sz="1"/>
            </w:tcBorders>
            <w:shd w:fill="F3E5F5" w:val="clear"/>
            <w:tcMar>
              <w:top w:type="dxa" w:w="50"/>
              <w:left w:type="dxa" w:w="100"/>
              <w:bottom w:type="dxa" w:w="50"/>
              <w:right w:type="dxa" w:w="100"/>
            </w:tcMar>
          </w:tcPr>
          <w:p>
            <w:r>
              <w:rPr>
                <w:rFonts w:ascii="Arial" w:cs="Arial" w:eastAsia="Arial" w:hAnsi="Arial"/>
                <w:sz w:val="18"/>
                <w:szCs w:val="18"/>
              </w:rPr>
              <w:t xml:space="preserve">0.45</w:t>
            </w:r>
          </w:p>
        </w:tc>
        <w:tc>
          <w:tcPr>
            <w:tcW w:type="dxa" w:w="1750"/>
            <w:tcBorders>
              <w:top w:val="single" w:color="CCCCCC" w:sz="1"/>
              <w:left w:val="single" w:color="CCCCCC" w:sz="1"/>
              <w:bottom w:val="single" w:color="CCCCCC" w:sz="1"/>
              <w:right w:val="single" w:color="CCCCCC" w:sz="1"/>
            </w:tcBorders>
            <w:shd w:fill="F3E5F5" w:val="clear"/>
            <w:tcMar>
              <w:top w:type="dxa" w:w="50"/>
              <w:left w:type="dxa" w:w="100"/>
              <w:bottom w:type="dxa" w:w="50"/>
              <w:right w:type="dxa" w:w="100"/>
            </w:tcMar>
          </w:tcPr>
          <w:p>
            <w:r>
              <w:rPr>
                <w:rFonts w:ascii="Arial" w:cs="Arial" w:eastAsia="Arial" w:hAnsi="Arial"/>
                <w:sz w:val="18"/>
                <w:szCs w:val="18"/>
              </w:rPr>
              <w:t xml:space="preserve">BLOCKED</w:t>
            </w:r>
          </w:p>
        </w:tc>
        <w:tc>
          <w:tcPr>
            <w:tcW w:type="dxa" w:w="1770"/>
            <w:tcBorders>
              <w:top w:val="single" w:color="CCCCCC" w:sz="1"/>
              <w:left w:val="single" w:color="CCCCCC" w:sz="1"/>
              <w:bottom w:val="single" w:color="CCCCCC" w:sz="1"/>
              <w:right w:val="single" w:color="CCCCCC" w:sz="1"/>
            </w:tcBorders>
            <w:shd w:fill="F3E5F5" w:val="clear"/>
            <w:tcMar>
              <w:top w:type="dxa" w:w="50"/>
              <w:left w:type="dxa" w:w="100"/>
              <w:bottom w:type="dxa" w:w="50"/>
              <w:right w:type="dxa" w:w="100"/>
            </w:tcMar>
          </w:tcPr>
          <w:p>
            <w:r>
              <w:rPr>
                <w:rFonts w:ascii="Arial" w:cs="Arial" w:eastAsia="Arial" w:hAnsi="Arial"/>
                <w:sz w:val="18"/>
                <w:szCs w:val="18"/>
              </w:rPr>
              <w:t xml:space="preserve">0.40</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uncertain / distribution</w:t>
            </w:r>
          </w:p>
        </w:tc>
        <w:tc>
          <w:tcPr>
            <w:tcW w:type="dxa" w:w="17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0.55</w:t>
            </w:r>
          </w:p>
        </w:tc>
        <w:tc>
          <w:tcPr>
            <w:tcW w:type="dxa" w:w="17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0.50</w:t>
            </w:r>
          </w:p>
        </w:tc>
        <w:tc>
          <w:tcPr>
            <w:tcW w:type="dxa" w:w="17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BLOCKED</w:t>
            </w:r>
          </w:p>
        </w:tc>
        <w:tc>
          <w:tcPr>
            <w:tcW w:type="dxa" w:w="177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0.45</w:t>
            </w:r>
          </w:p>
        </w:tc>
      </w:tr>
      <w:tr>
        <w:tc>
          <w:tcPr>
            <w:tcW w:type="dxa" w:w="234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Arial" w:cs="Arial" w:eastAsia="Arial" w:hAnsi="Arial"/>
                <w:sz w:val="18"/>
                <w:szCs w:val="18"/>
              </w:rPr>
              <w:t xml:space="preserve">crisis / liquidation</w:t>
            </w:r>
          </w:p>
        </w:tc>
        <w:tc>
          <w:tcPr>
            <w:tcW w:type="dxa" w:w="175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Arial" w:cs="Arial" w:eastAsia="Arial" w:hAnsi="Arial"/>
                <w:sz w:val="18"/>
                <w:szCs w:val="18"/>
              </w:rPr>
              <w:t xml:space="preserve">BLOCKED</w:t>
            </w:r>
          </w:p>
        </w:tc>
        <w:tc>
          <w:tcPr>
            <w:tcW w:type="dxa" w:w="175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Arial" w:cs="Arial" w:eastAsia="Arial" w:hAnsi="Arial"/>
                <w:sz w:val="18"/>
                <w:szCs w:val="18"/>
              </w:rPr>
              <w:t xml:space="preserve">BLOCKED</w:t>
            </w:r>
          </w:p>
        </w:tc>
        <w:tc>
          <w:tcPr>
            <w:tcW w:type="dxa" w:w="175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Arial" w:cs="Arial" w:eastAsia="Arial" w:hAnsi="Arial"/>
                <w:sz w:val="18"/>
                <w:szCs w:val="18"/>
              </w:rPr>
              <w:t xml:space="preserve">BLOCKED</w:t>
            </w:r>
          </w:p>
        </w:tc>
        <w:tc>
          <w:tcPr>
            <w:tcW w:type="dxa" w:w="177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Arial" w:cs="Arial" w:eastAsia="Arial" w:hAnsi="Arial"/>
                <w:sz w:val="18"/>
                <w:szCs w:val="18"/>
              </w:rPr>
              <w:t xml:space="preserve">BLOCKED</w:t>
            </w:r>
          </w:p>
        </w:tc>
      </w:tr>
    </w:tbl>
    <w:p>
      <w:pPr>
        <w:pStyle w:val="Heading2"/>
        <w:spacing w:after="200" w:before="300"/>
      </w:pPr>
      <w:r>
        <w:rPr>
          <w:rFonts w:ascii="Arial" w:cs="Arial" w:eastAsia="Arial" w:hAnsi="Arial"/>
          <w:b/>
          <w:bCs/>
        </w:rPr>
        <w:t xml:space="preserve">4.2 Signal Composition Classification</w:t>
      </w:r>
    </w:p>
    <w:p>
      <w:pPr>
        <w:spacing w:after="160"/>
      </w:pPr>
      <w:r>
        <w:rPr>
          <w:rFonts w:ascii="Arial" w:cs="Arial" w:eastAsia="Arial" w:hAnsi="Arial"/>
          <w:sz w:val="22"/>
          <w:szCs w:val="22"/>
        </w:rPr>
        <w:t xml:space="preserve">Each candidate is classified by signal composition before threshold lookup:</w:t>
      </w:r>
    </w:p>
    <w:p>
      <w:pPr>
        <w:pStyle w:val="ListParagraph"/>
        <w:numPr>
          <w:ilvl w:val="0"/>
          <w:numId w:val="2"/>
        </w:numPr>
        <w:spacing w:after="80"/>
      </w:pPr>
      <w:r>
        <w:rPr>
          <w:rFonts w:ascii="Arial" w:cs="Arial" w:eastAsia="Arial" w:hAnsi="Arial"/>
          <w:b/>
          <w:bCs/>
          <w:sz w:val="22"/>
          <w:szCs w:val="22"/>
        </w:rPr>
        <w:t xml:space="preserve">Primary Only: </w:t>
      </w:r>
      <w:r>
        <w:rPr>
          <w:rFonts w:ascii="Arial" w:cs="Arial" w:eastAsia="Arial" w:hAnsi="Arial"/>
          <w:sz w:val="22"/>
          <w:szCs w:val="22"/>
        </w:rPr>
        <w:t xml:space="preserve">At least 1 signal from {PBL, SLC, MomentumBreakout, RangeAccumulation, DonchianBreakout}. No enrichment required.</w:t>
      </w:r>
    </w:p>
    <w:p>
      <w:pPr>
        <w:pStyle w:val="ListParagraph"/>
        <w:numPr>
          <w:ilvl w:val="0"/>
          <w:numId w:val="2"/>
        </w:numPr>
        <w:spacing w:after="80"/>
      </w:pPr>
      <w:r>
        <w:rPr>
          <w:rFonts w:ascii="Arial" w:cs="Arial" w:eastAsia="Arial" w:hAnsi="Arial"/>
          <w:b/>
          <w:bCs/>
          <w:sz w:val="22"/>
          <w:szCs w:val="22"/>
        </w:rPr>
        <w:t xml:space="preserve">Primary + Enrichment: </w:t>
      </w:r>
      <w:r>
        <w:rPr>
          <w:rFonts w:ascii="Arial" w:cs="Arial" w:eastAsia="Arial" w:hAnsi="Arial"/>
          <w:sz w:val="22"/>
          <w:szCs w:val="22"/>
        </w:rPr>
        <w:t xml:space="preserve">At least 1 primary signal AND at least 1 enrichment signal (FundingRate, Sentiment). Receives the lowest threshold—multi-source confirmation rewards.</w:t>
      </w:r>
    </w:p>
    <w:p>
      <w:pPr>
        <w:pStyle w:val="ListParagraph"/>
        <w:numPr>
          <w:ilvl w:val="0"/>
          <w:numId w:val="2"/>
        </w:numPr>
        <w:spacing w:after="80"/>
      </w:pPr>
      <w:r>
        <w:rPr>
          <w:rFonts w:ascii="Arial" w:cs="Arial" w:eastAsia="Arial" w:hAnsi="Arial"/>
          <w:b/>
          <w:bCs/>
          <w:sz w:val="22"/>
          <w:szCs w:val="22"/>
        </w:rPr>
        <w:t xml:space="preserve">Enrichment Only: </w:t>
      </w:r>
      <w:r>
        <w:rPr>
          <w:rFonts w:ascii="Arial" w:cs="Arial" w:eastAsia="Arial" w:hAnsi="Arial"/>
          <w:sz w:val="22"/>
          <w:szCs w:val="22"/>
        </w:rPr>
        <w:t xml:space="preserve">Only enrichment models fired. Requires 2+ enrichment models agreeing on direction. Only allowed in ranging/accumulation regimes with elevated threshold (0.55).</w:t>
      </w:r>
    </w:p>
    <w:p>
      <w:pPr>
        <w:pStyle w:val="ListParagraph"/>
        <w:numPr>
          <w:ilvl w:val="0"/>
          <w:numId w:val="2"/>
        </w:numPr>
        <w:spacing w:after="80"/>
      </w:pPr>
      <w:r>
        <w:rPr>
          <w:rFonts w:ascii="Arial" w:cs="Arial" w:eastAsia="Arial" w:hAnsi="Arial"/>
          <w:b/>
          <w:bCs/>
          <w:sz w:val="22"/>
          <w:szCs w:val="22"/>
        </w:rPr>
        <w:t xml:space="preserve">Transition Signal: </w:t>
      </w:r>
      <w:r>
        <w:rPr>
          <w:rFonts w:ascii="Arial" w:cs="Arial" w:eastAsia="Arial" w:hAnsi="Arial"/>
          <w:sz w:val="22"/>
          <w:szCs w:val="22"/>
        </w:rPr>
        <w:t xml:space="preserve">TransitionDetector fired. Gets the lowest thresholds across all regimes—transition signals are pre-validated by the detector's own confirmation window.</w:t>
      </w:r>
    </w:p>
    <w:p>
      <w:pPr>
        <w:pStyle w:val="Heading2"/>
        <w:spacing w:after="200" w:before="300"/>
      </w:pPr>
      <w:r>
        <w:rPr>
          <w:rFonts w:ascii="Arial" w:cs="Arial" w:eastAsia="Arial" w:hAnsi="Arial"/>
          <w:b/>
          <w:bCs/>
        </w:rPr>
        <w:t xml:space="preserve">4.3 Why Not Static Threshold Lowering</w:t>
      </w:r>
    </w:p>
    <w:p>
      <w:pPr>
        <w:spacing w:after="160"/>
      </w:pPr>
      <w:r>
        <w:rPr>
          <w:rFonts w:ascii="Arial" w:cs="Arial" w:eastAsia="Arial" w:hAnsi="Arial"/>
          <w:sz w:val="22"/>
          <w:szCs w:val="22"/>
        </w:rPr>
        <w:t xml:space="preserve">Static lowering (e.g., "lower threshold to 0.30 in ranging") creates overtrading risk because it applies uniformly regardless of signal quality. The two-axis matrix avoids this:</w:t>
      </w:r>
    </w:p>
    <w:p>
      <w:pPr>
        <w:pStyle w:val="ListParagraph"/>
        <w:numPr>
          <w:ilvl w:val="0"/>
          <w:numId w:val="2"/>
        </w:numPr>
        <w:spacing w:after="80"/>
      </w:pPr>
      <w:r>
        <w:rPr>
          <w:rFonts w:ascii="Arial" w:cs="Arial" w:eastAsia="Arial" w:hAnsi="Arial"/>
          <w:sz w:val="22"/>
          <w:szCs w:val="22"/>
        </w:rPr>
        <w:t xml:space="preserve">Low thresholds are only granted to high-information signal types (Primary+Enrichment, Transition)</w:t>
      </w:r>
    </w:p>
    <w:p>
      <w:pPr>
        <w:pStyle w:val="ListParagraph"/>
        <w:numPr>
          <w:ilvl w:val="0"/>
          <w:numId w:val="2"/>
        </w:numPr>
        <w:spacing w:after="80"/>
      </w:pPr>
      <w:r>
        <w:rPr>
          <w:rFonts w:ascii="Arial" w:cs="Arial" w:eastAsia="Arial" w:hAnsi="Arial"/>
          <w:sz w:val="22"/>
          <w:szCs w:val="22"/>
        </w:rPr>
        <w:t xml:space="preserve">Enrichment-only signals face the HIGHEST threshold (0.55), not the lowest—preventing noise trades</w:t>
      </w:r>
    </w:p>
    <w:p>
      <w:pPr>
        <w:pStyle w:val="ListParagraph"/>
        <w:numPr>
          <w:ilvl w:val="0"/>
          <w:numId w:val="2"/>
        </w:numPr>
        <w:spacing w:after="80"/>
      </w:pPr>
      <w:r>
        <w:rPr>
          <w:rFonts w:ascii="Arial" w:cs="Arial" w:eastAsia="Arial" w:hAnsi="Arial"/>
          <w:sz w:val="22"/>
          <w:szCs w:val="22"/>
        </w:rPr>
        <w:t xml:space="preserve">Transition signals earn low thresholds because the TransitionDetector has already applied 2–3 bar confirmation + volume + ADX checks before emitting</w:t>
      </w:r>
    </w:p>
    <w:p>
      <w:pPr>
        <w:pStyle w:val="ListParagraph"/>
        <w:numPr>
          <w:ilvl w:val="0"/>
          <w:numId w:val="2"/>
        </w:numPr>
        <w:spacing w:after="80"/>
      </w:pPr>
      <w:r>
        <w:rPr>
          <w:rFonts w:ascii="Arial" w:cs="Arial" w:eastAsia="Arial" w:hAnsi="Arial"/>
          <w:sz w:val="22"/>
          <w:szCs w:val="22"/>
        </w:rPr>
        <w:t xml:space="preserve">Crisis/liquidation regimes are hard-blocked regardless of signal strength—capital preservation is non-negotiable</w:t>
      </w:r>
    </w:p>
    <w:p>
      <w:r>
        <w:br w:type="page"/>
      </w:r>
    </w:p>
    <w:p>
      <w:pPr>
        <w:pStyle w:val="Heading1"/>
        <w:spacing w:after="200" w:before="300"/>
      </w:pPr>
      <w:r>
        <w:rPr>
          <w:rFonts w:ascii="Arial" w:cs="Arial" w:eastAsia="Arial" w:hAnsi="Arial"/>
          <w:b/>
          <w:bCs/>
        </w:rPr>
        <w:t xml:space="preserve">5. Regime-Based Capital Allocation</w:t>
      </w:r>
    </w:p>
    <w:p>
      <w:pPr>
        <w:spacing w:after="160"/>
      </w:pPr>
      <w:r>
        <w:rPr>
          <w:rFonts w:ascii="Arial" w:cs="Arial" w:eastAsia="Arial" w:hAnsi="Arial"/>
          <w:sz w:val="22"/>
          <w:szCs w:val="22"/>
        </w:rPr>
        <w:t xml:space="preserve">Current position sizing is regime-agnostic: the same risk_pct_per_trade (0.5%) applies regardless of regime. This fails to reflect that different regimes have different expected edges. The RegimeCapitalAllocator adjusts risk per trade based on the regime's historical edge profile.</w:t>
      </w:r>
    </w:p>
    <w:p>
      <w:pPr>
        <w:pStyle w:val="Heading2"/>
        <w:spacing w:after="200" w:before="300"/>
      </w:pPr>
      <w:r>
        <w:rPr>
          <w:rFonts w:ascii="Arial" w:cs="Arial" w:eastAsia="Arial" w:hAnsi="Arial"/>
          <w:b/>
          <w:bCs/>
        </w:rPr>
        <w:t xml:space="preserve">5.1 Regime Risk Multiplier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800"/>
        <w:gridCol w:w="2560"/>
      </w:tblGrid>
      <w:tr>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Regime</w:t>
            </w:r>
          </w:p>
        </w:tc>
        <w:tc>
          <w:tcPr>
            <w:tcW w:type="dxa" w:w="1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Risk Mult</w:t>
            </w:r>
          </w:p>
        </w:tc>
        <w:tc>
          <w:tcPr>
            <w:tcW w:type="dxa" w:w="1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Eff. Risk %</w:t>
            </w:r>
          </w:p>
        </w:tc>
        <w:tc>
          <w:tcPr>
            <w:tcW w:type="dxa" w:w="1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Max Capital %</w:t>
            </w:r>
          </w:p>
        </w:tc>
        <w:tc>
          <w:tcPr>
            <w:tcW w:type="dxa" w:w="25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bull_trend</w:t>
            </w:r>
          </w:p>
        </w:tc>
        <w:tc>
          <w:tcPr>
            <w:tcW w:type="dxa" w:w="15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1.20</w:t>
            </w:r>
          </w:p>
        </w:tc>
        <w:tc>
          <w:tcPr>
            <w:tcW w:type="dxa" w:w="15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0.60%</w:t>
            </w:r>
          </w:p>
        </w:tc>
        <w:tc>
          <w:tcPr>
            <w:tcW w:type="dxa" w:w="18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5.0%</w:t>
            </w:r>
          </w:p>
        </w:tc>
        <w:tc>
          <w:tcPr>
            <w:tcW w:type="dxa" w:w="256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Highest edge: PBL validated PF=1.27</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bear_trend</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1.10</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0.55%</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4.5%</w:t>
            </w:r>
          </w:p>
        </w:tc>
        <w:tc>
          <w:tcPr>
            <w:tcW w:type="dxa" w:w="2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Strong edge: SLC PF=1.55</w:t>
            </w:r>
          </w:p>
        </w:tc>
      </w:tr>
      <w:tr>
        <w:tc>
          <w:tcPr>
            <w:tcW w:type="dxa" w:w="20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volatility_expansion</w:t>
            </w:r>
          </w:p>
        </w:tc>
        <w:tc>
          <w:tcPr>
            <w:tcW w:type="dxa" w:w="15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0.80</w:t>
            </w:r>
          </w:p>
        </w:tc>
        <w:tc>
          <w:tcPr>
            <w:tcW w:type="dxa" w:w="15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0.40%</w:t>
            </w:r>
          </w:p>
        </w:tc>
        <w:tc>
          <w:tcPr>
            <w:tcW w:type="dxa" w:w="18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3.0%</w:t>
            </w:r>
          </w:p>
        </w:tc>
        <w:tc>
          <w:tcPr>
            <w:tcW w:type="dxa" w:w="256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Moderate edge, high vol: MB PF ~1.21</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ranging / accumulation</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0.70</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0.35%</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2.5%</w:t>
            </w:r>
          </w:p>
        </w:tc>
        <w:tc>
          <w:tcPr>
            <w:tcW w:type="dxa" w:w="2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Unvalidated: RAM in shadow mode</w:t>
            </w:r>
          </w:p>
        </w:tc>
      </w:tr>
      <w:tr>
        <w:tc>
          <w:tcPr>
            <w:tcW w:type="dxa" w:w="2000"/>
            <w:tcBorders>
              <w:top w:val="single" w:color="CCCCCC" w:sz="1"/>
              <w:left w:val="single" w:color="CCCCCC" w:sz="1"/>
              <w:bottom w:val="single" w:color="CCCCCC" w:sz="1"/>
              <w:right w:val="single" w:color="CCCCCC" w:sz="1"/>
            </w:tcBorders>
            <w:shd w:fill="E3F2FD" w:val="clear"/>
            <w:tcMar>
              <w:top w:type="dxa" w:w="50"/>
              <w:left w:type="dxa" w:w="100"/>
              <w:bottom w:type="dxa" w:w="50"/>
              <w:right w:type="dxa" w:w="100"/>
            </w:tcMar>
          </w:tcPr>
          <w:p>
            <w:r>
              <w:rPr>
                <w:rFonts w:ascii="Arial" w:cs="Arial" w:eastAsia="Arial" w:hAnsi="Arial"/>
                <w:sz w:val="18"/>
                <w:szCs w:val="18"/>
              </w:rPr>
              <w:t xml:space="preserve">recovery</w:t>
            </w:r>
          </w:p>
        </w:tc>
        <w:tc>
          <w:tcPr>
            <w:tcW w:type="dxa" w:w="1500"/>
            <w:tcBorders>
              <w:top w:val="single" w:color="CCCCCC" w:sz="1"/>
              <w:left w:val="single" w:color="CCCCCC" w:sz="1"/>
              <w:bottom w:val="single" w:color="CCCCCC" w:sz="1"/>
              <w:right w:val="single" w:color="CCCCCC" w:sz="1"/>
            </w:tcBorders>
            <w:shd w:fill="E3F2FD" w:val="clear"/>
            <w:tcMar>
              <w:top w:type="dxa" w:w="50"/>
              <w:left w:type="dxa" w:w="100"/>
              <w:bottom w:type="dxa" w:w="50"/>
              <w:right w:type="dxa" w:w="100"/>
            </w:tcMar>
          </w:tcPr>
          <w:p>
            <w:r>
              <w:rPr>
                <w:rFonts w:ascii="Arial" w:cs="Arial" w:eastAsia="Arial" w:hAnsi="Arial"/>
                <w:sz w:val="18"/>
                <w:szCs w:val="18"/>
              </w:rPr>
              <w:t xml:space="preserve">0.75</w:t>
            </w:r>
          </w:p>
        </w:tc>
        <w:tc>
          <w:tcPr>
            <w:tcW w:type="dxa" w:w="1500"/>
            <w:tcBorders>
              <w:top w:val="single" w:color="CCCCCC" w:sz="1"/>
              <w:left w:val="single" w:color="CCCCCC" w:sz="1"/>
              <w:bottom w:val="single" w:color="CCCCCC" w:sz="1"/>
              <w:right w:val="single" w:color="CCCCCC" w:sz="1"/>
            </w:tcBorders>
            <w:shd w:fill="E3F2FD" w:val="clear"/>
            <w:tcMar>
              <w:top w:type="dxa" w:w="50"/>
              <w:left w:type="dxa" w:w="100"/>
              <w:bottom w:type="dxa" w:w="50"/>
              <w:right w:type="dxa" w:w="100"/>
            </w:tcMar>
          </w:tcPr>
          <w:p>
            <w:r>
              <w:rPr>
                <w:rFonts w:ascii="Arial" w:cs="Arial" w:eastAsia="Arial" w:hAnsi="Arial"/>
                <w:sz w:val="18"/>
                <w:szCs w:val="18"/>
              </w:rPr>
              <w:t xml:space="preserve">0.375%</w:t>
            </w:r>
          </w:p>
        </w:tc>
        <w:tc>
          <w:tcPr>
            <w:tcW w:type="dxa" w:w="1800"/>
            <w:tcBorders>
              <w:top w:val="single" w:color="CCCCCC" w:sz="1"/>
              <w:left w:val="single" w:color="CCCCCC" w:sz="1"/>
              <w:bottom w:val="single" w:color="CCCCCC" w:sz="1"/>
              <w:right w:val="single" w:color="CCCCCC" w:sz="1"/>
            </w:tcBorders>
            <w:shd w:fill="E3F2FD" w:val="clear"/>
            <w:tcMar>
              <w:top w:type="dxa" w:w="50"/>
              <w:left w:type="dxa" w:w="100"/>
              <w:bottom w:type="dxa" w:w="50"/>
              <w:right w:type="dxa" w:w="100"/>
            </w:tcMar>
          </w:tcPr>
          <w:p>
            <w:r>
              <w:rPr>
                <w:rFonts w:ascii="Arial" w:cs="Arial" w:eastAsia="Arial" w:hAnsi="Arial"/>
                <w:sz w:val="18"/>
                <w:szCs w:val="18"/>
              </w:rPr>
              <w:t xml:space="preserve">3.0%</w:t>
            </w:r>
          </w:p>
        </w:tc>
        <w:tc>
          <w:tcPr>
            <w:tcW w:type="dxa" w:w="2560"/>
            <w:tcBorders>
              <w:top w:val="single" w:color="CCCCCC" w:sz="1"/>
              <w:left w:val="single" w:color="CCCCCC" w:sz="1"/>
              <w:bottom w:val="single" w:color="CCCCCC" w:sz="1"/>
              <w:right w:val="single" w:color="CCCCCC" w:sz="1"/>
            </w:tcBorders>
            <w:shd w:fill="E3F2FD" w:val="clear"/>
            <w:tcMar>
              <w:top w:type="dxa" w:w="50"/>
              <w:left w:type="dxa" w:w="100"/>
              <w:bottom w:type="dxa" w:w="50"/>
              <w:right w:type="dxa" w:w="100"/>
            </w:tcMar>
          </w:tcPr>
          <w:p>
            <w:r>
              <w:rPr>
                <w:rFonts w:ascii="Arial" w:cs="Arial" w:eastAsia="Arial" w:hAnsi="Arial"/>
                <w:sz w:val="18"/>
                <w:szCs w:val="18"/>
              </w:rPr>
              <w:t xml:space="preserve">Post-crisis recovery: moderate edge</w:t>
            </w:r>
          </w:p>
        </w:tc>
      </w:tr>
      <w:tr>
        <w:tc>
          <w:tcPr>
            <w:tcW w:type="dxa" w:w="2000"/>
            <w:tcBorders>
              <w:top w:val="single" w:color="CCCCCC" w:sz="1"/>
              <w:left w:val="single" w:color="CCCCCC" w:sz="1"/>
              <w:bottom w:val="single" w:color="CCCCCC" w:sz="1"/>
              <w:right w:val="single" w:color="CCCCCC" w:sz="1"/>
            </w:tcBorders>
            <w:shd w:fill="F3E5F5" w:val="clear"/>
            <w:tcMar>
              <w:top w:type="dxa" w:w="50"/>
              <w:left w:type="dxa" w:w="100"/>
              <w:bottom w:type="dxa" w:w="50"/>
              <w:right w:type="dxa" w:w="100"/>
            </w:tcMar>
          </w:tcPr>
          <w:p>
            <w:r>
              <w:rPr>
                <w:rFonts w:ascii="Arial" w:cs="Arial" w:eastAsia="Arial" w:hAnsi="Arial"/>
                <w:sz w:val="18"/>
                <w:szCs w:val="18"/>
              </w:rPr>
              <w:t xml:space="preserve">transition (any)</w:t>
            </w:r>
          </w:p>
        </w:tc>
        <w:tc>
          <w:tcPr>
            <w:tcW w:type="dxa" w:w="1500"/>
            <w:tcBorders>
              <w:top w:val="single" w:color="CCCCCC" w:sz="1"/>
              <w:left w:val="single" w:color="CCCCCC" w:sz="1"/>
              <w:bottom w:val="single" w:color="CCCCCC" w:sz="1"/>
              <w:right w:val="single" w:color="CCCCCC" w:sz="1"/>
            </w:tcBorders>
            <w:shd w:fill="F3E5F5" w:val="clear"/>
            <w:tcMar>
              <w:top w:type="dxa" w:w="50"/>
              <w:left w:type="dxa" w:w="100"/>
              <w:bottom w:type="dxa" w:w="50"/>
              <w:right w:type="dxa" w:w="100"/>
            </w:tcMar>
          </w:tcPr>
          <w:p>
            <w:r>
              <w:rPr>
                <w:rFonts w:ascii="Arial" w:cs="Arial" w:eastAsia="Arial" w:hAnsi="Arial"/>
                <w:sz w:val="18"/>
                <w:szCs w:val="18"/>
              </w:rPr>
              <w:t xml:space="preserve">0.60</w:t>
            </w:r>
          </w:p>
        </w:tc>
        <w:tc>
          <w:tcPr>
            <w:tcW w:type="dxa" w:w="1500"/>
            <w:tcBorders>
              <w:top w:val="single" w:color="CCCCCC" w:sz="1"/>
              <w:left w:val="single" w:color="CCCCCC" w:sz="1"/>
              <w:bottom w:val="single" w:color="CCCCCC" w:sz="1"/>
              <w:right w:val="single" w:color="CCCCCC" w:sz="1"/>
            </w:tcBorders>
            <w:shd w:fill="F3E5F5" w:val="clear"/>
            <w:tcMar>
              <w:top w:type="dxa" w:w="50"/>
              <w:left w:type="dxa" w:w="100"/>
              <w:bottom w:type="dxa" w:w="50"/>
              <w:right w:type="dxa" w:w="100"/>
            </w:tcMar>
          </w:tcPr>
          <w:p>
            <w:r>
              <w:rPr>
                <w:rFonts w:ascii="Arial" w:cs="Arial" w:eastAsia="Arial" w:hAnsi="Arial"/>
                <w:sz w:val="18"/>
                <w:szCs w:val="18"/>
              </w:rPr>
              <w:t xml:space="preserve">0.30%</w:t>
            </w:r>
          </w:p>
        </w:tc>
        <w:tc>
          <w:tcPr>
            <w:tcW w:type="dxa" w:w="1800"/>
            <w:tcBorders>
              <w:top w:val="single" w:color="CCCCCC" w:sz="1"/>
              <w:left w:val="single" w:color="CCCCCC" w:sz="1"/>
              <w:bottom w:val="single" w:color="CCCCCC" w:sz="1"/>
              <w:right w:val="single" w:color="CCCCCC" w:sz="1"/>
            </w:tcBorders>
            <w:shd w:fill="F3E5F5" w:val="clear"/>
            <w:tcMar>
              <w:top w:type="dxa" w:w="50"/>
              <w:left w:type="dxa" w:w="100"/>
              <w:bottom w:type="dxa" w:w="50"/>
              <w:right w:type="dxa" w:w="100"/>
            </w:tcMar>
          </w:tcPr>
          <w:p>
            <w:r>
              <w:rPr>
                <w:rFonts w:ascii="Arial" w:cs="Arial" w:eastAsia="Arial" w:hAnsi="Arial"/>
                <w:sz w:val="18"/>
                <w:szCs w:val="18"/>
              </w:rPr>
              <w:t xml:space="preserve">2.0%</w:t>
            </w:r>
          </w:p>
        </w:tc>
        <w:tc>
          <w:tcPr>
            <w:tcW w:type="dxa" w:w="2560"/>
            <w:tcBorders>
              <w:top w:val="single" w:color="CCCCCC" w:sz="1"/>
              <w:left w:val="single" w:color="CCCCCC" w:sz="1"/>
              <w:bottom w:val="single" w:color="CCCCCC" w:sz="1"/>
              <w:right w:val="single" w:color="CCCCCC" w:sz="1"/>
            </w:tcBorders>
            <w:shd w:fill="F3E5F5" w:val="clear"/>
            <w:tcMar>
              <w:top w:type="dxa" w:w="50"/>
              <w:left w:type="dxa" w:w="100"/>
              <w:bottom w:type="dxa" w:w="50"/>
              <w:right w:type="dxa" w:w="100"/>
            </w:tcMar>
          </w:tcPr>
          <w:p>
            <w:r>
              <w:rPr>
                <w:rFonts w:ascii="Arial" w:cs="Arial" w:eastAsia="Arial" w:hAnsi="Arial"/>
                <w:sz w:val="18"/>
                <w:szCs w:val="18"/>
              </w:rPr>
              <w:t xml:space="preserve">High alpha but uncertain; reduced size</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vol_compression</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0.50</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0.25%</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2.0%</w:t>
            </w:r>
          </w:p>
        </w:tc>
        <w:tc>
          <w:tcPr>
            <w:tcW w:type="dxa" w:w="2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Pre-breakout: minimal until direction resolves</w:t>
            </w:r>
          </w:p>
        </w:tc>
      </w:tr>
      <w:tr>
        <w:tc>
          <w:tcPr>
            <w:tcW w:type="dxa" w:w="20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Arial" w:cs="Arial" w:eastAsia="Arial" w:hAnsi="Arial"/>
                <w:sz w:val="18"/>
                <w:szCs w:val="18"/>
              </w:rPr>
              <w:t xml:space="preserve">crisis / liquidation</w:t>
            </w:r>
          </w:p>
        </w:tc>
        <w:tc>
          <w:tcPr>
            <w:tcW w:type="dxa" w:w="15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Arial" w:cs="Arial" w:eastAsia="Arial" w:hAnsi="Arial"/>
                <w:sz w:val="18"/>
                <w:szCs w:val="18"/>
              </w:rPr>
              <w:t xml:space="preserve">0.00</w:t>
            </w:r>
          </w:p>
        </w:tc>
        <w:tc>
          <w:tcPr>
            <w:tcW w:type="dxa" w:w="15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Arial" w:cs="Arial" w:eastAsia="Arial" w:hAnsi="Arial"/>
                <w:sz w:val="18"/>
                <w:szCs w:val="18"/>
              </w:rPr>
              <w:t xml:space="preserve">0.00%</w:t>
            </w:r>
          </w:p>
        </w:tc>
        <w:tc>
          <w:tcPr>
            <w:tcW w:type="dxa" w:w="18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Arial" w:cs="Arial" w:eastAsia="Arial" w:hAnsi="Arial"/>
                <w:sz w:val="18"/>
                <w:szCs w:val="18"/>
              </w:rPr>
              <w:t xml:space="preserve">0.0%</w:t>
            </w:r>
          </w:p>
        </w:tc>
        <w:tc>
          <w:tcPr>
            <w:tcW w:type="dxa" w:w="256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Arial" w:cs="Arial" w:eastAsia="Arial" w:hAnsi="Arial"/>
                <w:sz w:val="18"/>
                <w:szCs w:val="18"/>
              </w:rPr>
              <w:t xml:space="preserve">No new positions. Capital preservation.</w:t>
            </w:r>
          </w:p>
        </w:tc>
      </w:tr>
    </w:tbl>
    <w:p>
      <w:pPr>
        <w:pStyle w:val="Heading2"/>
        <w:spacing w:after="200" w:before="300"/>
      </w:pPr>
      <w:r>
        <w:rPr>
          <w:rFonts w:ascii="Arial" w:cs="Arial" w:eastAsia="Arial" w:hAnsi="Arial"/>
          <w:b/>
          <w:bCs/>
        </w:rPr>
        <w:t xml:space="preserve">5.2 Integration with PositionSizer</w:t>
      </w:r>
    </w:p>
    <w:p>
      <w:pPr>
        <w:spacing w:after="160"/>
      </w:pPr>
      <w:r>
        <w:rPr>
          <w:rFonts w:ascii="Arial" w:cs="Arial" w:eastAsia="Arial" w:hAnsi="Arial"/>
          <w:sz w:val="22"/>
          <w:szCs w:val="22"/>
        </w:rPr>
        <w:t xml:space="preserve">The RegimeCapitalAllocator wraps the existing PositionSizer.calculate_risk_based() method:</w:t>
      </w:r>
    </w:p>
    <w:p>
      <w:pPr>
        <w:pStyle w:val="ListParagraph"/>
        <w:numPr>
          <w:ilvl w:val="0"/>
          <w:numId w:val="2"/>
        </w:numPr>
        <w:spacing w:after="80"/>
      </w:pPr>
      <w:r>
        <w:rPr>
          <w:rFonts w:ascii="Arial" w:cs="Arial" w:eastAsia="Arial" w:hAnsi="Arial"/>
          <w:b/>
          <w:bCs/>
          <w:sz w:val="22"/>
          <w:szCs w:val="22"/>
        </w:rPr>
        <w:t xml:space="preserve">effective_risk_pct = </w:t>
      </w:r>
      <w:r>
        <w:rPr>
          <w:rFonts w:ascii="Arial" w:cs="Arial" w:eastAsia="Arial" w:hAnsi="Arial"/>
          <w:sz w:val="22"/>
          <w:szCs w:val="22"/>
        </w:rPr>
        <w:t xml:space="preserve">base_risk_pct (0.5%) × regime_multiplier × transition_discount (0.6 if in transition, else 1.0)</w:t>
      </w:r>
    </w:p>
    <w:p>
      <w:pPr>
        <w:pStyle w:val="ListParagraph"/>
        <w:numPr>
          <w:ilvl w:val="0"/>
          <w:numId w:val="2"/>
        </w:numPr>
        <w:spacing w:after="80"/>
      </w:pPr>
      <w:r>
        <w:rPr>
          <w:rFonts w:ascii="Arial" w:cs="Arial" w:eastAsia="Arial" w:hAnsi="Arial"/>
          <w:b/>
          <w:bCs/>
          <w:sz w:val="22"/>
          <w:szCs w:val="22"/>
        </w:rPr>
        <w:t xml:space="preserve">effective_max_capital_pct = </w:t>
      </w:r>
      <w:r>
        <w:rPr>
          <w:rFonts w:ascii="Arial" w:cs="Arial" w:eastAsia="Arial" w:hAnsi="Arial"/>
          <w:sz w:val="22"/>
          <w:szCs w:val="22"/>
        </w:rPr>
        <w:t xml:space="preserve">regime_max_capital_pct (from table above), capped by global max_capital_pct (4%)</w:t>
      </w:r>
    </w:p>
    <w:p>
      <w:pPr>
        <w:pStyle w:val="ListParagraph"/>
        <w:numPr>
          <w:ilvl w:val="0"/>
          <w:numId w:val="2"/>
        </w:numPr>
        <w:spacing w:after="80"/>
      </w:pPr>
      <w:r>
        <w:rPr>
          <w:rFonts w:ascii="Arial" w:cs="Arial" w:eastAsia="Arial" w:hAnsi="Arial"/>
          <w:b/>
          <w:bCs/>
          <w:sz w:val="22"/>
          <w:szCs w:val="22"/>
        </w:rPr>
        <w:t xml:space="preserve">Existing guards preserved: </w:t>
      </w:r>
      <w:r>
        <w:rPr>
          <w:rFonts w:ascii="Arial" w:cs="Arial" w:eastAsia="Arial" w:hAnsi="Arial"/>
          <w:sz w:val="22"/>
          <w:szCs w:val="22"/>
        </w:rPr>
        <w:t xml:space="preserve">Rolling PF guardrails (Section 5 Session 34), loss streak scalar, Tiered Capital Model (Phase 2) all still apply on top</w:t>
      </w:r>
    </w:p>
    <w:p>
      <w:pPr>
        <w:pStyle w:val="ListParagraph"/>
        <w:numPr>
          <w:ilvl w:val="0"/>
          <w:numId w:val="2"/>
        </w:numPr>
        <w:spacing w:after="80"/>
      </w:pPr>
      <w:r>
        <w:rPr>
          <w:rFonts w:ascii="Arial" w:cs="Arial" w:eastAsia="Arial" w:hAnsi="Arial"/>
          <w:b/>
          <w:bCs/>
          <w:sz w:val="22"/>
          <w:szCs w:val="22"/>
        </w:rPr>
        <w:t xml:space="preserve">L2 regime adaptation: </w:t>
      </w:r>
      <w:r>
        <w:rPr>
          <w:rFonts w:ascii="Arial" w:cs="Arial" w:eastAsia="Arial" w:hAnsi="Arial"/>
          <w:sz w:val="22"/>
          <w:szCs w:val="22"/>
        </w:rPr>
        <w:t xml:space="preserve">AdaptiveWeightEngine multiplier applied to both risk_pct and max_capital_pct—if L2 shows regime×model performing poorly, size is reduced further</w:t>
      </w:r>
    </w:p>
    <w:p>
      <w:pPr>
        <w:pStyle w:val="Heading2"/>
        <w:spacing w:after="200" w:before="300"/>
      </w:pPr>
      <w:r>
        <w:rPr>
          <w:rFonts w:ascii="Arial" w:cs="Arial" w:eastAsia="Arial" w:hAnsi="Arial"/>
          <w:b/>
          <w:bCs/>
        </w:rPr>
        <w:t xml:space="preserve">5.3 Portfolio Heat Budget Per Regime</w:t>
      </w:r>
    </w:p>
    <w:p>
      <w:pPr>
        <w:spacing w:after="160"/>
      </w:pPr>
      <w:r>
        <w:rPr>
          <w:rFonts w:ascii="Arial" w:cs="Arial" w:eastAsia="Arial" w:hAnsi="Arial"/>
          <w:sz w:val="22"/>
          <w:szCs w:val="22"/>
        </w:rPr>
        <w:t xml:space="preserve">The total portfolio heat cap (currently 6%) is distributed across regime classes:</w:t>
      </w:r>
    </w:p>
    <w:p>
      <w:pPr>
        <w:pStyle w:val="ListParagraph"/>
        <w:numPr>
          <w:ilvl w:val="0"/>
          <w:numId w:val="2"/>
        </w:numPr>
        <w:spacing w:after="80"/>
      </w:pPr>
      <w:r>
        <w:rPr>
          <w:rFonts w:ascii="Arial" w:cs="Arial" w:eastAsia="Arial" w:hAnsi="Arial"/>
          <w:sz w:val="22"/>
          <w:szCs w:val="22"/>
        </w:rPr>
        <w:t xml:space="preserve">Trending regimes (bull + bear): 3.5% heat allocation (primary edge)</w:t>
      </w:r>
    </w:p>
    <w:p>
      <w:pPr>
        <w:pStyle w:val="ListParagraph"/>
        <w:numPr>
          <w:ilvl w:val="0"/>
          <w:numId w:val="2"/>
        </w:numPr>
        <w:spacing w:after="80"/>
      </w:pPr>
      <w:r>
        <w:rPr>
          <w:rFonts w:ascii="Arial" w:cs="Arial" w:eastAsia="Arial" w:hAnsi="Arial"/>
          <w:sz w:val="22"/>
          <w:szCs w:val="22"/>
        </w:rPr>
        <w:t xml:space="preserve">Expansion + transition: 1.5% heat allocation</w:t>
      </w:r>
    </w:p>
    <w:p>
      <w:pPr>
        <w:pStyle w:val="ListParagraph"/>
        <w:numPr>
          <w:ilvl w:val="0"/>
          <w:numId w:val="2"/>
        </w:numPr>
        <w:spacing w:after="80"/>
      </w:pPr>
      <w:r>
        <w:rPr>
          <w:rFonts w:ascii="Arial" w:cs="Arial" w:eastAsia="Arial" w:hAnsi="Arial"/>
          <w:sz w:val="22"/>
          <w:szCs w:val="22"/>
        </w:rPr>
        <w:t xml:space="preserve">Ranging + accumulation: 1.0% heat allocation (unvalidated edge, capped)</w:t>
      </w:r>
    </w:p>
    <w:p>
      <w:pPr>
        <w:pStyle w:val="ListParagraph"/>
        <w:numPr>
          <w:ilvl w:val="0"/>
          <w:numId w:val="2"/>
        </w:numPr>
        <w:spacing w:after="80"/>
      </w:pPr>
      <w:r>
        <w:rPr>
          <w:rFonts w:ascii="Arial" w:cs="Arial" w:eastAsia="Arial" w:hAnsi="Arial"/>
          <w:sz w:val="22"/>
          <w:szCs w:val="22"/>
        </w:rPr>
        <w:t xml:space="preserve">If trending heat is underutilized, overflow does NOT spill into ranging—this prevents the system from overloading unvalidated regimes just because trending regimes are quiet</w:t>
      </w:r>
    </w:p>
    <w:p>
      <w:r>
        <w:br w:type="page"/>
      </w:r>
    </w:p>
    <w:p>
      <w:pPr>
        <w:pStyle w:val="Heading1"/>
        <w:spacing w:after="200" w:before="300"/>
      </w:pPr>
      <w:r>
        <w:rPr>
          <w:rFonts w:ascii="Arial" w:cs="Arial" w:eastAsia="Arial" w:hAnsi="Arial"/>
          <w:b/>
          <w:bCs/>
        </w:rPr>
        <w:t xml:space="preserve">6. Coverage Guarantee System</w:t>
      </w:r>
    </w:p>
    <w:p>
      <w:pPr>
        <w:spacing w:after="160"/>
      </w:pPr>
      <w:r>
        <w:rPr>
          <w:rFonts w:ascii="Arial" w:cs="Arial" w:eastAsia="Arial" w:hAnsi="Arial"/>
          <w:sz w:val="22"/>
          <w:szCs w:val="22"/>
        </w:rPr>
        <w:t xml:space="preserve">The system must never become structurally inactive unless explicitly intended (crisis/liquidation). The CoverageGuarantee component monitors for prolonged inactivity and triggers graduated fallback responses.</w:t>
      </w:r>
    </w:p>
    <w:p>
      <w:pPr>
        <w:pStyle w:val="Heading2"/>
        <w:spacing w:after="200" w:before="300"/>
      </w:pPr>
      <w:r>
        <w:rPr>
          <w:rFonts w:ascii="Arial" w:cs="Arial" w:eastAsia="Arial" w:hAnsi="Arial"/>
          <w:b/>
          <w:bCs/>
        </w:rPr>
        <w:t xml:space="preserve">6.1 Inactivity Detection</w:t>
      </w:r>
    </w:p>
    <w:p>
      <w:pPr>
        <w:spacing w:after="160"/>
      </w:pPr>
      <w:r>
        <w:rPr>
          <w:rFonts w:ascii="Arial" w:cs="Arial" w:eastAsia="Arial" w:hAnsi="Arial"/>
          <w:sz w:val="22"/>
          <w:szCs w:val="22"/>
        </w:rPr>
        <w:t xml:space="preserve">CoverageGuarantee tracks consecutive scan cycles with zero approved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Idle Cycles</w:t>
            </w:r>
          </w:p>
        </w:tc>
        <w:tc>
          <w:tcPr>
            <w:tcW w:type="dxa" w:w="3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Trigger Action</w:t>
            </w:r>
          </w:p>
        </w:tc>
        <w:tc>
          <w:tcPr>
            <w:tcW w:type="dxa" w:w="3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Implementation</w:t>
            </w:r>
          </w:p>
        </w:tc>
      </w:tr>
      <w:tr>
        <w:tc>
          <w:tcPr>
            <w:tcW w:type="dxa" w:w="25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3 cycles (45 min at 15m LTF)</w:t>
            </w:r>
          </w:p>
        </w:tc>
        <w:tc>
          <w:tcPr>
            <w:tcW w:type="dxa" w:w="35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INFO alert: "Coverage gap detected"</w:t>
            </w:r>
          </w:p>
        </w:tc>
        <w:tc>
          <w:tcPr>
            <w:tcW w:type="dxa" w:w="336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bus.publish(SYSTEM_ALERT, type='coverage_gap', cycles=3)</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6 cycles (1.5h)</w:t>
            </w:r>
          </w:p>
        </w:tc>
        <w:tc>
          <w:tcPr>
            <w:tcW w:type="dxa" w:w="3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WARNING + expand model activation: allow MB in accumulation with 0.5x position size</w:t>
            </w:r>
          </w:p>
        </w:tc>
        <w:tc>
          <w:tcPr>
            <w:tcW w:type="dxa" w:w="3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RegimeOrchestrator.expand_coverage(regime, level=1)</w:t>
            </w:r>
          </w:p>
        </w:tc>
      </w:tr>
      <w:tr>
        <w:tc>
          <w:tcPr>
            <w:tcW w:type="dxa" w:w="25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Arial" w:cs="Arial" w:eastAsia="Arial" w:hAnsi="Arial"/>
                <w:sz w:val="18"/>
                <w:szCs w:val="18"/>
              </w:rPr>
              <w:t xml:space="preserve">12 cycles (3h)</w:t>
            </w:r>
          </w:p>
        </w:tc>
        <w:tc>
          <w:tcPr>
            <w:tcW w:type="dxa" w:w="35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Arial" w:cs="Arial" w:eastAsia="Arial" w:hAnsi="Arial"/>
                <w:sz w:val="18"/>
                <w:szCs w:val="18"/>
              </w:rPr>
              <w:t xml:space="preserve">CRITICAL + enrichment standalone: allow FundingRate + Sentiment to produce candidates at 0.55 threshold, 0.3x position size</w:t>
            </w:r>
          </w:p>
        </w:tc>
        <w:tc>
          <w:tcPr>
            <w:tcW w:type="dxa" w:w="336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Arial" w:cs="Arial" w:eastAsia="Arial" w:hAnsi="Arial"/>
                <w:sz w:val="18"/>
                <w:szCs w:val="18"/>
              </w:rPr>
              <w:t xml:space="preserve">RegimeOrchestrator.expand_coverage(regime, level=2)</w:t>
            </w:r>
          </w:p>
        </w:tc>
      </w:tr>
      <w:tr>
        <w:tc>
          <w:tcPr>
            <w:tcW w:type="dxa" w:w="25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Arial" w:cs="Arial" w:eastAsia="Arial" w:hAnsi="Arial"/>
                <w:sz w:val="18"/>
                <w:szCs w:val="18"/>
              </w:rPr>
              <w:t xml:space="preserve">24 cycles (6h)</w:t>
            </w:r>
          </w:p>
        </w:tc>
        <w:tc>
          <w:tcPr>
            <w:tcW w:type="dxa" w:w="35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Arial" w:cs="Arial" w:eastAsia="Arial" w:hAnsi="Arial"/>
                <w:sz w:val="18"/>
                <w:szCs w:val="18"/>
              </w:rPr>
              <w:t xml:space="preserve">Notification to operator: "System inactive 6+ hours in {regime}. Manual review recommended." No further automatic escalation.</w:t>
            </w:r>
          </w:p>
        </w:tc>
        <w:tc>
          <w:tcPr>
            <w:tcW w:type="dxa" w:w="336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Arial" w:cs="Arial" w:eastAsia="Arial" w:hAnsi="Arial"/>
                <w:sz w:val="18"/>
                <w:szCs w:val="18"/>
              </w:rPr>
              <w:t xml:space="preserve">notification_manager.notify('coverage_alert', data={...})</w:t>
            </w:r>
          </w:p>
        </w:tc>
      </w:tr>
    </w:tbl>
    <w:p>
      <w:pPr>
        <w:pStyle w:val="Heading2"/>
        <w:spacing w:after="200" w:before="300"/>
      </w:pPr>
      <w:r>
        <w:rPr>
          <w:rFonts w:ascii="Arial" w:cs="Arial" w:eastAsia="Arial" w:hAnsi="Arial"/>
          <w:b/>
          <w:bCs/>
        </w:rPr>
        <w:t xml:space="preserve">6.2 Fallback Model Activation Rules</w:t>
      </w:r>
    </w:p>
    <w:p>
      <w:pPr>
        <w:spacing w:after="160"/>
      </w:pPr>
      <w:r>
        <w:rPr>
          <w:rFonts w:ascii="Arial" w:cs="Arial" w:eastAsia="Arial" w:hAnsi="Arial"/>
          <w:sz w:val="22"/>
          <w:szCs w:val="22"/>
        </w:rPr>
        <w:t xml:space="preserve">When the CoverageGuarantee expands model activation, it does so with strict constraints:</w:t>
      </w:r>
    </w:p>
    <w:p>
      <w:pPr>
        <w:pStyle w:val="ListParagraph"/>
        <w:numPr>
          <w:ilvl w:val="0"/>
          <w:numId w:val="2"/>
        </w:numPr>
        <w:spacing w:after="80"/>
      </w:pPr>
      <w:r>
        <w:rPr>
          <w:rFonts w:ascii="Arial" w:cs="Arial" w:eastAsia="Arial" w:hAnsi="Arial"/>
          <w:b/>
          <w:bCs/>
          <w:sz w:val="22"/>
          <w:szCs w:val="22"/>
        </w:rPr>
        <w:t xml:space="preserve">Position size cap: </w:t>
      </w:r>
      <w:r>
        <w:rPr>
          <w:rFonts w:ascii="Arial" w:cs="Arial" w:eastAsia="Arial" w:hAnsi="Arial"/>
          <w:sz w:val="22"/>
          <w:szCs w:val="22"/>
        </w:rPr>
        <w:t xml:space="preserve">Fallback trades are capped at 0.3–0.5x normal position size. This limits damage if the expanded model has no edge in the current regime.</w:t>
      </w:r>
    </w:p>
    <w:p>
      <w:pPr>
        <w:pStyle w:val="ListParagraph"/>
        <w:numPr>
          <w:ilvl w:val="0"/>
          <w:numId w:val="2"/>
        </w:numPr>
        <w:spacing w:after="80"/>
      </w:pPr>
      <w:r>
        <w:rPr>
          <w:rFonts w:ascii="Arial" w:cs="Arial" w:eastAsia="Arial" w:hAnsi="Arial"/>
          <w:b/>
          <w:bCs/>
          <w:sz w:val="22"/>
          <w:szCs w:val="22"/>
        </w:rPr>
        <w:t xml:space="preserve">Fallback flag: </w:t>
      </w:r>
      <w:r>
        <w:rPr>
          <w:rFonts w:ascii="Arial" w:cs="Arial" w:eastAsia="Arial" w:hAnsi="Arial"/>
          <w:sz w:val="22"/>
          <w:szCs w:val="22"/>
        </w:rPr>
        <w:t xml:space="preserve">All fallback trades are tagged with _fallback=True in the OrderCandidate. This allows post-hoc analysis to measure whether fallback trades are positive or negative EV.</w:t>
      </w:r>
    </w:p>
    <w:p>
      <w:pPr>
        <w:pStyle w:val="ListParagraph"/>
        <w:numPr>
          <w:ilvl w:val="0"/>
          <w:numId w:val="2"/>
        </w:numPr>
        <w:spacing w:after="80"/>
      </w:pPr>
      <w:r>
        <w:rPr>
          <w:rFonts w:ascii="Arial" w:cs="Arial" w:eastAsia="Arial" w:hAnsi="Arial"/>
          <w:b/>
          <w:bCs/>
          <w:sz w:val="22"/>
          <w:szCs w:val="22"/>
        </w:rPr>
        <w:t xml:space="preserve">Auto-retract: </w:t>
      </w:r>
      <w:r>
        <w:rPr>
          <w:rFonts w:ascii="Arial" w:cs="Arial" w:eastAsia="Arial" w:hAnsi="Arial"/>
          <w:sz w:val="22"/>
          <w:szCs w:val="22"/>
        </w:rPr>
        <w:t xml:space="preserve">When a primary model fires a signal (idle_cycles resets to 0), all fallback expansions immediately retract. The system does not remain in expanded mode once normal coverage resumes.</w:t>
      </w:r>
    </w:p>
    <w:p>
      <w:pPr>
        <w:pStyle w:val="ListParagraph"/>
        <w:numPr>
          <w:ilvl w:val="0"/>
          <w:numId w:val="2"/>
        </w:numPr>
        <w:spacing w:after="80"/>
      </w:pPr>
      <w:r>
        <w:rPr>
          <w:rFonts w:ascii="Arial" w:cs="Arial" w:eastAsia="Arial" w:hAnsi="Arial"/>
          <w:b/>
          <w:bCs/>
          <w:sz w:val="22"/>
          <w:szCs w:val="22"/>
        </w:rPr>
        <w:t xml:space="preserve">Regime exclusion: </w:t>
      </w:r>
      <w:r>
        <w:rPr>
          <w:rFonts w:ascii="Arial" w:cs="Arial" w:eastAsia="Arial" w:hAnsi="Arial"/>
          <w:sz w:val="22"/>
          <w:szCs w:val="22"/>
        </w:rPr>
        <w:t xml:space="preserve">Fallback never activates in crisis, liquidation_cascade, or vol_compression regimes. These are intentional inactivity zones.</w:t>
      </w:r>
    </w:p>
    <w:p>
      <w:r>
        <w:br w:type="page"/>
      </w:r>
    </w:p>
    <w:p>
      <w:pPr>
        <w:pStyle w:val="Heading1"/>
        <w:spacing w:after="200" w:before="300"/>
      </w:pPr>
      <w:r>
        <w:rPr>
          <w:rFonts w:ascii="Arial" w:cs="Arial" w:eastAsia="Arial" w:hAnsi="Arial"/>
          <w:b/>
          <w:bCs/>
        </w:rPr>
        <w:t xml:space="preserve">7. Model Conflict Resolution</w:t>
      </w:r>
    </w:p>
    <w:p>
      <w:pPr>
        <w:spacing w:after="160"/>
      </w:pPr>
      <w:r>
        <w:rPr>
          <w:rFonts w:ascii="Arial" w:cs="Arial" w:eastAsia="Arial" w:hAnsi="Arial"/>
          <w:sz w:val="22"/>
          <w:szCs w:val="22"/>
        </w:rPr>
        <w:t xml:space="preserve">When multiple models fire simultaneously for the same symbol, the current system passes all signals to the ConfluenceScorer which blends them via weighted voting. This can produce weak consensus signals when strong-but-conflicting models dilute each other. The ConflictResolver adds a pre-scoring prioritization layer.</w:t>
      </w:r>
    </w:p>
    <w:p>
      <w:pPr>
        <w:pStyle w:val="Heading2"/>
        <w:spacing w:after="200" w:before="300"/>
      </w:pPr>
      <w:r>
        <w:rPr>
          <w:rFonts w:ascii="Arial" w:cs="Arial" w:eastAsia="Arial" w:hAnsi="Arial"/>
          <w:b/>
          <w:bCs/>
        </w:rPr>
        <w:t xml:space="preserve">7.1 Conflict Types + Resolution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Conflict Type</w:t>
            </w:r>
          </w:p>
        </w:tc>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Example</w:t>
            </w:r>
          </w:p>
        </w:tc>
        <w:tc>
          <w:tcPr>
            <w:tcW w:type="dxa" w:w="2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Resolution</w:t>
            </w:r>
          </w:p>
        </w:tc>
        <w:tc>
          <w:tcPr>
            <w:tcW w:type="dxa" w:w="25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 Hierarchy</w:t>
            </w:r>
          </w:p>
        </w:tc>
      </w:tr>
      <w:tr>
        <w:tc>
          <w:tcPr>
            <w:tcW w:type="dxa" w:w="22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Same direction, same symbol</w:t>
            </w:r>
          </w:p>
        </w:tc>
        <w:tc>
          <w:tcPr>
            <w:tcW w:type="dxa" w:w="20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PBL long + FundingRate long</w:t>
            </w:r>
          </w:p>
        </w:tc>
        <w:tc>
          <w:tcPr>
            <w:tcW w:type="dxa" w:w="26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NO CONFLICT. Both pass to scorer. Confluence boost.</w:t>
            </w:r>
          </w:p>
        </w:tc>
        <w:tc>
          <w:tcPr>
            <w:tcW w:type="dxa" w:w="256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N/A—this is the ideal case</w:t>
            </w:r>
          </w:p>
        </w:tc>
      </w:tr>
      <w:tr>
        <w:tc>
          <w:tcPr>
            <w:tcW w:type="dxa" w:w="22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Arial" w:cs="Arial" w:eastAsia="Arial" w:hAnsi="Arial"/>
                <w:sz w:val="18"/>
                <w:szCs w:val="18"/>
              </w:rPr>
              <w:t xml:space="preserve">Opposing direction, same symbol</w:t>
            </w:r>
          </w:p>
        </w:tc>
        <w:tc>
          <w:tcPr>
            <w:tcW w:type="dxa" w:w="20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Arial" w:cs="Arial" w:eastAsia="Arial" w:hAnsi="Arial"/>
                <w:sz w:val="18"/>
                <w:szCs w:val="18"/>
              </w:rPr>
              <w:t xml:space="preserve">PBL long + SLC short</w:t>
            </w:r>
          </w:p>
        </w:tc>
        <w:tc>
          <w:tcPr>
            <w:tcW w:type="dxa" w:w="26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Arial" w:cs="Arial" w:eastAsia="Arial" w:hAnsi="Arial"/>
                <w:sz w:val="18"/>
                <w:szCs w:val="18"/>
              </w:rPr>
              <w:t xml:space="preserve">Higher-priority model wins; loser discarded. If equal priority, neither fires (direction_dominance &lt; 0.30 rejects).</w:t>
            </w:r>
          </w:p>
        </w:tc>
        <w:tc>
          <w:tcPr>
            <w:tcW w:type="dxa" w:w="256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Arial" w:cs="Arial" w:eastAsia="Arial" w:hAnsi="Arial"/>
                <w:sz w:val="18"/>
                <w:szCs w:val="18"/>
              </w:rPr>
              <w:t xml:space="preserve">Transition &gt; Primary &gt; Enrichment</w:t>
            </w:r>
          </w:p>
        </w:tc>
      </w:tr>
      <w:tr>
        <w:tc>
          <w:tcPr>
            <w:tcW w:type="dxa" w:w="22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Same model, multiple symbols</w:t>
            </w:r>
          </w:p>
        </w:tc>
        <w:tc>
          <w:tcPr>
            <w:tcW w:type="dxa" w:w="20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PBL fires on BTC + SOL + ETH</w:t>
            </w:r>
          </w:p>
        </w:tc>
        <w:tc>
          <w:tcPr>
            <w:tcW w:type="dxa" w:w="26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Rank by: (1) confluence_score descending, (2) symbol_weight descending. Top N pass (N = max_concurrent - open_count).</w:t>
            </w:r>
          </w:p>
        </w:tc>
        <w:tc>
          <w:tcPr>
            <w:tcW w:type="dxa" w:w="256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Score &gt; Symbol weight</w:t>
            </w:r>
          </w:p>
        </w:tc>
      </w:tr>
      <w:tr>
        <w:tc>
          <w:tcPr>
            <w:tcW w:type="dxa" w:w="2200"/>
            <w:tcBorders>
              <w:top w:val="single" w:color="CCCCCC" w:sz="1"/>
              <w:left w:val="single" w:color="CCCCCC" w:sz="1"/>
              <w:bottom w:val="single" w:color="CCCCCC" w:sz="1"/>
              <w:right w:val="single" w:color="CCCCCC" w:sz="1"/>
            </w:tcBorders>
            <w:shd w:fill="E3F2FD" w:val="clear"/>
            <w:tcMar>
              <w:top w:type="dxa" w:w="50"/>
              <w:left w:type="dxa" w:w="100"/>
              <w:bottom w:type="dxa" w:w="50"/>
              <w:right w:type="dxa" w:w="100"/>
            </w:tcMar>
          </w:tcPr>
          <w:p>
            <w:r>
              <w:rPr>
                <w:rFonts w:ascii="Arial" w:cs="Arial" w:eastAsia="Arial" w:hAnsi="Arial"/>
                <w:sz w:val="18"/>
                <w:szCs w:val="18"/>
              </w:rPr>
              <w:t xml:space="preserve">Transition overrides primary</w:t>
            </w:r>
          </w:p>
        </w:tc>
        <w:tc>
          <w:tcPr>
            <w:tcW w:type="dxa" w:w="2000"/>
            <w:tcBorders>
              <w:top w:val="single" w:color="CCCCCC" w:sz="1"/>
              <w:left w:val="single" w:color="CCCCCC" w:sz="1"/>
              <w:bottom w:val="single" w:color="CCCCCC" w:sz="1"/>
              <w:right w:val="single" w:color="CCCCCC" w:sz="1"/>
            </w:tcBorders>
            <w:shd w:fill="E3F2FD" w:val="clear"/>
            <w:tcMar>
              <w:top w:type="dxa" w:w="50"/>
              <w:left w:type="dxa" w:w="100"/>
              <w:bottom w:type="dxa" w:w="50"/>
              <w:right w:type="dxa" w:w="100"/>
            </w:tcMar>
          </w:tcPr>
          <w:p>
            <w:r>
              <w:rPr>
                <w:rFonts w:ascii="Arial" w:cs="Arial" w:eastAsia="Arial" w:hAnsi="Arial"/>
                <w:sz w:val="18"/>
                <w:szCs w:val="18"/>
              </w:rPr>
              <w:t xml:space="preserve">RAM long (ranging) + TRANSITION_BREAKDOWN (short)</w:t>
            </w:r>
          </w:p>
        </w:tc>
        <w:tc>
          <w:tcPr>
            <w:tcW w:type="dxa" w:w="2600"/>
            <w:tcBorders>
              <w:top w:val="single" w:color="CCCCCC" w:sz="1"/>
              <w:left w:val="single" w:color="CCCCCC" w:sz="1"/>
              <w:bottom w:val="single" w:color="CCCCCC" w:sz="1"/>
              <w:right w:val="single" w:color="CCCCCC" w:sz="1"/>
            </w:tcBorders>
            <w:shd w:fill="E3F2FD" w:val="clear"/>
            <w:tcMar>
              <w:top w:type="dxa" w:w="50"/>
              <w:left w:type="dxa" w:w="100"/>
              <w:bottom w:type="dxa" w:w="50"/>
              <w:right w:type="dxa" w:w="100"/>
            </w:tcMar>
          </w:tcPr>
          <w:p>
            <w:r>
              <w:rPr>
                <w:rFonts w:ascii="Arial" w:cs="Arial" w:eastAsia="Arial" w:hAnsi="Arial"/>
                <w:sz w:val="18"/>
                <w:szCs w:val="18"/>
              </w:rPr>
              <w:t xml:space="preserve">Transition signal has absolute priority. RAM trade is cancelled or immediately exited (anti-breakout protection).</w:t>
            </w:r>
          </w:p>
        </w:tc>
        <w:tc>
          <w:tcPr>
            <w:tcW w:type="dxa" w:w="2560"/>
            <w:tcBorders>
              <w:top w:val="single" w:color="CCCCCC" w:sz="1"/>
              <w:left w:val="single" w:color="CCCCCC" w:sz="1"/>
              <w:bottom w:val="single" w:color="CCCCCC" w:sz="1"/>
              <w:right w:val="single" w:color="CCCCCC" w:sz="1"/>
            </w:tcBorders>
            <w:shd w:fill="E3F2FD" w:val="clear"/>
            <w:tcMar>
              <w:top w:type="dxa" w:w="50"/>
              <w:left w:type="dxa" w:w="100"/>
              <w:bottom w:type="dxa" w:w="50"/>
              <w:right w:type="dxa" w:w="100"/>
            </w:tcMar>
          </w:tcPr>
          <w:p>
            <w:r>
              <w:rPr>
                <w:rFonts w:ascii="Arial" w:cs="Arial" w:eastAsia="Arial" w:hAnsi="Arial"/>
                <w:sz w:val="18"/>
                <w:szCs w:val="18"/>
              </w:rPr>
              <w:t xml:space="preserve">Transition &gt; All</w:t>
            </w:r>
          </w:p>
        </w:tc>
      </w:tr>
    </w:tbl>
    <w:p>
      <w:pPr>
        <w:pStyle w:val="Heading2"/>
        <w:spacing w:after="200" w:before="300"/>
      </w:pPr>
      <w:r>
        <w:rPr>
          <w:rFonts w:ascii="Arial" w:cs="Arial" w:eastAsia="Arial" w:hAnsi="Arial"/>
          <w:b/>
          <w:bCs/>
        </w:rPr>
        <w:t xml:space="preserve">7.2 Priority Hierarchy</w:t>
      </w:r>
    </w:p>
    <w:p>
      <w:pPr>
        <w:spacing w:after="160"/>
      </w:pPr>
      <w:r>
        <w:rPr>
          <w:rFonts w:ascii="Arial" w:cs="Arial" w:eastAsia="Arial" w:hAnsi="Arial"/>
          <w:sz w:val="22"/>
          <w:szCs w:val="22"/>
        </w:rPr>
        <w:t xml:space="preserve">When signals conflict, they are resolved using a strict priority hierarchy:</w:t>
      </w:r>
    </w:p>
    <w:p>
      <w:pPr>
        <w:pStyle w:val="ListParagraph"/>
        <w:numPr>
          <w:ilvl w:val="0"/>
          <w:numId w:val="2"/>
        </w:numPr>
        <w:spacing w:after="80"/>
      </w:pPr>
      <w:r>
        <w:rPr>
          <w:rFonts w:ascii="Arial" w:cs="Arial" w:eastAsia="Arial" w:hAnsi="Arial"/>
          <w:b/>
          <w:bCs/>
          <w:sz w:val="22"/>
          <w:szCs w:val="22"/>
        </w:rPr>
        <w:t xml:space="preserve">Tier 1 — Transition signals: </w:t>
      </w:r>
      <w:r>
        <w:rPr>
          <w:rFonts w:ascii="Arial" w:cs="Arial" w:eastAsia="Arial" w:hAnsi="Arial"/>
          <w:sz w:val="22"/>
          <w:szCs w:val="22"/>
        </w:rPr>
        <w:t xml:space="preserve">TransitionDetector outputs. These represent regime phase shifts with multi-bar confirmation. Absolute priority over all other signals.</w:t>
      </w:r>
    </w:p>
    <w:p>
      <w:pPr>
        <w:pStyle w:val="ListParagraph"/>
        <w:numPr>
          <w:ilvl w:val="0"/>
          <w:numId w:val="2"/>
        </w:numPr>
        <w:spacing w:after="80"/>
      </w:pPr>
      <w:r>
        <w:rPr>
          <w:rFonts w:ascii="Arial" w:cs="Arial" w:eastAsia="Arial" w:hAnsi="Arial"/>
          <w:b/>
          <w:bCs/>
          <w:sz w:val="22"/>
          <w:szCs w:val="22"/>
        </w:rPr>
        <w:t xml:space="preserve">Tier 2 — Primary models (regime-native): </w:t>
      </w:r>
      <w:r>
        <w:rPr>
          <w:rFonts w:ascii="Arial" w:cs="Arial" w:eastAsia="Arial" w:hAnsi="Arial"/>
          <w:sz w:val="22"/>
          <w:szCs w:val="22"/>
        </w:rPr>
        <w:t xml:space="preserve">PBL in bull_trend, SLC in bear_trend, MB in vol_expansion, RAM in ranging/accumulation. These are models firing in their validated regime.</w:t>
      </w:r>
    </w:p>
    <w:p>
      <w:pPr>
        <w:pStyle w:val="ListParagraph"/>
        <w:numPr>
          <w:ilvl w:val="0"/>
          <w:numId w:val="2"/>
        </w:numPr>
        <w:spacing w:after="80"/>
      </w:pPr>
      <w:r>
        <w:rPr>
          <w:rFonts w:ascii="Arial" w:cs="Arial" w:eastAsia="Arial" w:hAnsi="Arial"/>
          <w:b/>
          <w:bCs/>
          <w:sz w:val="22"/>
          <w:szCs w:val="22"/>
        </w:rPr>
        <w:t xml:space="preserve">Tier 3 — Primary models (fallback-activated): </w:t>
      </w:r>
      <w:r>
        <w:rPr>
          <w:rFonts w:ascii="Arial" w:cs="Arial" w:eastAsia="Arial" w:hAnsi="Arial"/>
          <w:sz w:val="22"/>
          <w:szCs w:val="22"/>
        </w:rPr>
        <w:t xml:space="preserve">Models activated by CoverageGuarantee outside their native regime. Lower priority because they're operating outside validated conditions.</w:t>
      </w:r>
    </w:p>
    <w:p>
      <w:pPr>
        <w:pStyle w:val="ListParagraph"/>
        <w:numPr>
          <w:ilvl w:val="0"/>
          <w:numId w:val="2"/>
        </w:numPr>
        <w:spacing w:after="80"/>
      </w:pPr>
      <w:r>
        <w:rPr>
          <w:rFonts w:ascii="Arial" w:cs="Arial" w:eastAsia="Arial" w:hAnsi="Arial"/>
          <w:b/>
          <w:bCs/>
          <w:sz w:val="22"/>
          <w:szCs w:val="22"/>
        </w:rPr>
        <w:t xml:space="preserve">Tier 4 — Enrichment models: </w:t>
      </w:r>
      <w:r>
        <w:rPr>
          <w:rFonts w:ascii="Arial" w:cs="Arial" w:eastAsia="Arial" w:hAnsi="Arial"/>
          <w:sz w:val="22"/>
          <w:szCs w:val="22"/>
        </w:rPr>
        <w:t xml:space="preserve">FundingRate, Sentiment. Never override primary or transition signals. Only contribute to confluence score when aligned with higher-tier signals.</w:t>
      </w:r>
    </w:p>
    <w:p>
      <w:pPr>
        <w:pStyle w:val="Heading2"/>
        <w:spacing w:after="200" w:before="300"/>
      </w:pPr>
      <w:r>
        <w:rPr>
          <w:rFonts w:ascii="Arial" w:cs="Arial" w:eastAsia="Arial" w:hAnsi="Arial"/>
          <w:b/>
          <w:bCs/>
        </w:rPr>
        <w:t xml:space="preserve">7.3 Cross-Symbol Portfolio-Level Conflict</w:t>
      </w:r>
    </w:p>
    <w:p>
      <w:pPr>
        <w:spacing w:after="160"/>
      </w:pPr>
      <w:r>
        <w:rPr>
          <w:rFonts w:ascii="Arial" w:cs="Arial" w:eastAsia="Arial" w:hAnsi="Arial"/>
          <w:sz w:val="22"/>
          <w:szCs w:val="22"/>
        </w:rPr>
        <w:t xml:space="preserve">When multiple symbols have candidates simultaneously, the ConflictResolver applies portfolio-level selection:</w:t>
      </w:r>
    </w:p>
    <w:p>
      <w:pPr>
        <w:pStyle w:val="ListParagraph"/>
        <w:numPr>
          <w:ilvl w:val="0"/>
          <w:numId w:val="2"/>
        </w:numPr>
        <w:spacing w:after="80"/>
      </w:pPr>
      <w:r>
        <w:rPr>
          <w:rFonts w:ascii="Arial" w:cs="Arial" w:eastAsia="Arial" w:hAnsi="Arial"/>
          <w:b/>
          <w:bCs/>
          <w:sz w:val="22"/>
          <w:szCs w:val="22"/>
        </w:rPr>
        <w:t xml:space="preserve">Correlation filter (existing): </w:t>
      </w:r>
      <w:r>
        <w:rPr>
          <w:rFonts w:ascii="Arial" w:cs="Arial" w:eastAsia="Arial" w:hAnsi="Arial"/>
          <w:sz w:val="22"/>
          <w:szCs w:val="22"/>
        </w:rPr>
        <w:t xml:space="preserve">CorrelationDampener already rejects highly correlated new positions. This is preserved.</w:t>
      </w:r>
    </w:p>
    <w:p>
      <w:pPr>
        <w:pStyle w:val="ListParagraph"/>
        <w:numPr>
          <w:ilvl w:val="0"/>
          <w:numId w:val="2"/>
        </w:numPr>
        <w:spacing w:after="80"/>
      </w:pPr>
      <w:r>
        <w:rPr>
          <w:rFonts w:ascii="Arial" w:cs="Arial" w:eastAsia="Arial" w:hAnsi="Arial"/>
          <w:b/>
          <w:bCs/>
          <w:sz w:val="22"/>
          <w:szCs w:val="22"/>
        </w:rPr>
        <w:t xml:space="preserve">Regime diversity bonus: </w:t>
      </w:r>
      <w:r>
        <w:rPr>
          <w:rFonts w:ascii="Arial" w:cs="Arial" w:eastAsia="Arial" w:hAnsi="Arial"/>
          <w:sz w:val="22"/>
          <w:szCs w:val="22"/>
        </w:rPr>
        <w:t xml:space="preserve">If candidates come from different regimes (e.g., BTC in bull_trend, SOL in accumulation), they receive a 1.10x score boost—regime-diverse portfolios reduce concentration risk.</w:t>
      </w:r>
    </w:p>
    <w:p>
      <w:pPr>
        <w:pStyle w:val="ListParagraph"/>
        <w:numPr>
          <w:ilvl w:val="0"/>
          <w:numId w:val="2"/>
        </w:numPr>
        <w:spacing w:after="80"/>
      </w:pPr>
      <w:r>
        <w:rPr>
          <w:rFonts w:ascii="Arial" w:cs="Arial" w:eastAsia="Arial" w:hAnsi="Arial"/>
          <w:b/>
          <w:bCs/>
          <w:sz w:val="22"/>
          <w:szCs w:val="22"/>
        </w:rPr>
        <w:t xml:space="preserve">Symbol allocation weight: </w:t>
      </w:r>
      <w:r>
        <w:rPr>
          <w:rFonts w:ascii="Arial" w:cs="Arial" w:eastAsia="Arial" w:hAnsi="Arial"/>
          <w:sz w:val="22"/>
          <w:szCs w:val="22"/>
        </w:rPr>
        <w:t xml:space="preserve">SymbolAllocator weights (SOL=1.3, ETH=1.2, BTC=1.0, BNB=0.8, XRP=0.8) are used as tiebreakers, not primary selectors.</w:t>
      </w:r>
    </w:p>
    <w:p>
      <w:r>
        <w:br w:type="page"/>
      </w:r>
    </w:p>
    <w:p>
      <w:pPr>
        <w:pStyle w:val="Heading1"/>
        <w:spacing w:after="200" w:before="300"/>
      </w:pPr>
      <w:r>
        <w:rPr>
          <w:rFonts w:ascii="Arial" w:cs="Arial" w:eastAsia="Arial" w:hAnsi="Arial"/>
          <w:b/>
          <w:bCs/>
        </w:rPr>
        <w:t xml:space="preserve">8. Phased Implementation Plan</w:t>
      </w:r>
    </w:p>
    <w:p>
      <w:pPr>
        <w:spacing w:after="160"/>
      </w:pPr>
      <w:r>
        <w:rPr>
          <w:rFonts w:ascii="Arial" w:cs="Arial" w:eastAsia="Arial" w:hAnsi="Arial"/>
          <w:sz w:val="22"/>
          <w:szCs w:val="22"/>
        </w:rPr>
        <w:t xml:space="preserve">The upgrade is implemented in 5 phases over 6 weeks, with each phase independently deployable and reversible: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160"/>
      </w:tblGrid>
      <w:tr>
        <w:tc>
          <w:tcPr>
            <w:tcW w:type="dxa" w:w="1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Phase</w:t>
            </w:r>
          </w:p>
        </w:tc>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Timeline</w:t>
            </w:r>
          </w:p>
        </w:tc>
        <w:tc>
          <w:tcPr>
            <w:tcW w:type="dxa" w:w="3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Deliverables</w:t>
            </w:r>
          </w:p>
        </w:tc>
        <w:tc>
          <w:tcPr>
            <w:tcW w:type="dxa" w:w="3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Validation Gate</w:t>
            </w:r>
          </w:p>
        </w:tc>
      </w:tr>
      <w:tr>
        <w:tc>
          <w:tcPr>
            <w:tcW w:type="dxa" w:w="12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0</w:t>
            </w:r>
          </w:p>
        </w:tc>
        <w:tc>
          <w:tcPr>
            <w:tcW w:type="dxa" w:w="20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Done (Session 51)</w:t>
            </w:r>
          </w:p>
        </w:tc>
        <w:tc>
          <w:tcPr>
            <w:tcW w:type="dxa" w:w="30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MB re-enabled + diagnostic logging + v1.0 architecture report</w:t>
            </w:r>
          </w:p>
        </w:tc>
        <w:tc>
          <w:tcPr>
            <w:tcW w:type="dxa" w:w="316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Regression tests pass; MB fires in vol_expansion logs</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Week 1</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TransitionDetector + CoverageGuarantee + RegimeCapitalAllocator</w:t>
            </w:r>
          </w:p>
        </w:tc>
        <w:tc>
          <w:tcPr>
            <w:tcW w:type="dxa" w:w="3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Unit tests: transition fires on historical data; capital allocation respects table; inactivity alert fires after 3 idle cycles</w:t>
            </w:r>
          </w:p>
        </w:tc>
      </w:tr>
      <w:tr>
        <w:tc>
          <w:tcPr>
            <w:tcW w:type="dxa" w:w="12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Week 2</w:t>
            </w:r>
          </w:p>
        </w:tc>
        <w:tc>
          <w:tcPr>
            <w:tcW w:type="dxa" w:w="30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RangeAccumulationModel + breakout override exit + ConfluenceScorer v2 threshold matrix</w:t>
            </w:r>
          </w:p>
        </w:tc>
        <w:tc>
          <w:tcPr>
            <w:tcW w:type="dxa" w:w="316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4-year backtest: RAM PF ≥ 1.18 with fees; combined PF ≥ baseline; exit upgrade shows higher avg R/trade</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Week 3–4</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ConflictResolver + RegimeOrchestrator integration + shadow mode for all new components</w:t>
            </w:r>
          </w:p>
        </w:tc>
        <w:tc>
          <w:tcPr>
            <w:tcW w:type="dxa" w:w="3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Shadow mode: 50+ signals logged; shadow PF ≥ 1.10; conflict resolution logs show clean priority ordering</w:t>
            </w:r>
          </w:p>
        </w:tc>
      </w:tr>
      <w:tr>
        <w:tc>
          <w:tcPr>
            <w:tcW w:type="dxa" w:w="12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4</w:t>
            </w:r>
          </w:p>
        </w:tc>
        <w:tc>
          <w:tcPr>
            <w:tcW w:type="dxa" w:w="20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Week 5–6</w:t>
            </w:r>
          </w:p>
        </w:tc>
        <w:tc>
          <w:tcPr>
            <w:tcW w:type="dxa" w:w="30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Live small-size validation (0.25% risk) + portfolio heat budget enforcement + full system integration</w:t>
            </w:r>
          </w:p>
        </w:tc>
        <w:tc>
          <w:tcPr>
            <w:tcW w:type="dxa" w:w="316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50+ live trades: PF ≥ 1.10; no coverage gaps &gt;3h outside crisis; conflict resolver reduces opposing-signal noise by &gt;50%</w:t>
            </w:r>
          </w:p>
        </w:tc>
      </w:tr>
    </w:tbl>
    <w:p>
      <w:pPr>
        <w:pStyle w:val="Heading2"/>
        <w:spacing w:after="200" w:before="300"/>
      </w:pPr>
      <w:r>
        <w:rPr>
          <w:rFonts w:ascii="Arial" w:cs="Arial" w:eastAsia="Arial" w:hAnsi="Arial"/>
          <w:b/>
          <w:bCs/>
        </w:rPr>
        <w:t xml:space="preserve">8.1 Rollback Strategy</w:t>
      </w:r>
    </w:p>
    <w:p>
      <w:pPr>
        <w:spacing w:after="160"/>
      </w:pPr>
      <w:r>
        <w:rPr>
          <w:rFonts w:ascii="Arial" w:cs="Arial" w:eastAsia="Arial" w:hAnsi="Arial"/>
          <w:sz w:val="22"/>
          <w:szCs w:val="22"/>
        </w:rPr>
        <w:t xml:space="preserve">Each phase is independently reversible:</w:t>
      </w:r>
    </w:p>
    <w:p>
      <w:pPr>
        <w:pStyle w:val="ListParagraph"/>
        <w:numPr>
          <w:ilvl w:val="0"/>
          <w:numId w:val="2"/>
        </w:numPr>
        <w:spacing w:after="80"/>
      </w:pPr>
      <w:r>
        <w:rPr>
          <w:rFonts w:ascii="Arial" w:cs="Arial" w:eastAsia="Arial" w:hAnsi="Arial"/>
          <w:b/>
          <w:bCs/>
          <w:sz w:val="22"/>
          <w:szCs w:val="22"/>
        </w:rPr>
        <w:t xml:space="preserve">TransitionDetector: </w:t>
      </w:r>
      <w:r>
        <w:rPr>
          <w:rFonts w:ascii="Arial" w:cs="Arial" w:eastAsia="Arial" w:hAnsi="Arial"/>
          <w:sz w:val="22"/>
          <w:szCs w:val="22"/>
        </w:rPr>
        <w:t xml:space="preserve">Set transition_detector.enabled: false in config.yaml. Signals stop; no downstream impact.</w:t>
      </w:r>
    </w:p>
    <w:p>
      <w:pPr>
        <w:pStyle w:val="ListParagraph"/>
        <w:numPr>
          <w:ilvl w:val="0"/>
          <w:numId w:val="2"/>
        </w:numPr>
        <w:spacing w:after="80"/>
      </w:pPr>
      <w:r>
        <w:rPr>
          <w:rFonts w:ascii="Arial" w:cs="Arial" w:eastAsia="Arial" w:hAnsi="Arial"/>
          <w:b/>
          <w:bCs/>
          <w:sz w:val="22"/>
          <w:szCs w:val="22"/>
        </w:rPr>
        <w:t xml:space="preserve">CoverageGuarantee: </w:t>
      </w:r>
      <w:r>
        <w:rPr>
          <w:rFonts w:ascii="Arial" w:cs="Arial" w:eastAsia="Arial" w:hAnsi="Arial"/>
          <w:sz w:val="22"/>
          <w:szCs w:val="22"/>
        </w:rPr>
        <w:t xml:space="preserve">Set coverage_guarantee.enabled: false. System returns to current behavior (silent inactivity).</w:t>
      </w:r>
    </w:p>
    <w:p>
      <w:pPr>
        <w:pStyle w:val="ListParagraph"/>
        <w:numPr>
          <w:ilvl w:val="0"/>
          <w:numId w:val="2"/>
        </w:numPr>
        <w:spacing w:after="80"/>
      </w:pPr>
      <w:r>
        <w:rPr>
          <w:rFonts w:ascii="Arial" w:cs="Arial" w:eastAsia="Arial" w:hAnsi="Arial"/>
          <w:b/>
          <w:bCs/>
          <w:sz w:val="22"/>
          <w:szCs w:val="22"/>
        </w:rPr>
        <w:t xml:space="preserve">RegimeCapitalAllocator: </w:t>
      </w:r>
      <w:r>
        <w:rPr>
          <w:rFonts w:ascii="Arial" w:cs="Arial" w:eastAsia="Arial" w:hAnsi="Arial"/>
          <w:sz w:val="22"/>
          <w:szCs w:val="22"/>
        </w:rPr>
        <w:t xml:space="preserve">Set capital.regime_scaling_enabled: false. All multipliers revert to 1.0.</w:t>
      </w:r>
    </w:p>
    <w:p>
      <w:pPr>
        <w:pStyle w:val="ListParagraph"/>
        <w:numPr>
          <w:ilvl w:val="0"/>
          <w:numId w:val="2"/>
        </w:numPr>
        <w:spacing w:after="80"/>
      </w:pPr>
      <w:r>
        <w:rPr>
          <w:rFonts w:ascii="Arial" w:cs="Arial" w:eastAsia="Arial" w:hAnsi="Arial"/>
          <w:b/>
          <w:bCs/>
          <w:sz w:val="22"/>
          <w:szCs w:val="22"/>
        </w:rPr>
        <w:t xml:space="preserve">ConflictResolver: </w:t>
      </w:r>
      <w:r>
        <w:rPr>
          <w:rFonts w:ascii="Arial" w:cs="Arial" w:eastAsia="Arial" w:hAnsi="Arial"/>
          <w:sz w:val="22"/>
          <w:szCs w:val="22"/>
        </w:rPr>
        <w:t xml:space="preserve">Set conflict_resolver.enabled: false. All signals pass to scorer as before.</w:t>
      </w:r>
    </w:p>
    <w:p>
      <w:pPr>
        <w:pStyle w:val="ListParagraph"/>
        <w:numPr>
          <w:ilvl w:val="0"/>
          <w:numId w:val="2"/>
        </w:numPr>
        <w:spacing w:after="80"/>
      </w:pPr>
      <w:r>
        <w:rPr>
          <w:rFonts w:ascii="Arial" w:cs="Arial" w:eastAsia="Arial" w:hAnsi="Arial"/>
          <w:b/>
          <w:bCs/>
          <w:sz w:val="22"/>
          <w:szCs w:val="22"/>
        </w:rPr>
        <w:t xml:space="preserve">RegimeOrchestrator: </w:t>
      </w:r>
      <w:r>
        <w:rPr>
          <w:rFonts w:ascii="Arial" w:cs="Arial" w:eastAsia="Arial" w:hAnsi="Arial"/>
          <w:sz w:val="22"/>
          <w:szCs w:val="22"/>
        </w:rPr>
        <w:t xml:space="preserve">The ultimate rollback: set regime_orchestrator.enabled: false. System reverts to independent ACTIVE_REGIMES model activation.</w:t>
      </w:r>
    </w:p>
    <w:p>
      <w:r>
        <w:br w:type="page"/>
      </w:r>
    </w:p>
    <w:p>
      <w:pPr>
        <w:pStyle w:val="Heading1"/>
        <w:spacing w:after="200" w:before="300"/>
      </w:pPr>
      <w:r>
        <w:rPr>
          <w:rFonts w:ascii="Arial" w:cs="Arial" w:eastAsia="Arial" w:hAnsi="Arial"/>
          <w:b/>
          <w:bCs/>
        </w:rPr>
        <w:t xml:space="preserve">9.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3000"/>
        <w:gridCol w:w="3060"/>
      </w:tblGrid>
      <w:tr>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Risk</w:t>
            </w:r>
          </w:p>
        </w:tc>
        <w:tc>
          <w:tcPr>
            <w:tcW w:type="dxa" w:w="13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Probability</w:t>
            </w:r>
          </w:p>
        </w:tc>
        <w:tc>
          <w:tcPr>
            <w:tcW w:type="dxa" w:w="3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30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Mitigation</w:t>
            </w:r>
          </w:p>
        </w:tc>
      </w:tr>
      <w:tr>
        <w:tc>
          <w:tcPr>
            <w:tcW w:type="dxa" w:w="20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Arial" w:cs="Arial" w:eastAsia="Arial" w:hAnsi="Arial"/>
                <w:sz w:val="18"/>
                <w:szCs w:val="18"/>
              </w:rPr>
              <w:t xml:space="preserve">False transition detection</w:t>
            </w:r>
          </w:p>
        </w:tc>
        <w:tc>
          <w:tcPr>
            <w:tcW w:type="dxa" w:w="13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Arial" w:cs="Arial" w:eastAsia="Arial" w:hAnsi="Arial"/>
                <w:sz w:val="18"/>
                <w:szCs w:val="18"/>
              </w:rPr>
              <w:t xml:space="preserve">Medium</w:t>
            </w:r>
          </w:p>
        </w:tc>
        <w:tc>
          <w:tcPr>
            <w:tcW w:type="dxa" w:w="30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Arial" w:cs="Arial" w:eastAsia="Arial" w:hAnsi="Arial"/>
                <w:sz w:val="18"/>
                <w:szCs w:val="18"/>
              </w:rPr>
              <w:t xml:space="preserve">Premature model activation in wrong regime; losing trades</w:t>
            </w:r>
          </w:p>
        </w:tc>
        <w:tc>
          <w:tcPr>
            <w:tcW w:type="dxa" w:w="306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Arial" w:cs="Arial" w:eastAsia="Arial" w:hAnsi="Arial"/>
                <w:sz w:val="18"/>
                <w:szCs w:val="18"/>
              </w:rPr>
              <w:t xml:space="preserve">3-bar confirmation + 10-bar cooldown; 0.6x position size during transitions; backtest validation required</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Overtrading in ranging</w:t>
            </w:r>
          </w:p>
        </w:tc>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Medium-High</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RAM generates many low-quality signals; fee drag destroys edge</w:t>
            </w:r>
          </w:p>
        </w:tc>
        <w:tc>
          <w:tcPr>
            <w:tcW w:type="dxa" w:w="3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0.70x risk multiplier + 2.5% max capital cap + ADX &lt;25 + volume decline filter; shadow mode first</w:t>
            </w:r>
          </w:p>
        </w:tc>
      </w:tr>
      <w:tr>
        <w:tc>
          <w:tcPr>
            <w:tcW w:type="dxa" w:w="20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Conflict resolver too aggressive</w:t>
            </w:r>
          </w:p>
        </w:tc>
        <w:tc>
          <w:tcPr>
            <w:tcW w:type="dxa" w:w="13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Low</w:t>
            </w:r>
          </w:p>
        </w:tc>
        <w:tc>
          <w:tcPr>
            <w:tcW w:type="dxa" w:w="30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Discards valid signals that would have been profitable</w:t>
            </w:r>
          </w:p>
        </w:tc>
        <w:tc>
          <w:tcPr>
            <w:tcW w:type="dxa" w:w="306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Log all discarded signals with hypothetical tracking; compare discarded vs accepted PF after 50 trades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Coverage fallback creates noise</w:t>
            </w:r>
          </w:p>
        </w:tc>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Fallback-activated models trade in regimes without validated edge</w:t>
            </w:r>
          </w:p>
        </w:tc>
        <w:tc>
          <w:tcPr>
            <w:tcW w:type="dxa" w:w="3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0.3–0.5x position size; _fallback tag for post-hoc analysis; auto-retract on primary signal</w:t>
            </w:r>
          </w:p>
        </w:tc>
      </w:tr>
      <w:tr>
        <w:tc>
          <w:tcPr>
            <w:tcW w:type="dxa" w:w="20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Complexity overhead</w:t>
            </w:r>
          </w:p>
        </w:tc>
        <w:tc>
          <w:tcPr>
            <w:tcW w:type="dxa" w:w="13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Low</w:t>
            </w:r>
          </w:p>
        </w:tc>
        <w:tc>
          <w:tcPr>
            <w:tcW w:type="dxa" w:w="30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More components = more failure modes; scanner loop latency increases</w:t>
            </w:r>
          </w:p>
        </w:tc>
        <w:tc>
          <w:tcPr>
            <w:tcW w:type="dxa" w:w="306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Arial" w:cs="Arial" w:eastAsia="Arial" w:hAnsi="Arial"/>
                <w:sz w:val="18"/>
                <w:szCs w:val="18"/>
              </w:rPr>
              <w:t xml:space="preserve">Each component gated by config flag; independent enable/disable; latency budgeted at &lt;50ms per new component</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Regime capital allocation causes underfunding</w:t>
            </w:r>
          </w:p>
        </w:tc>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Low-Medium</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0.70x multiplier in ranging means missing big moves that start as ranging</w:t>
            </w:r>
          </w:p>
        </w:tc>
        <w:tc>
          <w:tcPr>
            <w:tcW w:type="dxa" w:w="3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Breakout override escalation path exists; transition signal boosts allocation when breakout detected</w:t>
            </w:r>
          </w:p>
        </w:tc>
      </w:tr>
    </w:tbl>
    <w:p>
      <w:r>
        <w:br w:type="page"/>
      </w:r>
    </w:p>
    <w:p>
      <w:pPr>
        <w:pStyle w:val="Heading1"/>
        <w:spacing w:after="200" w:before="300"/>
      </w:pPr>
      <w:r>
        <w:rPr>
          <w:rFonts w:ascii="Arial" w:cs="Arial" w:eastAsia="Arial" w:hAnsi="Arial"/>
          <w:b/>
          <w:bCs/>
        </w:rPr>
        <w:t xml:space="preserve">10. New Components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Component</w:t>
            </w:r>
          </w:p>
        </w:tc>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Location</w:t>
            </w:r>
          </w:p>
        </w:tc>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Config Gate</w:t>
            </w:r>
          </w:p>
        </w:tc>
        <w:tc>
          <w:tcPr>
            <w:tcW w:type="dxa" w:w="2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r>
      <w:tr>
        <w:tc>
          <w:tcPr>
            <w:tcW w:type="dxa" w:w="28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TransitionDetector</w:t>
            </w:r>
          </w:p>
        </w:tc>
        <w:tc>
          <w:tcPr>
            <w:tcW w:type="dxa" w:w="22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core/regime/transition_detector.py</w:t>
            </w:r>
          </w:p>
        </w:tc>
        <w:tc>
          <w:tcPr>
            <w:tcW w:type="dxa" w:w="22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transition_detector.enabled</w:t>
            </w:r>
          </w:p>
        </w:tc>
        <w:tc>
          <w:tcPr>
            <w:tcW w:type="dxa" w:w="216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Phase 1 (Week 1)</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RegimeOrchestrator</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core/orchestrator/regime_orchestrator.py</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regime_orchestrator.enabled</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Phase 3 (Week 3-4)</w:t>
            </w:r>
          </w:p>
        </w:tc>
      </w:tr>
      <w:tr>
        <w:tc>
          <w:tcPr>
            <w:tcW w:type="dxa" w:w="28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ConflictResolver</w:t>
            </w:r>
          </w:p>
        </w:tc>
        <w:tc>
          <w:tcPr>
            <w:tcW w:type="dxa" w:w="22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core/meta_decision/conflict_resolver.py</w:t>
            </w:r>
          </w:p>
        </w:tc>
        <w:tc>
          <w:tcPr>
            <w:tcW w:type="dxa" w:w="22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conflict_resolver.enabled</w:t>
            </w:r>
          </w:p>
        </w:tc>
        <w:tc>
          <w:tcPr>
            <w:tcW w:type="dxa" w:w="216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Phase 3 (Week 3-4)</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CoverageGuarantee</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core/monitoring/coverage_guarantee.py</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coverage_guarantee.enabled</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Phase 1 (Week 1)</w:t>
            </w:r>
          </w:p>
        </w:tc>
      </w:tr>
      <w:tr>
        <w:tc>
          <w:tcPr>
            <w:tcW w:type="dxa" w:w="28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RegimeCapitalAllocator</w:t>
            </w:r>
          </w:p>
        </w:tc>
        <w:tc>
          <w:tcPr>
            <w:tcW w:type="dxa" w:w="22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core/meta_decision/regime_capital_alloc.py</w:t>
            </w:r>
          </w:p>
        </w:tc>
        <w:tc>
          <w:tcPr>
            <w:tcW w:type="dxa" w:w="22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capital.regime_scaling_enabled</w:t>
            </w:r>
          </w:p>
        </w:tc>
        <w:tc>
          <w:tcPr>
            <w:tcW w:type="dxa" w:w="216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Phase 1 (Week 1)</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RangeAccumulationModel</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core/signals/sub_models/range_accumulation_model.py</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mr_pbl_slc.range_accumulation.enabled</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8"/>
                <w:szCs w:val="18"/>
              </w:rPr>
              <w:t xml:space="preserve">Phase 2 (Week 2)</w:t>
            </w:r>
          </w:p>
        </w:tc>
      </w:tr>
      <w:tr>
        <w:tc>
          <w:tcPr>
            <w:tcW w:type="dxa" w:w="28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ConfluenceScorer v2</w:t>
            </w:r>
          </w:p>
        </w:tc>
        <w:tc>
          <w:tcPr>
            <w:tcW w:type="dxa" w:w="22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core/meta_decision/confluence_scorer.py (modify)</w:t>
            </w:r>
          </w:p>
        </w:tc>
        <w:tc>
          <w:tcPr>
            <w:tcW w:type="dxa" w:w="22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confluence.v2_thresholds</w:t>
            </w:r>
          </w:p>
        </w:tc>
        <w:tc>
          <w:tcPr>
            <w:tcW w:type="dxa" w:w="216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8"/>
                <w:szCs w:val="18"/>
              </w:rPr>
              <w:t xml:space="preserve">Phase 2 (Week 2)</w:t>
            </w:r>
          </w:p>
        </w:tc>
      </w:tr>
    </w:tbl>
    <w:p>
      <w:pPr>
        <w:spacing w:before="400"/>
      </w:pPr>
      <w:r>
        <w:rPr>
          <w:rFonts w:ascii="Arial" w:cs="Arial" w:eastAsia="Arial" w:hAnsi="Arial"/>
          <w:i/>
          <w:iCs/>
          <w:color w:val="999999"/>
          <w:sz w:val="22"/>
          <w:szCs w:val="22"/>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999999"/>
        <w:sz w:val="16"/>
        <w:szCs w:val="16"/>
      </w:rPr>
      <w:t xml:space="preserve">NexusTrader — Regime-Orchestrated Architecture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2026-03-30T23:14:40.918Z</dcterms:created>
  <dcterms:modified xsi:type="dcterms:W3CDTF">2026-03-30T23:14:40.918Z</dcterms:modified>
</cp:coreProperties>
</file>

<file path=docProps/custom.xml><?xml version="1.0" encoding="utf-8"?>
<Properties xmlns="http://schemas.openxmlformats.org/officeDocument/2006/custom-properties" xmlns:vt="http://schemas.openxmlformats.org/officeDocument/2006/docPropsVTypes"/>
</file>