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48"/>
          <w:szCs w:val="48"/>
        </w:rPr>
        <w:t xml:space="preserve">PHASE 1 GATE REPORT</w:t>
      </w:r>
    </w:p>
    <w:p>
      <w:pPr>
        <w:spacing w:after="100"/>
        <w:jc w:val="center"/>
      </w:pPr>
      <w:r>
        <w:rPr>
          <w:rFonts w:ascii="Arial" w:cs="Arial" w:eastAsia="Arial" w:hAnsi="Arial"/>
          <w:color w:val="2E75B6"/>
          <w:sz w:val="28"/>
          <w:szCs w:val="28"/>
        </w:rPr>
        <w:t xml:space="preserve">Backend Skeleton + IPC + DB</w:t>
      </w:r>
    </w:p>
    <w:p>
      <w:pPr>
        <w:spacing w:after="400"/>
        <w:jc w:val="center"/>
      </w:pPr>
      <w:r>
        <w:rPr>
          <w:rFonts w:ascii="Arial" w:cs="Arial" w:eastAsia="Arial" w:hAnsi="Arial"/>
          <w:b/>
          <w:bCs/>
          <w:color w:val="2E7D32"/>
          <w:sz w:val="22"/>
          <w:szCs w:val="22"/>
        </w:rPr>
        <w:t xml:space="preserve">Date: 2026-04-02  |  Status: APPROVED</w:t>
      </w:r>
    </w:p>
    <w:p>
      <w:pPr>
        <w:pStyle w:val="Heading1"/>
      </w:pPr>
      <w:r>
        <w:t xml:space="preserve">1. Phase Scope</w:t>
      </w:r>
    </w:p>
    <w:p>
      <w:pPr>
        <w:spacing w:after="200"/>
      </w:pPr>
      <w:r>
        <w:t xml:space="preserve">Phase 1 delivers the foundational backend infrastructure for the NexusTrader web migration: a FastAPI API service, a headless Trading Engine service, PostgreSQL database with Alembic migrations, Redis IPC (pub/sub + request/reply), JWT authentication, WebSocket connection management, and Docker Compose orchestration. All engine command handlers are wired to real NexusTrader core/ component APIs with no stubs or placeholders.</w:t>
      </w:r>
    </w:p>
    <w:p>
      <w:pPr>
        <w:pStyle w:val="Heading1"/>
      </w:pPr>
      <w:r>
        <w:t xml:space="preserve">2. Test Results</w:t>
      </w:r>
    </w:p>
    <w:p>
      <w:pPr>
        <w:spacing w:after="200"/>
      </w:pPr>
      <w:r>
        <w:t xml:space="preserve">Full test suite: 97 passed, 0 failed, 1 benign warning (PyTorch import in sandbox).</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500"/>
        <w:gridCol w:w="18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Suite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Passed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Failed</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Qt Shim (test_qt_shim.py)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Module Imports (test_core_import.py)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Service (test_phase1_api.py)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Engine Service + Handlers (test_phase1_engine.py)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97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bl>
    <w:p>
      <w:pPr>
        <w:spacing w:after="200"/>
      </w:pPr>
    </w:p>
    <w:p>
      <w:pPr>
        <w:pStyle w:val="Heading1"/>
      </w:pPr>
      <w:r>
        <w:t xml:space="preserve">3. Deliverables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0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Qt Shim (core_patch/)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Pure-Python Signal, QObject, QThread, QTimer replacements; sys.modules injection</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EventBus (core_patch/event_bus.py)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De-Qt EventBus with Topics, Redis bridge attachment</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Redis Bridge (core_patch/redis_bridge.py)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Pub/sub bridge with echo prevention, _safe_json()</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PostgreSQL Engine (app/database.py)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 async/sync engine, session factory, lifecycle</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ORM Models (app/models/)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 trading + 2 auth tables, JSONB columns, all indexes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JWT Auth (app/auth/)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Access/refresh tokens, bcrypt passwords, FastAPI dependency</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Health Endpoints (app/api/health.py)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Liveness + readiness (PG + Redis latency)</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 Endpoints (app/api/auth.py)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setup, login, refresh, logout, me</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Engine Routes (app/api/engine.py)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 command proxy via Redis request/reply</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WebSocket Manager (app/ws/)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channels, subscribe/unsubscribe, Redis bridge loop</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FastAPI App (main.py)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Lifespan, CORS, 4 routers, shim install</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Engine Service (engine/main.py)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13-step init, command loop, 10 wired handlers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Engine Command Handlers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10 handlers wired to real core/ component APIs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Alembic Migration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schema (28 tables), validated offline SQL generation</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Docker Compose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4-service stack: postgres, redis, api, engine</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Dockerfiles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 Engine Dockerfiles with requirements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r>
    </w:tbl>
    <w:p>
      <w:pPr>
        <w:spacing w:after="200"/>
      </w:pPr>
    </w:p>
    <w:p>
      <w:pPr>
        <w:pStyle w:val="Heading1"/>
      </w:pPr>
      <w:r>
        <w:t xml:space="preserve">4. Engine Command Handlers — Wiring Evidence</w:t>
      </w:r>
    </w:p>
    <w:p>
      <w:pPr>
        <w:spacing w:after="200"/>
      </w:pPr>
      <w:r>
        <w:t xml:space="preserve">All 10 engine command handlers route to real NexusTrader core/ component methods. No handler returns a placeholder response. Each handler validates component availability and returns structured error responses if a component was not initialized.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0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Wired To</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get_positions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PaperExecutor.get_open_positions()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real position list + 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get_portfolio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PaperExecutor.get_stats() + get_production_status()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 WR, PF, PnL, pause 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get_config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AppSettings._config / get_section()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config or section, no secrets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start_scanner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scanner.start()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Starts AssetScanner, publishes event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stop_scanner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scanner.stop()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Stops scanner, publishes event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pause_trading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 _trading_paused flag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Blocks new entries, existing positions unaffected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resume_trading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 _trading_paused flag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Clears pause, publishes event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close_position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PaperExecutor.close_position(symbol, price)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success/failure per symbol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close_all_positions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PaperExecutor.close_all()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count of positions closed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refresh_data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ExchangeManager.fetch_tickers(symbols)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Fetches tickers, publishes to event bus</w:t>
            </w:r>
          </w:p>
        </w:tc>
      </w:tr>
    </w:tbl>
    <w:p>
      <w:pPr>
        <w:spacing w:after="200"/>
      </w:pPr>
    </w:p>
    <w:p>
      <w:pPr>
        <w:pStyle w:val="Heading2"/>
      </w:pPr>
      <w:r>
        <w:t xml:space="preserve">4.1 Pause/Resume Design Decision</w:t>
      </w:r>
    </w:p>
    <w:p>
      <w:pPr>
        <w:spacing w:after="200"/>
      </w:pPr>
      <w:r>
        <w:t xml:space="preserve">The desktop NexusTrader has no explicit pause/resume API on OrchestratorEngine. It uses advisory RAG-based pause recommendations and hard trade-blocking guardrails (rolling PF, drawdown, daily loss). For the web migration, the engine service implements a _trading_paused flag that blocks new trade submissions while leaving existing open positions unaffected. The flag is published to Redis engine state so the API can read it, and events are published on state changes.</w:t>
      </w:r>
    </w:p>
    <w:p>
      <w:r>
        <w:br w:type="page"/>
      </w:r>
    </w:p>
    <w:p>
      <w:pPr>
        <w:pStyle w:val="Heading1"/>
      </w:pPr>
      <w:r>
        <w:t xml:space="preserve">5. Alembic Migration — Validation Evidence</w:t>
      </w:r>
    </w:p>
    <w:p>
      <w:pPr>
        <w:spacing w:after="200"/>
      </w:pPr>
      <w:r>
        <w:t xml:space="preserve">The initial Alembic migration was generated from SQLAlchemy ORM model metadata compiled against the PostgreSQL dialect. Validation was performed via offline SQL generation (no live DB required), Python import verification, and DDL compilation checks.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500"/>
        <w:gridCol w:w="52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5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Tables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 (26 trading + 2 web auth)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JSONB columns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(PostgreSQL-native, not generic JSON)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Foreign keys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Unique constraints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Alembic offline validation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PASS — full SQL DDL generated with BEGIN/COMMIT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Python importable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PASS — revision, down_revision, upgrade(), downgrade()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DDL compilation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PASS — all 28 tables compile against PostgreSQL dialect</w:t>
            </w:r>
          </w:p>
        </w:tc>
      </w:tr>
    </w:tbl>
    <w:p>
      <w:pPr>
        <w:spacing w:after="200"/>
      </w:pPr>
    </w:p>
    <w:p>
      <w:pPr>
        <w:spacing w:after="200"/>
      </w:pPr>
      <w:r>
        <w:t xml:space="preserve">The migration file (alembic/versions/dc865a01d5da_initial_schema.py) produces 65 DDL statements (28 CREATE TABLE + 37 CREATE INDEX) wrapped in a transaction. Alembic offline mode confirms clean SQL output with proper BEGIN/COMMIT and alembic_version tracking.</w:t>
      </w:r>
    </w:p>
    <w:p>
      <w:pPr>
        <w:pStyle w:val="Heading1"/>
      </w:pPr>
      <w:r>
        <w:t xml:space="preserve">6. Known Limitations</w:t>
      </w:r>
    </w:p>
    <w:p>
      <w:pPr>
        <w:spacing w:after="120"/>
      </w:pPr>
      <w:r>
        <w:rPr>
          <w:b/>
          <w:bCs/>
        </w:rPr>
        <w:t xml:space="preserve">Live PostgreSQL validation deferred: </w:t>
      </w:r>
      <w:r>
        <w:t xml:space="preserve">Migration was validated via offline SQL generation and DDL compilation. Full online validation (alembic upgrade head against a running PostgreSQL instance) will be performed when Docker Compose is first brought up.</w:t>
      </w:r>
    </w:p>
    <w:p>
      <w:pPr>
        <w:spacing w:after="120"/>
      </w:pPr>
      <w:r>
        <w:rPr>
          <w:b/>
          <w:bCs/>
        </w:rPr>
        <w:t xml:space="preserve">Component init steps are fail-safe: </w:t>
      </w:r>
      <w:r>
        <w:t xml:space="preserve">Steps 3-12 in the engine startup sequence catch exceptions individually so non-critical components can fail without halting the engine. Command handlers check component availability and return structured errors if a component was not initialized.</w:t>
      </w:r>
    </w:p>
    <w:p>
      <w:pPr>
        <w:spacing w:after="200"/>
      </w:pPr>
      <w:r>
        <w:rPr>
          <w:b/>
          <w:bCs/>
        </w:rPr>
        <w:t xml:space="preserve">No live Redis/DB in test environment: </w:t>
      </w:r>
      <w:r>
        <w:t xml:space="preserve">Tests use mock components to validate handler wiring. Integration tests with real Redis/PostgreSQL are deferred to Docker Compose bring-up.</w:t>
      </w:r>
    </w:p>
    <w:p>
      <w:pPr>
        <w:pStyle w:val="Heading1"/>
      </w:pPr>
      <w:r>
        <w:t xml:space="preserve">7. Gate Verdict</w:t>
      </w:r>
    </w:p>
    <w:p>
      <w:pPr>
        <w:spacing w:after="200"/>
      </w:pPr>
      <w:r>
        <w:rPr>
          <w:b/>
          <w:bCs/>
          <w:color w:val="2E7D32"/>
        </w:rPr>
        <w:t xml:space="preserve">APPROVED. </w:t>
      </w:r>
      <w:r>
        <w:t xml:space="preserve">All Phase 1 deliverables are complete. 97 tests pass. All 10 engine command handlers are wired to real core/ component APIs with zero stubs. The Alembic initial migration is generated, importable, and produces valid PostgreSQL DDL. The phase is ready for Phase 2 (React frontend scaffold + authentication UI).</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666666"/>
        <w:sz w:val="18"/>
        <w:szCs w:val="18"/>
      </w:rPr>
      <w:t xml:space="preserve">NexusTrader Web Migration — Phase 1 Gate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2026-04-02T22:49:44.878Z</dcterms:created>
  <dcterms:modified xsi:type="dcterms:W3CDTF">2026-04-02T22:49:44.878Z</dcterms:modified>
</cp:coreProperties>
</file>

<file path=docProps/custom.xml><?xml version="1.0" encoding="utf-8"?>
<Properties xmlns="http://schemas.openxmlformats.org/officeDocument/2006/custom-properties" xmlns:vt="http://schemas.openxmlformats.org/officeDocument/2006/docPropsVTypes"/>
</file>