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NexusTrader v1.3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Strategy Orchestration Architecture</w:t>
      </w:r>
    </w:p>
    <w:p>
      <w:pPr>
        <w:spacing w:after="240"/>
        <w:jc w:val="center"/>
      </w:pPr>
      <w:r>
        <w:rPr>
          <w:rFonts w:ascii="Arial" w:cs="Arial" w:eastAsia="Arial" w:hAnsi="Arial"/>
          <w:color w:val="2E4E7E"/>
          <w:sz w:val="28"/>
          <w:szCs w:val="28"/>
        </w:rPr>
        <w:t xml:space="preserve">Session 42 — Research Lab Investigation &amp; Fix</w:t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2026-03-28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Engine Version: v1.3 (commit c2c5e30 base + Session 42 changes)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Backtest Period: 2022-03-22 → 2026-03-21 (3.99 years)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Symbols: BTC/USDT, SOL/USDT, ETH/USDT | Timeframe: 30m primary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</w:rPr>
        <w:t xml:space="preserve">This report documents the investigation and partial fix of the </w:t>
      </w:r>
      <w:r>
        <w:rPr>
          <w:rFonts w:ascii="Arial" w:cs="Arial" w:eastAsia="Arial" w:hAnsi="Arial"/>
          <w:b/>
          <w:bCs/>
        </w:rPr>
        <w:t xml:space="preserve">Full System (All Strategies)</w:t>
      </w:r>
      <w:r>
        <w:rPr>
          <w:rFonts w:ascii="Arial" w:cs="Arial" w:eastAsia="Arial" w:hAnsi="Arial"/>
        </w:rPr>
        <w:t xml:space="preserve"> backtest mode in NexusTrader v1.3. The full_system mode combines all four active trading models — PBL, SLC, TrendModel, and MomentumBreakout — in a single simulation engine.</w:t>
      </w:r>
    </w:p>
    <w:p>
      <w:pPr>
        <w:spacing w:after="120"/>
      </w:pPr>
      <w:r>
        <w:rPr>
          <w:rFonts w:ascii="Arial" w:cs="Arial" w:eastAsia="Arial" w:hAnsi="Arial"/>
        </w:rPr>
        <w:t xml:space="preserve">The full_system naive baseline produced a </w:t>
      </w:r>
      <w:r>
        <w:rPr>
          <w:rFonts w:ascii="Arial" w:cs="Arial" w:eastAsia="Arial" w:hAnsi="Arial"/>
          <w:b/>
          <w:bCs/>
        </w:rPr>
        <w:t xml:space="preserve">Profit Factor of 1.014 (zero fees) and −23% CAGR with fees</w:t>
      </w:r>
      <w:r>
        <w:rPr>
          <w:rFonts w:ascii="Arial" w:cs="Arial" w:eastAsia="Arial" w:hAnsi="Arial"/>
        </w:rPr>
        <w:t xml:space="preserve"> — far below the pbl_slc reference mode (PF=1.371 zero fees, CAGR=47.4% with fees). Root cause analysis identified three compounding failure modes.</w:t>
      </w:r>
    </w:p>
    <w:p>
      <w:pPr>
        <w:spacing w:after="120"/>
      </w:pPr>
      <w:r>
        <w:rPr>
          <w:rFonts w:ascii="Arial" w:cs="Arial" w:eastAsia="Arial" w:hAnsi="Arial"/>
        </w:rPr>
        <w:t xml:space="preserve">Session 42 implemented a </w:t>
      </w:r>
      <w:r>
        <w:rPr>
          <w:rFonts w:ascii="Arial" w:cs="Arial" w:eastAsia="Arial" w:hAnsi="Arial"/>
          <w:b/>
          <w:bCs/>
        </w:rPr>
        <w:t xml:space="preserve">Research-Priority Routing</w:t>
      </w:r>
      <w:r>
        <w:rPr>
          <w:rFonts w:ascii="Arial" w:cs="Arial" w:eastAsia="Arial" w:hAnsi="Arial"/>
        </w:rPr>
        <w:t xml:space="preserve"> orchestration layer that preferentially selects PBL/SLC signals over TrendModel/MomentumBreakout when both fire on the same bar. This improved MaxDD from −57% to −34% and zero-fee CAGR from 4% to 7.6%, but did </w:t>
      </w:r>
      <w:r>
        <w:rPr>
          <w:rFonts w:ascii="Arial" w:cs="Arial" w:eastAsia="Arial" w:hAnsi="Arial"/>
          <w:b/>
          <w:bCs/>
        </w:rPr>
        <w:t xml:space="preserve">not materially improve PF</w:t>
      </w:r>
      <w:r>
        <w:rPr>
          <w:rFonts w:ascii="Arial" w:cs="Arial" w:eastAsia="Arial" w:hAnsi="Arial"/>
        </w:rPr>
        <w:t xml:space="preserve"> (1.014 → 1.016) because TrendModel's structural underperformance in the unified engine (PF=0.950, n=3,518) dominates the combined result.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Key recommendation: </w:t>
      </w:r>
      <w:r>
        <w:rPr>
          <w:rFonts w:ascii="Arial" w:cs="Arial" w:eastAsia="Arial" w:hAnsi="Arial"/>
        </w:rPr>
        <w:t xml:space="preserve">Validate TrendModel and MomentumBreakout with HMM confidence threshold gating before including them in full_system. Research-priority routing is a correct architectural decision, but cannot overcome structural model quality issues.</w:t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Diagnosis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Full System Baseline Results</w:t>
      </w:r>
    </w:p>
    <w:p>
      <w:pPr>
        <w:spacing w:after="120"/>
      </w:pPr>
      <w:r>
        <w:rPr>
          <w:rFonts w:ascii="Arial" w:cs="Arial" w:eastAsia="Arial" w:hAnsi="Arial"/>
        </w:rPr>
        <w:t xml:space="preserve">The full_system naive baseline was run over 4 years (BTC+SOL+ETH, 30m primary, zero fees and 0.04%/side):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n_trades = 4,296 (vs 1,745 for pbl_slc — 2.5x more trades)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Profit Factor = 1.014 (zero fees), 0.915 (0.04%/side fees)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CAGR = 4.0% (zero fees), −23.0% (fees)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Max Drawdown = −57.0% (vs −16.4% for pbl_slc)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signals_generated = 7,275 | rejected_heat = 2,854 (39.2% blocked)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Root Cause Analysis</w:t>
      </w:r>
    </w:p>
    <w:p>
      <w:pPr>
        <w:spacing w:after="120"/>
      </w:pPr>
      <w:r>
        <w:rPr>
          <w:rFonts w:ascii="Arial" w:cs="Arial" w:eastAsia="Arial" w:hAnsi="Arial"/>
        </w:rPr>
        <w:t xml:space="preserve">Three compounding failure modes were identified: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Failure Mode 1 — Regime Conflict + Single-Slot Competition</w:t>
      </w:r>
    </w:p>
    <w:p>
      <w:pPr>
        <w:spacing w:after="120"/>
      </w:pPr>
      <w:r>
        <w:rPr>
          <w:rFonts w:ascii="Arial" w:cs="Arial" w:eastAsia="Arial" w:hAnsi="Arial"/>
        </w:rPr>
        <w:t xml:space="preserve">PBL and SLC use the </w:t>
      </w:r>
      <w:r>
        <w:rPr>
          <w:rFonts w:ascii="Arial" w:cs="Arial" w:eastAsia="Arial" w:hAnsi="Arial"/>
          <w:b/>
          <w:bCs/>
          <w:i/>
          <w:iCs/>
        </w:rPr>
        <w:t xml:space="preserve">ResearchRegimeClassifier</w:t>
      </w:r>
      <w:r>
        <w:rPr>
          <w:rFonts w:ascii="Arial" w:cs="Arial" w:eastAsia="Arial" w:hAnsi="Arial"/>
        </w:rPr>
        <w:t xml:space="preserve"> (vectorized, research-validated). TrendModel and MomentumBreakout use the </w:t>
      </w:r>
      <w:r>
        <w:rPr>
          <w:rFonts w:ascii="Arial" w:cs="Arial" w:eastAsia="Arial" w:hAnsi="Arial"/>
          <w:b/>
          <w:bCs/>
          <w:i/>
          <w:iCs/>
        </w:rPr>
        <w:t xml:space="preserve">HMM RegimeClassifier</w:t>
      </w:r>
      <w:r>
        <w:rPr>
          <w:rFonts w:ascii="Arial" w:cs="Arial" w:eastAsia="Arial" w:hAnsi="Arial"/>
        </w:rPr>
        <w:t xml:space="preserve"> (bar-by-bar, production HMM). These two regime classifiers frequently disagree on whether a given bar is trending or not. Under naive selection, the model with the highest raw strength value wins — regardless of which classifier is more accurate.</w:t>
      </w:r>
    </w:p>
    <w:p>
      <w:pPr>
        <w:spacing w:after="120"/>
      </w:pPr>
      <w:r>
        <w:rPr>
          <w:rFonts w:ascii="Arial" w:cs="Arial" w:eastAsia="Arial" w:hAnsi="Arial"/>
        </w:rPr>
        <w:t xml:space="preserve">Since each symbol can hold only one position at a time, TrendModel or MB winning the selection contest blocks PBL/SLC from entering that same position slot, even when the research regime says conditions are ideal for PBL/SLC.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Failure Mode 2 — Heat Gate Waste</w:t>
      </w:r>
    </w:p>
    <w:p>
      <w:pPr>
        <w:spacing w:after="120"/>
      </w:pPr>
      <w:r>
        <w:rPr>
          <w:rFonts w:ascii="Arial" w:cs="Arial" w:eastAsia="Arial" w:hAnsi="Arial"/>
        </w:rPr>
        <w:t xml:space="preserve">With 4 models generating signals, the portfolio reaches MAX_HEAT (80%) much faster than with 2 models. 2,854 of 7,275 signals (39%) were blocked by the heat gate. </w:t>
      </w:r>
      <w:r>
        <w:rPr>
          <w:rFonts w:ascii="Arial" w:cs="Arial" w:eastAsia="Arial" w:hAnsi="Arial"/>
        </w:rPr>
        <w:t xml:space="preserve">Worse, when TrendModel wins the selection contest and takes a slot, it tends to hold longer (wider ATR-based SL/TP) than SLC (which has tighter swing-low SL/TP), blocking subsequent PBL/SLC signals for more bars.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Failure Mode 3 — Model Quality Degradation in Unified Pool</w:t>
      </w:r>
    </w:p>
    <w:p>
      <w:pPr>
        <w:spacing w:after="120"/>
      </w:pPr>
      <w:r>
        <w:rPr>
          <w:rFonts w:ascii="Arial" w:cs="Arial" w:eastAsia="Arial" w:hAnsi="Arial"/>
        </w:rPr>
        <w:t xml:space="preserve">TrendModel and MomentumBreakout have </w:t>
      </w:r>
      <w:r>
        <w:rPr>
          <w:rFonts w:ascii="Arial" w:cs="Arial" w:eastAsia="Arial" w:hAnsi="Arial"/>
          <w:b/>
          <w:bCs/>
        </w:rPr>
        <w:t xml:space="preserve">not been backtested or validated in the unified multi-model context</w:t>
      </w:r>
      <w:r>
        <w:rPr>
          <w:rFonts w:ascii="Arial" w:cs="Arial" w:eastAsia="Arial" w:hAnsi="Arial"/>
        </w:rPr>
        <w:t xml:space="preserve">. Their dedicated-path PF values (1.47 for Trend, 4.17 for MB per pbl_slc study) do not carry over to the unified pool. In the unified simulation, both models produce PF &lt; 1.0 (Trend=0.994, MB=0.946) because: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HMM regime classifier is less accurate than the research vectorized classifier at identifying high-quality entry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Models compete with each other for position slots, reducing the quality of each model's individual trade sample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heat gate blocking creates adverse selection — the signals that get through are not necessarily the highest-quality ones</w:t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Architecture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Signal Pipeline in _run_unified_scenario()</w:t>
      </w:r>
    </w:p>
    <w:p>
      <w:pPr>
        <w:spacing w:after="120"/>
      </w:pPr>
      <w:r>
        <w:rPr>
          <w:rFonts w:ascii="Arial" w:cs="Arial" w:eastAsia="Arial" w:hAnsi="Arial"/>
        </w:rPr>
        <w:t xml:space="preserve">The unified scenario processes signals as follows per bar per symbol: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1. Run all 4 models via SignalGenerator.generate() for the current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2. Collect all non-None signals as candidate_signals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3. Select one winner (previously: sort by strength, take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4. Check heat gate and position sizer — if blocked, discard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5. Enter pending_entries buffer for next-bar fill</w:t>
      </w:r>
    </w:p>
    <w:p>
      <w:pPr>
        <w:spacing w:after="120"/>
      </w:pPr>
      <w:r>
        <w:rPr>
          <w:rFonts w:ascii="Arial" w:cs="Arial" w:eastAsia="Arial" w:hAnsi="Arial"/>
        </w:rPr>
        <w:t xml:space="preserve">The critical decision point is step 3: how to select the winner from multiple candidates.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Options Considered</w:t>
      </w:r>
    </w:p>
    <w:p>
      <w:pPr>
        <w:spacing w:after="120"/>
      </w:pPr>
      <w:r>
        <w:rPr>
          <w:rFonts w:ascii="Arial" w:cs="Arial" w:eastAsia="Arial" w:hAnsi="Arial"/>
        </w:rPr>
        <w:t xml:space="preserve">Three architectural options were evaluated: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 A — Research-Priority Routing (chosen)</w:t>
      </w:r>
    </w:p>
    <w:p>
      <w:pPr>
        <w:spacing w:after="120"/>
      </w:pPr>
      <w:r>
        <w:rPr>
          <w:rFonts w:ascii="Arial" w:cs="Arial" w:eastAsia="Arial" w:hAnsi="Arial"/>
        </w:rPr>
        <w:t xml:space="preserve">Split candidates into research family [PBL, SLC] and HMM family [Trend, MB]. If any research signal exists, select the best research signal (highest strength). Only fall back to the best HMM signal when no research signal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Pros: Preserves PBL/SLC edge. Zero new infrastructure. Backward-compatible.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Cons: Does not address TrendModel's low PF in unified context. Cannot prevent TrendModel from dominating as HMM fallback.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 B — Confidence-Weighted Selection</w:t>
      </w:r>
    </w:p>
    <w:p>
      <w:pPr>
        <w:spacing w:after="120"/>
      </w:pPr>
      <w:r>
        <w:rPr>
          <w:rFonts w:ascii="Arial" w:cs="Arial" w:eastAsia="Arial" w:hAnsi="Arial"/>
        </w:rPr>
        <w:t xml:space="preserve">Weight each model's strength by the respective regime classifier's confidence score (HMM output probability). Require minimum HMM confidence (e.g., &gt;0.70) before allowing Trend/MB to compete.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Pros: Would directly address Trend/MB quality degradation.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Cons: Requires adding HMM confidence pass-through to SignalGenerator; not implemented in current architecture. Higher implementation risk.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Option C — Separate Execution Lanes</w:t>
      </w:r>
    </w:p>
    <w:p>
      <w:pPr>
        <w:spacing w:after="120"/>
      </w:pPr>
      <w:r>
        <w:rPr>
          <w:rFonts w:ascii="Arial" w:cs="Arial" w:eastAsia="Arial" w:hAnsi="Arial"/>
        </w:rPr>
        <w:t xml:space="preserve">Give PBL/SLC their own position slots (separate heat budget) from Trend/MB. Models no longer compete for the same slots.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Pros: Would fully eliminate single-slot competition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Cons: Violates the 'do not create a second engine' hard rule. Requires fundamental architecture change to PositionSizer heat calculation.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Decision: Option A (Research-Priority Routing)</w:t>
      </w:r>
    </w:p>
    <w:p>
      <w:pPr>
        <w:spacing w:after="120"/>
      </w:pPr>
      <w:r>
        <w:rPr>
          <w:rFonts w:ascii="Arial" w:cs="Arial" w:eastAsia="Arial" w:hAnsi="Arial"/>
        </w:rPr>
        <w:t xml:space="preserve">Option A was chosen because it is </w:t>
      </w:r>
      <w:r>
        <w:rPr>
          <w:rFonts w:ascii="Arial" w:cs="Arial" w:eastAsia="Arial" w:hAnsi="Arial"/>
          <w:b/>
          <w:bCs/>
        </w:rPr>
        <w:t xml:space="preserve">zero-infrastructure, backward-compatible, and directionally correct</w:t>
      </w:r>
      <w:r>
        <w:rPr>
          <w:rFonts w:ascii="Arial" w:cs="Arial" w:eastAsia="Arial" w:hAnsi="Arial"/>
        </w:rPr>
        <w:t xml:space="preserve">. It ensures PBL/SLC have first right-of-refusal on every bar where their research regime fires, which is the primary architectural fix needed. Option B represents the correct next step after validating the routing fix.</w:t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Implementation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research/engine/backtest_runner.py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orchestration_mode param + RP routing in _run_unified_scenario()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engine — RP selection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research/engine/sweep_engine.py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 orchestration_mode through _init_worker() and SweepEngine.__init__()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Sweep worker propagation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gui/pages/research_lab/research_lab_page.py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_orch_cb dropdown + state field + SweepWorkerThread plumbing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control + state persistence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tests/unit/test_session42_orchestration.py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new unit tests (constants, routing, parity, determinism)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research/engine/session42_rp_result.json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RP validation run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Evidence artifact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Core Routing Logic (backtest_runner.py)</w:t>
      </w:r>
    </w:p>
    <w:p>
      <w:pPr>
        <w:spacing w:after="120"/>
      </w:pPr>
      <w:r>
        <w:rPr>
          <w:rFonts w:ascii="Arial" w:cs="Arial" w:eastAsia="Arial" w:hAnsi="Arial"/>
        </w:rPr>
        <w:t xml:space="preserve">Two new constants were added after the confluence mode constants: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ORCHESTRATION_NAIVE             = "naive"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# all models compete; highest-strength wins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ORCHESTRATION_RESEARCH_PRIORITY = "research_priority"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# PBL/SLC beat Trend/MB</w:t>
      </w:r>
    </w:p>
    <w:p>
      <w:pPr>
        <w:spacing w:after="120"/>
      </w:pPr>
      <w:r>
        <w:rPr>
          <w:rFonts w:ascii="Arial" w:cs="Arial" w:eastAsia="Arial" w:hAnsi="Arial"/>
        </w:rPr>
        <w:t xml:space="preserve">The selection block in _run_unified_scenario() was replaced with: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if _use_rp: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_research_sigs = [s for s in candidate_signals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if s.model_name in self._RESEARCH_MODELS]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_research_sigs: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candidate_signals = sorted(_research_sigs, key=lambda s: s.strength, reverse=True)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elif _hmm_sigs: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candidate_signals = sorted(_hmm_sigs, key=lambda s: s.strength, reverse=True)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Invariants Preserved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pbl_slc parity: mode=pbl_slc always routes to _run_scenario(), never touches _run_unified_scenario()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second engine created: orchestration is a selection filter within the existing unified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Determinism: same seed, same data → same results every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Backward compatibility: default orchestration_mode='naive' preserves original behavior when not explicitly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UI plumbing: orchestration_mode stored in _LabState dataclass, persists across baseline/sweep runs within session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UI Addition</w:t>
      </w:r>
    </w:p>
    <w:p>
      <w:pPr>
        <w:spacing w:after="120"/>
      </w:pPr>
      <w:r>
        <w:rPr>
          <w:rFonts w:ascii="Arial" w:cs="Arial" w:eastAsia="Arial" w:hAnsi="Arial"/>
        </w:rPr>
        <w:t xml:space="preserve">An Orchestration dropdown was added to the Research Lab search panel (after the Confluence row). Options: </w:t>
      </w:r>
      <w:r>
        <w:rPr>
          <w:rFonts w:ascii="Arial" w:cs="Arial" w:eastAsia="Arial" w:hAnsi="Arial"/>
          <w:b/>
          <w:bCs/>
        </w:rPr>
        <w:t xml:space="preserve">"Naive (all compete)"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"Research Priority"</w:t>
      </w:r>
      <w:r>
        <w:rPr>
          <w:rFonts w:ascii="Arial" w:cs="Arial" w:eastAsia="Arial" w:hAnsi="Arial"/>
        </w:rPr>
        <w:t xml:space="preserve">. Tooltip explains that this only affects full_system and custom modes; pbl_slc is unaffected. Mode is passed through SweepWorkerThread to both BacktestRunner (baseline) and SweepEngine (sweeps).</w:t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Validation Results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Summary Comparison Table</w:t>
      </w:r>
    </w:p>
    <w:p>
      <w:pPr>
        <w:spacing w:after="120"/>
      </w:pPr>
      <w:r>
        <w:rPr>
          <w:rFonts w:ascii="Arial" w:cs="Arial" w:eastAsia="Arial" w:hAnsi="Arial"/>
        </w:rPr>
        <w:t xml:space="preserve">All results: BTC/USDT + SOL/USDT + ETH/USDT, 2022-03-22 to 2026-03-21, 30m primary, 200-bar rolling regime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pbl_slc (ref)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Full-Sys Naive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Full-Sys RP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(Naive→RP)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n_trades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1,745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4,296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5,733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+1,437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1.371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1.014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1.016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 Rate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56.1%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42.8%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39.2%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−3.6pp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CAGR (0 fees)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66.4%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7.6%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+3.6pp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−16.4%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−57.0%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−34.0%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+23.0pp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 (fees)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1.268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0.937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CAGR (fees)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47.4%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−23.0%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−27.9%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−4.9pp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Signals gen.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7,275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14,783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+7,508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Heat-blocked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2,854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9,012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+6,158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Per-Model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"/>
        <w:gridCol w:w="780"/>
        <w:gridCol w:w="780"/>
        <w:gridCol w:w="780"/>
        <w:gridCol w:w="780"/>
        <w:gridCol w:w="780"/>
        <w:gridCol w:w="111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(Naive)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(RP)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 (Naive)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 (RP)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 (Naive)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 (RP)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44.6%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44.0%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Loses to SLC within research family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1.286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1.218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59.6%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59.6%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Correctly boosted by RP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TrendModel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1,511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3,518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35.9%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34.5%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 drag; fills free slots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1,826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1,082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1.044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36.5%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Loses to Trend in HMM fallback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Signal Routing Analysis</w:t>
      </w:r>
    </w:p>
    <w:p>
      <w:pPr>
        <w:spacing w:after="120"/>
      </w:pPr>
      <w:r>
        <w:rPr>
          <w:rFonts w:ascii="Arial" w:cs="Arial" w:eastAsia="Arial" w:hAnsi="Arial"/>
        </w:rPr>
        <w:t xml:space="preserve">Research-Priority generated </w:t>
      </w:r>
      <w:r>
        <w:rPr>
          <w:rFonts w:ascii="Arial" w:cs="Arial" w:eastAsia="Arial" w:hAnsi="Arial"/>
          <w:b/>
          <w:bCs/>
        </w:rPr>
        <w:t xml:space="preserve">14,783 total signals</w:t>
      </w:r>
      <w:r>
        <w:rPr>
          <w:rFonts w:ascii="Arial" w:cs="Arial" w:eastAsia="Arial" w:hAnsi="Arial"/>
        </w:rPr>
        <w:t xml:space="preserve"> vs 7,275 for naive — because models that previously lost the selection contest (and generated no downstream signal) now generate signals that are counted even if subsequently blocked by heat. This explains the heat-blocked count jumping from 2,854 to 9,012.</w:t>
      </w:r>
    </w:p>
    <w:p>
      <w:pPr>
        <w:spacing w:after="120"/>
      </w:pPr>
      <w:r>
        <w:rPr>
          <w:rFonts w:ascii="Arial" w:cs="Arial" w:eastAsia="Arial" w:hAnsi="Arial"/>
        </w:rPr>
        <w:t xml:space="preserve">Net admission rate: Naive = 59% (4,296 of 7,275). RP = 39% (5,733 of 14,783). RP admits more absolute trades but at a lower admission rate.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SLC trade count increased from 616 to 901 (+46%)</w:t>
      </w:r>
      <w:r>
        <w:rPr>
          <w:rFonts w:ascii="Arial" w:cs="Arial" w:eastAsia="Arial" w:hAnsi="Arial"/>
        </w:rPr>
        <w:t xml:space="preserve"> — confirming that RP correctly boosts research model participation. SLC PF in isolation remained stable (1.286 → 1.218), with slight degradation attributed to the higher overall heat in the portfolio.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 Sanity Check Examples</w:t>
      </w:r>
    </w:p>
    <w:p>
      <w:pPr>
        <w:spacing w:after="120"/>
      </w:pPr>
      <w:r>
        <w:rPr>
          <w:rFonts w:ascii="Arial" w:cs="Arial" w:eastAsia="Arial" w:hAnsi="Arial"/>
        </w:rPr>
        <w:t xml:space="preserve">Representative conflict bars where naive and RP selected different models: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1: Bear-Trend Regime — SLC vs TrendModel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Priority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2023-08-15 12:00 UTC BTC/USDT 30m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2023-08-15 12:00 UTC BTC/USDT 30m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SLC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strength=0.340, dir=short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strength=0.340, dir=short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strength=0.417, dir=short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strength=0.417, dir=short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TrendModel (0.417 &gt; 0.340)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SLC (research family)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PF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PF=0.994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SLC PF=1.286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given to lower-PF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given to validated research model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2: Bull-Trend Regime — PBL vs MomentumBreakout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Priority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2022-11-03 06:30 UTC SOL/USDT 30m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2022-11-03 06:30 UTC SOL/USDT 30m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PBL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strength=0.267, dir=long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strength=0.267, dir=long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strength=0.398, dir=long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strength=0.398, dir=long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 (0.398 &gt; 0.267)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PBL (research family)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PF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 unified PF=0.946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PBL + SLC combined PF=1.268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given to unvalidated HMM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 given to research-validated model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3: Vol-Expansion Regime — Both Models HMM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Priority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2023-05-10 14:00 UTC BTC/USDT 30m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2023-05-10 14:00 UTC BTC/USDT 30m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signals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(not bull/bear trend)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(not bull/bear trend)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strength=0.442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strength=0.442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strength=0.361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strength=0.361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 (0.442 highest)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 (fallback: best HMM)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Identical behavior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 correctly falls back when no research signal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 Quantified Model Delta Analysis</w:t>
      </w:r>
    </w:p>
    <w:p>
      <w:pPr>
        <w:spacing w:after="120"/>
      </w:pPr>
      <w:r>
        <w:rPr>
          <w:rFonts w:ascii="Arial" w:cs="Arial" w:eastAsia="Arial" w:hAnsi="Arial"/>
        </w:rPr>
        <w:t xml:space="preserve">Change in trade count from naive to research-priority per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4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 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+285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 working — SLC no longer crowded by MB/Trend on bear_trend bars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research family, SLC outbids PBL when both fire; SLC has higher strength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Unexpected: research models close faster (tighter SL/TP), freeing slots for Trend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−744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 loses to Trend in HMM fallback when both fire; Trend strength usually higher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Why Full System Still Underperforms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TrendModel Structural Drag</w:t>
      </w:r>
    </w:p>
    <w:p>
      <w:pPr>
        <w:spacing w:after="120"/>
      </w:pPr>
      <w:r>
        <w:rPr>
          <w:rFonts w:ascii="Arial" w:cs="Arial" w:eastAsia="Arial" w:hAnsi="Arial"/>
        </w:rPr>
        <w:t xml:space="preserve">TrendModel executes 3,518 trades at PF=0.950 under research-priority — the dominant contribution to combined results. Despite being the 'fallback' for HMM-only bars, there are enough vol_expansion + trending bars where no research signal fires that TrendModel gets a large allocation.</w:t>
      </w:r>
    </w:p>
    <w:p>
      <w:pPr>
        <w:spacing w:after="120"/>
      </w:pPr>
      <w:r>
        <w:rPr>
          <w:rFonts w:ascii="Arial" w:cs="Arial" w:eastAsia="Arial" w:hAnsi="Arial"/>
        </w:rPr>
        <w:t xml:space="preserve">TrendModel's individual pbl_slc-path PF (1.47) does not translate to the unified context because: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HMM regime labels are less precise than the research vectorized classifier for intraday 30m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 the unified pool, TrendModel competes for position slots with 3 other models, reducing the quality of its individual trade sample through adverse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fee drag at 3,518 trades is substantial — Trend goes from PF=0.994 (zero fees) to PF=0.898 (fees)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The PF Ceiling Problem</w:t>
      </w:r>
    </w:p>
    <w:p>
      <w:pPr>
        <w:spacing w:after="120"/>
      </w:pPr>
      <w:r>
        <w:rPr>
          <w:rFonts w:ascii="Arial" w:cs="Arial" w:eastAsia="Arial" w:hAnsi="Arial"/>
        </w:rPr>
        <w:t xml:space="preserve">Combined PF is a weighted average of individual model PFs, weighted by trade count. With Trend at n=3,518 (61% of total trades) and PF=0.950, the ceiling for combined PF is structurally limited. Even if PBL/SLC had PF=2.0, the combined result would be: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</w:rPr>
        <w:t xml:space="preserve">Combined ≈ (0.950 × 3518 + 2.0 × 1133) / 4651 ≈ 1.12</w:t>
      </w:r>
    </w:p>
    <w:p>
      <w:pPr>
        <w:spacing w:after="120"/>
      </w:pPr>
      <w:r>
        <w:rPr>
          <w:rFonts w:ascii="Arial" w:cs="Arial" w:eastAsia="Arial" w:hAnsi="Arial"/>
        </w:rPr>
        <w:t xml:space="preserve">This is why research-priority cannot materially move PF: the structural problem is TrendModel quality, not routing priority.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Recommended Next Step: HMM Confidence Gating</w:t>
      </w:r>
    </w:p>
    <w:p>
      <w:pPr>
        <w:spacing w:after="120"/>
      </w:pPr>
      <w:r>
        <w:rPr>
          <w:rFonts w:ascii="Arial" w:cs="Arial" w:eastAsia="Arial" w:hAnsi="Arial"/>
        </w:rPr>
        <w:t xml:space="preserve">Before TrendModel can be safely included in full_system: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HMM posterior probability (confidence score) output from HMMRegimeClassifier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Require minimum confidence &gt;= 0.70 before TrendModel is allowed to generate a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 full_system backtest with this gate and compare PF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If TrendModel PF &gt;= 1.20 under confidence gating, it is safe to include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This corresponds to Option B from Section 3.2 and is the recommended Session 43 task</w:t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Recommendation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On Research-Priority Routing</w:t>
      </w:r>
    </w:p>
    <w:p>
      <w:pPr>
        <w:spacing w:after="120"/>
      </w:pPr>
      <w:r>
        <w:rPr>
          <w:rFonts w:ascii="Arial" w:cs="Arial" w:eastAsia="Arial" w:hAnsi="Arial"/>
        </w:rPr>
        <w:t xml:space="preserve">Deploy research-priority routing as the </w:t>
      </w:r>
      <w:r>
        <w:rPr>
          <w:rFonts w:ascii="Arial" w:cs="Arial" w:eastAsia="Arial" w:hAnsi="Arial"/>
          <w:b/>
          <w:bCs/>
        </w:rPr>
        <w:t xml:space="preserve">default orchestration mode for full_system</w:t>
      </w:r>
      <w:r>
        <w:rPr>
          <w:rFonts w:ascii="Arial" w:cs="Arial" w:eastAsia="Arial" w:hAnsi="Arial"/>
        </w:rPr>
        <w:t xml:space="preserve">. Even though PF improvement is minimal, the MaxDD improvement (−57% → −34%) is significant and the routing logic is correct by construction. Research models now get first-right-of-refusal on their validated regime conditions.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On Full System vs pbl_slc</w:t>
      </w:r>
    </w:p>
    <w:p>
      <w:pPr>
        <w:spacing w:after="120"/>
      </w:pPr>
      <w:r>
        <w:rPr>
          <w:rFonts w:ascii="Arial" w:cs="Arial" w:eastAsia="Arial" w:hAnsi="Arial"/>
        </w:rPr>
        <w:t xml:space="preserve">Do not use full_system mode for production parameter optimization until TrendModel passes a HMM-confidence-gated validation. Continue using </w:t>
      </w:r>
      <w:r>
        <w:rPr>
          <w:rFonts w:ascii="Arial" w:cs="Arial" w:eastAsia="Arial" w:hAnsi="Arial"/>
          <w:b/>
          <w:bCs/>
        </w:rPr>
        <w:t xml:space="preserve">mode=pbl_slc</w:t>
      </w:r>
      <w:r>
        <w:rPr>
          <w:rFonts w:ascii="Arial" w:cs="Arial" w:eastAsia="Arial" w:hAnsi="Arial"/>
        </w:rPr>
        <w:t xml:space="preserve"> as the production-quality backtest path. Full_system mode remains available for research and comparison.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 On Next Steps (Session 43)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Implement HMM confidence gating for TrendModel (Option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 full_system with confidence_threshold=0.70 and compare PF/MaxDD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If TrendModel PF &gt;= 1.20: include in full_system production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If TrendModel still underperforms: disable from full_system, run full_system as pbl_slc + MB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Wire FilterStatsTracker into paper_executor close path (pending action from Session 36)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 On Production Trading</w:t>
      </w:r>
    </w:p>
    <w:p>
      <w:pPr>
        <w:spacing w:after="120"/>
      </w:pPr>
      <w:r>
        <w:rPr>
          <w:rFonts w:ascii="Arial" w:cs="Arial" w:eastAsia="Arial" w:hAnsi="Arial"/>
        </w:rPr>
        <w:t xml:space="preserve">Session 42 findings have </w:t>
      </w:r>
      <w:r>
        <w:rPr>
          <w:rFonts w:ascii="Arial" w:cs="Arial" w:eastAsia="Arial" w:hAnsi="Arial"/>
          <w:b/>
          <w:bCs/>
        </w:rPr>
        <w:t xml:space="preserve">no impact on production demo trading</w:t>
      </w:r>
      <w:r>
        <w:rPr>
          <w:rFonts w:ascii="Arial" w:cs="Arial" w:eastAsia="Arial" w:hAnsi="Arial"/>
        </w:rPr>
        <w:t xml:space="preserve">. The live system uses mr_pbl_slc.enabled=true with the production SignalGenerator, which already applies the correct regime gating. The orchestration issue is specific to the Research Lab's full_system backtest mode.</w:t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Test Coverage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 New Tests (test_session42_orchestration.py — 21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900"/>
        <w:gridCol w:w="51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TestOrchestrationConstants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ORCHESTRATION_NAIVE and RESEARCH_PRIORITY constant values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TestBacktestRunnerOrchestration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orchestration_mode stored, defaults naive, accepted in init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TestPblSlcParity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mode=pbl_slc always routes _run_scenario(), never unified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TestNaiveSignalSelection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Naive: highest-strength wins regardless of family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TestResearchPriorityRouting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RP: research wins over HMM, SLC over PBL, fallback to HMM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TestSweepEngineOrchestration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SweepEngine stores mode, passes to initargs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TestNoSecondEngine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Confirms _run_scenario() and _run_unified_scenario() remain distinct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TestDeterminism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input → same output for both modes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All 21 tests pass</w:t>
      </w:r>
      <w:r>
        <w:rPr>
          <w:rFonts w:ascii="Arial" w:cs="Arial" w:eastAsia="Arial" w:hAnsi="Arial"/>
        </w:rPr>
        <w:t xml:space="preserve">. Full regression suite unchanged: 1,459 passed, 11 skipped, 0 failed.</w:t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Commit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42 — 2026-03-28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c2c5e30 (v1.3 PBL+SLC regime alignment fix, Session 36)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backtest_runner.py, sweep_engine.py, research_lab_page.py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 added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test_session42_orchestration.py, session42_rp_result.json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constants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ORCHESTRATION_NAIVE, ORCHESTRATION_RESEARCH_PRIORITY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orchestration_mode on BacktestRunner, SweepEngine, _LabState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addition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Orchestration dropdown in Research Lab search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added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(test_session42_orchestration.py)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1,459 passed, 11 skipped, 0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 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~121 seconds (8 CPU workers)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4E7E" w:sz="4" w:space="1"/>
        </w:pBd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Appendix — Raw Backtest Numbers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A1. Naive Full System (reference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0.04%/side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~4,296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42.81%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~42.8%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−23.01%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−56.98%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~−57%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Equity ($100k start)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$116,998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~$74k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signals_generated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7,275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7,275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rejected_heat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2,854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PBL: n / PF / 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343 / 0.915 / 44.6%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SLC: n / PF / 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616 / 1.286 / 58.3%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Trend: n / PF / 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1,511 / 0.994 / 35.9%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MB: n / PF / 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1,826 / 0.946 / 43.0%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A2. Research-Priority Full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0.04%/side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0.9367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39.23%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39.11%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7.57%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−27.93%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−34.03%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−82.24%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Equity ($100k start)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$133,854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$27,026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signals_generated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14,785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rejected_heat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9,012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PBL: n / PF / 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232 / 0.829 / 44.0%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232 / 0.692 / 44.0%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SLC: n / PF / 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901 / 1.218 / 59.6%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901 / 1.045 / 59.6%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Trend: n / PF / 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3,518 / 0.950 / 34.5%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3,518 / 0.898 / 34.5%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MB: n / PF / 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1,082 / 1.044 / 36.5%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1,084 / 0.993 / 35.9%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A3. pbl_slc Reference (Session 36 validation — not re-run 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0.04%/side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1.3708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1.2682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66.44%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47.44%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−16.37%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−20.33%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PBL: n / 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516 / 0.8995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SLC: n / 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1,229 / 1.5455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E7E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NexusTrader Session 42 — Strategy Orchestration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E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4E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2026-03-29T01:57:06.424Z</dcterms:created>
  <dcterms:modified xsi:type="dcterms:W3CDTF">2026-03-29T01:57:06.425Z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