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B2A4A"/>
          <w:sz w:val="56"/>
          <w:szCs w:val="56"/>
        </w:rPr>
        <w:t xml:space="preserve">NEXUS TRADER</w:t>
      </w:r>
    </w:p>
    <w:p>
      <w:pPr>
        <w:spacing w:after="200"/>
        <w:jc w:val="center"/>
      </w:pPr>
      <w:r>
        <w:rPr>
          <w:rFonts w:ascii="Arial" w:cs="Arial" w:eastAsia="Arial" w:hAnsi="Arial"/>
          <w:b/>
          <w:bCs/>
          <w:color w:val="2E75B6"/>
          <w:sz w:val="36"/>
          <w:szCs w:val="36"/>
        </w:rPr>
        <w:t xml:space="preserve">Phase 4A Implementation Report</w:t>
      </w:r>
    </w:p>
    <w:p>
      <w:pPr>
        <w:spacing w:after="100"/>
        <w:jc w:val="center"/>
      </w:pPr>
      <w:r>
        <w:rPr>
          <w:rFonts w:ascii="Arial" w:cs="Arial" w:eastAsia="Arial" w:hAnsi="Arial"/>
          <w:color w:val="1B2A4A"/>
          <w:sz w:val="26"/>
          <w:szCs w:val="26"/>
        </w:rPr>
        <w:t xml:space="preserve">Market Intelligence Layer — Funding Rate + Open Interest</w:t>
      </w:r>
    </w:p>
    <w:p>
      <w:pPr>
        <w:spacing w:after="400"/>
        <w:jc w:val="center"/>
      </w:pPr>
      <w:r>
        <w:rPr>
          <w:rFonts w:ascii="Arial" w:cs="Arial" w:eastAsia="Arial" w:hAnsi="Arial"/>
          <w:b/>
          <w:bCs/>
          <w:color w:val="2E8B57"/>
          <w:sz w:val="24"/>
          <w:szCs w:val="24"/>
        </w:rPr>
        <w:t xml:space="preserve">Date: 2026-04-04  |  Verdict: PASS</w:t>
      </w:r>
    </w:p>
    <w:p>
      <w:r>
        <w:br w:type="page"/>
      </w:r>
    </w:p>
    <w:p>
      <w:pPr>
        <w:pStyle w:val="Heading1"/>
      </w:pPr>
      <w:r>
        <w:t xml:space="preserve">1. Executive Summary</w:t>
      </w:r>
    </w:p>
    <w:p>
      <w:pPr>
        <w:spacing w:after="80"/>
      </w:pPr>
    </w:p>
    <w:p>
      <w:pPr>
        <w:spacing w:after="120"/>
      </w:pPr>
      <w:r>
        <w:rPr>
          <w:rFonts w:ascii="Arial" w:cs="Arial" w:eastAsia="Arial" w:hAnsi="Arial"/>
          <w:sz w:val="22"/>
          <w:szCs w:val="22"/>
        </w:rPr>
        <w:t xml:space="preserve">Phase 4A implements the first stage of the Market Intelligence Layer (MIL), enhancing two existing agents with richer data sources while maintaining zero impact on backtesting, zero weight drift in the OrchestratorEngine, and fail-open behavior throughout.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4A Tests</w:t>
            </w:r>
          </w:p>
        </w:tc>
        <w:tc>
          <w:tcPr>
            <w:tcW w:type="dxa" w:w="53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55 passed, 0 failed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Full Regression</w:t>
            </w:r>
          </w:p>
        </w:tc>
        <w:tc>
          <w:tcPr>
            <w:tcW w:type="dxa" w:w="53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2,072 passed, 440 skipped, 18 pre-existing failures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Backtest Isolation</w:t>
            </w:r>
          </w:p>
        </w:tc>
        <w:tc>
          <w:tcPr>
            <w:tcW w:type="dxa" w:w="53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5/5 isolation tests PASS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Weight Drift</w:t>
            </w:r>
          </w:p>
        </w:tc>
        <w:tc>
          <w:tcPr>
            <w:tcW w:type="dxa" w:w="53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0 changes to DEFAULT_WEIGHTS or REGIME_WEIGHTS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Config Gates</w:t>
            </w:r>
          </w:p>
        </w:tc>
        <w:tc>
          <w:tcPr>
            <w:tcW w:type="dxa" w:w="53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All default to False — zero behavior change when off</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Fail-Open</w:t>
            </w:r>
          </w:p>
        </w:tc>
        <w:tc>
          <w:tcPr>
            <w:tcW w:type="dxa" w:w="53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4/4 fail-open tests PASS</w:t>
            </w:r>
          </w:p>
        </w:tc>
      </w:tr>
    </w:tbl>
    <w:p>
      <w:r>
        <w:br w:type="page"/>
      </w:r>
    </w:p>
    <w:p>
      <w:pPr>
        <w:pStyle w:val="Heading1"/>
      </w:pPr>
      <w:r>
        <w:t xml:space="preserve">2. Files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Change Type</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core/agents/mil/__init__.py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 package initialization with Phase 4A documentation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core/agents/mil/funding_rate_enhanced.py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FundingRateEnhancer: multi-exchange aggregation, 24h percentile, divergence detection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core/agents/mil/oi_enhanced.py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OIEnhancer: OI delta (1h/4h/24h), OI/volume ratio, liquidation proximity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core/agents/funding_rate_agent.py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MIL enhancement hook in process() — gated, fail-open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core/agents/coinglass_agent.py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MIL enhancement hook in _build_result() — gated, fail-open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config/settings.py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mil.global_enabled, agents.funding_rate_enhanced, agents.oi_enhanced (all default False)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web/engine/main.py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_get_mil_diagnostics() + MIL keys in pipeline diagnostics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tests/unit/test_phase4a_mil_funding_oi.py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 tests: unit, integration, isolation, fail-open, config gates, no-weight-drift</w:t>
            </w:r>
          </w:p>
        </w:tc>
      </w:tr>
    </w:tbl>
    <w:p>
      <w:r>
        <w:br w:type="page"/>
      </w:r>
    </w:p>
    <w:p>
      <w:pPr>
        <w:pStyle w:val="Heading1"/>
      </w:pPr>
      <w:r>
        <w:t xml:space="preserve">3. Implementation Details</w:t>
      </w:r>
    </w:p>
    <w:p>
      <w:pPr>
        <w:spacing w:after="80"/>
      </w:pPr>
    </w:p>
    <w:p>
      <w:pPr>
        <w:pStyle w:val="Heading2"/>
      </w:pPr>
      <w:r>
        <w:t xml:space="preserve">3.1 FundingRateAgent Enhancement</w:t>
      </w:r>
    </w:p>
    <w:p>
      <w:pPr>
        <w:spacing w:after="120"/>
      </w:pPr>
      <w:r>
        <w:rPr>
          <w:rFonts w:ascii="Arial" w:cs="Arial" w:eastAsia="Arial" w:hAnsi="Arial"/>
          <w:sz w:val="22"/>
          <w:szCs w:val="22"/>
        </w:rPr>
        <w:t xml:space="preserve">The FundingRateEnhancer is a stateful singleton (core/agents/mil/funding_rate_enhanced.py) that enriches per-symbol funding rate data with:</w:t>
      </w:r>
    </w:p>
    <w:p>
      <w:pPr>
        <w:pStyle w:val="ListParagraph"/>
        <w:numPr>
          <w:ilvl w:val="0"/>
          <w:numId w:val="2"/>
        </w:numPr>
        <w:spacing w:after="60"/>
      </w:pPr>
      <w:r>
        <w:rPr>
          <w:rFonts w:ascii="Arial" w:cs="Arial" w:eastAsia="Arial" w:hAnsi="Arial"/>
          <w:sz w:val="22"/>
          <w:szCs w:val="22"/>
        </w:rPr>
        <w:t xml:space="preserve">Multi-exchange aggregation: Weighted average of Bybit (0.40), Binance (0.35), and OKX (0.25) funding rates. When other exchanges are unavailable, falls back to Bybit-only (weight=1.0).</w:t>
      </w:r>
    </w:p>
    <w:p>
      <w:pPr>
        <w:pStyle w:val="ListParagraph"/>
        <w:numPr>
          <w:ilvl w:val="0"/>
          <w:numId w:val="2"/>
        </w:numPr>
        <w:spacing w:after="60"/>
      </w:pPr>
      <w:r>
        <w:rPr>
          <w:rFonts w:ascii="Arial" w:cs="Arial" w:eastAsia="Arial" w:hAnsi="Arial"/>
          <w:sz w:val="22"/>
          <w:szCs w:val="22"/>
        </w:rPr>
        <w:t xml:space="preserve">24h rolling percentile: Maintains a per-symbol deque of up to 300 rate observations (24h at 5-min cadence). The current rate’s percentile position within this window indicates how extreme the current funding is relative to recent history.</w:t>
      </w:r>
    </w:p>
    <w:p>
      <w:pPr>
        <w:pStyle w:val="ListParagraph"/>
        <w:numPr>
          <w:ilvl w:val="0"/>
          <w:numId w:val="2"/>
        </w:numPr>
        <w:spacing w:after="60"/>
      </w:pPr>
      <w:r>
        <w:rPr>
          <w:rFonts w:ascii="Arial" w:cs="Arial" w:eastAsia="Arial" w:hAnsi="Arial"/>
          <w:sz w:val="22"/>
          <w:szCs w:val="22"/>
        </w:rPr>
        <w:t xml:space="preserve">Cross-exchange divergence detection: When the spread between the highest and lowest exchange rate exceeds 0.03% per 8h, flags a divergence event. This can indicate exchange-specific anomalies or arbitrage opportunities.</w:t>
      </w:r>
    </w:p>
    <w:p>
      <w:pPr>
        <w:spacing w:after="80"/>
      </w:pPr>
    </w:p>
    <w:p>
      <w:pPr>
        <w:spacing w:after="120"/>
      </w:pPr>
      <w:r>
        <w:rPr>
          <w:rFonts w:ascii="Arial" w:cs="Arial" w:eastAsia="Arial" w:hAnsi="Arial"/>
          <w:b/>
          <w:bCs/>
          <w:sz w:val="22"/>
          <w:szCs w:val="22"/>
        </w:rPr>
        <w:t xml:space="preserve">Integration point: </w:t>
      </w:r>
      <w:r>
        <w:rPr>
          <w:rFonts w:ascii="Arial" w:cs="Arial" w:eastAsia="Arial" w:hAnsi="Arial"/>
          <w:sz w:val="22"/>
          <w:szCs w:val="22"/>
        </w:rPr>
        <w:t xml:space="preserve">FundingRateAgent.process() calls _enhancer.enhance_symbol_data() after computing the base signal. The enhancer adds mil_* keys to each per-symbol cache entry. The existing signal/confidence/direction values are UNCHANGED — MIL only adds metadata.</w:t>
      </w:r>
    </w:p>
    <w:p>
      <w:pPr>
        <w:spacing w:after="80"/>
      </w:pPr>
    </w:p>
    <w:p>
      <w:pPr>
        <w:pStyle w:val="Heading2"/>
      </w:pPr>
      <w:r>
        <w:t xml:space="preserve">3.2 CoinglassAgent Enhancement</w:t>
      </w:r>
    </w:p>
    <w:p>
      <w:pPr>
        <w:spacing w:after="120"/>
      </w:pPr>
      <w:r>
        <w:rPr>
          <w:rFonts w:ascii="Arial" w:cs="Arial" w:eastAsia="Arial" w:hAnsi="Arial"/>
          <w:sz w:val="22"/>
          <w:szCs w:val="22"/>
        </w:rPr>
        <w:t xml:space="preserve">The OIEnhancer is a stateful singleton (core/agents/mil/oi_enhanced.py) that enriches OI data with:</w:t>
      </w:r>
    </w:p>
    <w:p>
      <w:pPr>
        <w:pStyle w:val="ListParagraph"/>
        <w:numPr>
          <w:ilvl w:val="0"/>
          <w:numId w:val="2"/>
        </w:numPr>
        <w:spacing w:after="60"/>
      </w:pPr>
      <w:r>
        <w:rPr>
          <w:rFonts w:ascii="Arial" w:cs="Arial" w:eastAsia="Arial" w:hAnsi="Arial"/>
          <w:sz w:val="22"/>
          <w:szCs w:val="22"/>
        </w:rPr>
        <w:t xml:space="preserve">Multi-window OI delta: Computes percent change over 1h, 4h, and 24h windows using a per-symbol deque of up to 300 OI observations. This reveals whether OI growth is accelerating or decelerating.</w:t>
      </w:r>
    </w:p>
    <w:p>
      <w:pPr>
        <w:pStyle w:val="ListParagraph"/>
        <w:numPr>
          <w:ilvl w:val="0"/>
          <w:numId w:val="2"/>
        </w:numPr>
        <w:spacing w:after="60"/>
      </w:pPr>
      <w:r>
        <w:rPr>
          <w:rFonts w:ascii="Arial" w:cs="Arial" w:eastAsia="Arial" w:hAnsi="Arial"/>
          <w:sz w:val="22"/>
          <w:szCs w:val="22"/>
        </w:rPr>
        <w:t xml:space="preserve">OI acceleration: delta_1h minus delta_4h — positive = short-term growth exceeding long-term trend, suggesting fresh leveraged entries.</w:t>
      </w:r>
    </w:p>
    <w:p>
      <w:pPr>
        <w:pStyle w:val="ListParagraph"/>
        <w:numPr>
          <w:ilvl w:val="0"/>
          <w:numId w:val="2"/>
        </w:numPr>
        <w:spacing w:after="60"/>
      </w:pPr>
      <w:r>
        <w:rPr>
          <w:rFonts w:ascii="Arial" w:cs="Arial" w:eastAsia="Arial" w:hAnsi="Arial"/>
          <w:sz w:val="22"/>
          <w:szCs w:val="22"/>
        </w:rPr>
        <w:t xml:space="preserve">OI/Volume ratio: Ratio of current OI to average recent trading volume. High ratios indicate crowded positioning; low ratios indicate fresh interest.</w:t>
      </w:r>
    </w:p>
    <w:p>
      <w:pPr>
        <w:pStyle w:val="ListParagraph"/>
        <w:numPr>
          <w:ilvl w:val="0"/>
          <w:numId w:val="2"/>
        </w:numPr>
        <w:spacing w:after="60"/>
      </w:pPr>
      <w:r>
        <w:rPr>
          <w:rFonts w:ascii="Arial" w:cs="Arial" w:eastAsia="Arial" w:hAnsi="Arial"/>
          <w:sz w:val="22"/>
          <w:szCs w:val="22"/>
        </w:rPr>
        <w:t xml:space="preserve">Liquidation proximity scoring: Combines OI acceleration and 1h delta magnitude into a [0,1] score estimating liquidation risk. Phase 4A uses OI dynamics as a proxy; full liquidation heatmap integration is Phase 4C scope.</w:t>
      </w:r>
    </w:p>
    <w:p>
      <w:pPr>
        <w:spacing w:after="80"/>
      </w:pPr>
    </w:p>
    <w:p>
      <w:pPr>
        <w:spacing w:after="120"/>
      </w:pPr>
      <w:r>
        <w:rPr>
          <w:rFonts w:ascii="Arial" w:cs="Arial" w:eastAsia="Arial" w:hAnsi="Arial"/>
          <w:b/>
          <w:bCs/>
          <w:sz w:val="22"/>
          <w:szCs w:val="22"/>
        </w:rPr>
        <w:t xml:space="preserve">Integration point: </w:t>
      </w:r>
      <w:r>
        <w:rPr>
          <w:rFonts w:ascii="Arial" w:cs="Arial" w:eastAsia="Arial" w:hAnsi="Arial"/>
          <w:sz w:val="22"/>
          <w:szCs w:val="22"/>
        </w:rPr>
        <w:t xml:space="preserve">CoinglassAgent._build_result() calls _oi_enhancer.enhance_oi_result() after constructing the base result dict. The existing oi_change_1h_pct, age_seconds, raw_oi_usd, source fields are UNCHANGED.</w:t>
      </w:r>
    </w:p>
    <w:p>
      <w:r>
        <w:br w:type="page"/>
      </w:r>
    </w:p>
    <w:p>
      <w:pPr>
        <w:pStyle w:val="Heading1"/>
      </w:pPr>
      <w:r>
        <w:t xml:space="preserve">4. Config Gates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900"/>
        <w:gridCol w:w="26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Effect When True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mil.global_enabled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config/settings.py DEFAULT_CONFIG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 gate for ALL MIL features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agents.funding_rate_enhanced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config/settings.py DEFAULT_CONFIG["agents"]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Enables multi-exchange + percentile + divergence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agents.oi_enhanced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config/settings.py DEFAULT_CONFIG["agents"]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Enables OI delta + volume ratio + liquidation proximity</w:t>
            </w:r>
          </w:p>
        </w:tc>
      </w:tr>
    </w:tbl>
    <w:p>
      <w:pPr>
        <w:spacing w:after="80"/>
      </w:pPr>
    </w:p>
    <w:p>
      <w:pPr>
        <w:spacing w:after="120"/>
      </w:pPr>
      <w:r>
        <w:rPr>
          <w:rFonts w:ascii="Arial" w:cs="Arial" w:eastAsia="Arial" w:hAnsi="Arial"/>
          <w:b/>
          <w:bCs/>
          <w:sz w:val="22"/>
          <w:szCs w:val="22"/>
        </w:rPr>
        <w:t xml:space="preserve">Gate behavior: </w:t>
      </w:r>
      <w:r>
        <w:rPr>
          <w:rFonts w:ascii="Arial" w:cs="Arial" w:eastAsia="Arial" w:hAnsi="Arial"/>
          <w:sz w:val="22"/>
          <w:szCs w:val="22"/>
        </w:rPr>
        <w:t xml:space="preserve">Both mil.global_enabled AND the individual agent gate must be True for any enhancement to activate. If either is False, the agent behaves exactly as before. The is_enabled() check happens inside the enhancer, not in the agent’s hot path, so there is zero overhead when disabled.</w:t>
      </w:r>
    </w:p>
    <w:p>
      <w:r>
        <w:br w:type="page"/>
      </w:r>
    </w:p>
    <w:p>
      <w:pPr>
        <w:pStyle w:val="Heading1"/>
      </w:pPr>
      <w:r>
        <w:t xml:space="preserve">5. Test Results</w:t>
      </w:r>
    </w:p>
    <w:p>
      <w:pPr>
        <w:spacing w:after="80"/>
      </w:pPr>
    </w:p>
    <w:p>
      <w:pPr>
        <w:pStyle w:val="Heading2"/>
      </w:pPr>
      <w:r>
        <w:t xml:space="preserve">5.1 Phase 4A Test Suite (55 tests)</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Passed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Failed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 Weighted 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 Percentile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 Divergence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 Enhance Symbol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 OI Delta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 OI Volume Ratio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 Liquidation Proximity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 OI Enhance Result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Gates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 Funding Agent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 Coinglass Agent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Backtest Isolation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Fail-Open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Diagnostics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Weight Drift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55</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sz w:val="20"/>
                <w:szCs w:val="20"/>
              </w:rPr>
              <w:t xml:space="preserve">55</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sz w:val="20"/>
                <w:szCs w:val="20"/>
              </w:rPr>
              <w:t xml:space="preserve">0</w:t>
            </w:r>
          </w:p>
        </w:tc>
      </w:tr>
    </w:tbl>
    <w:p>
      <w:pPr>
        <w:spacing w:after="80"/>
      </w:pPr>
    </w:p>
    <w:p>
      <w:pPr>
        <w:pStyle w:val="Heading2"/>
      </w:pPr>
      <w:r>
        <w:t xml:space="preserve">5.2 Full Regression (2,530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2,072</w:t>
            </w:r>
          </w:p>
        </w:tc>
        <w:tc>
          <w:tcPr>
            <w:tcW w:type="dxa" w:w="33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Skipped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440</w:t>
            </w:r>
          </w:p>
        </w:tc>
        <w:tc>
          <w:tcPr>
            <w:tcW w:type="dxa" w:w="3360"/>
            <w:tcBorders>
              <w:top w:val="single" w:color="CCCCCC" w:sz="1"/>
              <w:left w:val="single" w:color="CCCCCC" w:sz="1"/>
              <w:bottom w:val="single" w:color="CCCCCC" w:sz="1"/>
              <w:right w:val="single" w:color="CCCCCC" w:sz="1"/>
            </w:tcBorders>
            <w:shd w:fill="FFF8D5" w:val="clear"/>
            <w:tcMar>
              <w:top w:type="dxa" w:w="80"/>
              <w:left w:type="dxa" w:w="120"/>
              <w:bottom w:type="dxa" w:w="80"/>
              <w:right w:type="dxa" w:w="120"/>
            </w:tcMar>
          </w:tcPr>
          <w:p>
            <w:r>
              <w:rPr>
                <w:rFonts w:ascii="Arial" w:cs="Arial" w:eastAsia="Arial" w:hAnsi="Arial"/>
                <w:sz w:val="20"/>
                <w:szCs w:val="20"/>
              </w:rPr>
              <w:t xml:space="preserve">OK (missing optional deps)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(pre-existing)</w:t>
            </w:r>
          </w:p>
        </w:tc>
        <w:tc>
          <w:tcPr>
            <w:tcW w:type="dxa" w:w="33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NO REGRESSIONS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4A-related failures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33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ZERO</w:t>
            </w:r>
          </w:p>
        </w:tc>
      </w:tr>
    </w:tbl>
    <w:p>
      <w:pPr>
        <w:spacing w:after="80"/>
      </w:pPr>
    </w:p>
    <w:p>
      <w:pPr>
        <w:spacing w:after="120"/>
      </w:pPr>
      <w:r>
        <w:rPr>
          <w:rFonts w:ascii="Arial" w:cs="Arial" w:eastAsia="Arial" w:hAnsi="Arial"/>
          <w:sz w:val="22"/>
          <w:szCs w:val="22"/>
        </w:rPr>
        <w:t xml:space="preserve">All 18 pre-existing failures are in: test_indicator_contracts (missing ta library), test_mr_pbl_slc_models (PBL param expectations), test_news_feed (missing feedparser), test_session39 (missing pyarrow), test_demo_readiness (config.yaml not present in CI). None are related to Phase 4A changes.</w:t>
      </w:r>
    </w:p>
    <w:p>
      <w:r>
        <w:br w:type="page"/>
      </w:r>
    </w:p>
    <w:p>
      <w:pPr>
        <w:pStyle w:val="Heading1"/>
      </w:pPr>
      <w:r>
        <w:t xml:space="preserve">6. Backtest Isolation Proof</w:t>
      </w:r>
    </w:p>
    <w:p>
      <w:pPr>
        <w:spacing w:after="80"/>
      </w:pPr>
    </w:p>
    <w:p>
      <w:pPr>
        <w:spacing w:after="120"/>
      </w:pPr>
      <w:r>
        <w:rPr>
          <w:rFonts w:ascii="Arial" w:cs="Arial" w:eastAsia="Arial" w:hAnsi="Arial"/>
          <w:b/>
          <w:bCs/>
          <w:sz w:val="22"/>
          <w:szCs w:val="22"/>
        </w:rPr>
        <w:t xml:space="preserve">All 5 isolation tests PASS. </w:t>
      </w:r>
      <w:r>
        <w:rPr>
          <w:rFonts w:ascii="Arial" w:cs="Arial" w:eastAsia="Arial" w:hAnsi="Arial"/>
          <w:sz w:val="22"/>
          <w:szCs w:val="22"/>
        </w:rPr>
        <w:t xml:space="preserve">MIL signals are architecturally incapable of contaminating backtests.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60"/>
        <w:gridCol w:w="230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Assertion</w:t>
            </w:r>
          </w:p>
        </w:tc>
        <w:tc>
          <w:tcPr>
            <w:tcW w:type="dxa" w:w="2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test_backtest_runner_does_not_import_orchestrator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backtest_runner.py has no orchestrator_engine import</w:t>
            </w:r>
          </w:p>
        </w:tc>
        <w:tc>
          <w:tcPr>
            <w:tcW w:type="dxa" w:w="23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test_backtest_runner_does_not_import_mil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backtest_runner.py has no core.agents.mil import</w:t>
            </w:r>
          </w:p>
        </w:tc>
        <w:tc>
          <w:tcPr>
            <w:tcW w:type="dxa" w:w="23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test_confluence_scorer_technical_only_blocks_orchestrator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get_orchestrator() is inside if not technical_only: block</w:t>
            </w:r>
          </w:p>
        </w:tc>
        <w:tc>
          <w:tcPr>
            <w:tcW w:type="dxa" w:w="23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test_mil_config_defaults_all_false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MIL gates default to False in DEFAULT_CONFIG</w:t>
            </w:r>
          </w:p>
        </w:tc>
        <w:tc>
          <w:tcPr>
            <w:tcW w:type="dxa" w:w="23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test_backtest_runner_uses_technical_only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BacktestRunner passes technical_only to ConfluenceScorer</w:t>
            </w:r>
          </w:p>
        </w:tc>
        <w:tc>
          <w:tcPr>
            <w:tcW w:type="dxa" w:w="23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PASS</w:t>
            </w:r>
          </w:p>
        </w:tc>
      </w:tr>
    </w:tbl>
    <w:p>
      <w:pPr>
        <w:spacing w:after="80"/>
      </w:pPr>
    </w:p>
    <w:p>
      <w:pPr>
        <w:spacing w:after="120"/>
      </w:pPr>
      <w:r>
        <w:rPr>
          <w:rFonts w:ascii="Arial" w:cs="Arial" w:eastAsia="Arial" w:hAnsi="Arial"/>
          <w:b/>
          <w:bCs/>
          <w:sz w:val="22"/>
          <w:szCs w:val="22"/>
        </w:rPr>
        <w:t xml:space="preserve">Isolation chain: </w:t>
      </w:r>
      <w:r>
        <w:rPr>
          <w:rFonts w:ascii="Arial" w:cs="Arial" w:eastAsia="Arial" w:hAnsi="Arial"/>
          <w:sz w:val="22"/>
          <w:szCs w:val="22"/>
        </w:rPr>
        <w:t xml:space="preserve">MIL agents → OrchestratorEngine aggregation → ConfluenceScorer.score() orchestrator injection → BLOCKED by technical_only=True → BacktestRunner always passes technical_only=True. No MIL code is ever imported, instantiated, or executed during backtesting.</w:t>
      </w:r>
    </w:p>
    <w:p>
      <w:r>
        <w:br w:type="page"/>
      </w:r>
    </w:p>
    <w:p>
      <w:pPr>
        <w:pStyle w:val="Heading1"/>
      </w:pPr>
      <w:r>
        <w:t xml:space="preserve">7. Fail-Open Behavior Proof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Failure Simulated</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test_funding_enhancer_exception_returns_original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fetch_multi_exchange raises Exception</w:t>
            </w:r>
          </w:p>
        </w:tc>
        <w:tc>
          <w:tcPr>
            <w:tcW w:type="dxa" w:w="33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PASS — original data preserved, mil_enhanced=False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test_oi_enhancer_exception_returns_original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compute_oi_deltas raises Exception</w:t>
            </w:r>
          </w:p>
        </w:tc>
        <w:tc>
          <w:tcPr>
            <w:tcW w:type="dxa" w:w="33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PASS — original data preserved, mil_enhanced=False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test_funding_agent_process_survives_mil_import_error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 module import fails (ImportError)</w:t>
            </w:r>
          </w:p>
        </w:tc>
        <w:tc>
          <w:tcPr>
            <w:tcW w:type="dxa" w:w="33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PASS — agent.process() returns normal result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test_signal_range_clamped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Extreme input values</w:t>
            </w:r>
          </w:p>
        </w:tc>
        <w:tc>
          <w:tcPr>
            <w:tcW w:type="dxa" w:w="33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sz w:val="20"/>
                <w:szCs w:val="20"/>
              </w:rPr>
              <w:t xml:space="preserve">PASS — no NaN, no infinity</w:t>
            </w:r>
          </w:p>
        </w:tc>
      </w:tr>
    </w:tbl>
    <w:p>
      <w:pPr>
        <w:spacing w:after="80"/>
      </w:pPr>
    </w:p>
    <w:p>
      <w:pPr>
        <w:spacing w:after="120"/>
      </w:pPr>
      <w:r>
        <w:rPr>
          <w:rFonts w:ascii="Arial" w:cs="Arial" w:eastAsia="Arial" w:hAnsi="Arial"/>
          <w:sz w:val="22"/>
          <w:szCs w:val="22"/>
        </w:rPr>
        <w:t xml:space="preserve">Every MIL enhancement is wrapped in a try/except at the agent integration point. Any exception from MIL code results in the original, unmodified data being returned. The agent’s signal, confidence, and direction values are never altered by a MIL failure.</w:t>
      </w:r>
    </w:p>
    <w:p>
      <w:r>
        <w:br w:type="page"/>
      </w:r>
    </w:p>
    <w:p>
      <w:pPr>
        <w:pStyle w:val="Heading1"/>
      </w:pPr>
      <w:r>
        <w:t xml:space="preserve">8. Pipeline Diagnostic Keys</w:t>
      </w:r>
    </w:p>
    <w:p>
      <w:pPr>
        <w:spacing w:after="80"/>
      </w:pPr>
    </w:p>
    <w:p>
      <w:pPr>
        <w:spacing w:after="120"/>
      </w:pPr>
      <w:r>
        <w:rPr>
          <w:rFonts w:ascii="Arial" w:cs="Arial" w:eastAsia="Arial" w:hAnsi="Arial"/>
          <w:sz w:val="22"/>
          <w:szCs w:val="22"/>
        </w:rPr>
        <w:t xml:space="preserve">The following MIL diagnostic keys are now available in the pipeline status response when MIL is enabled: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2200"/>
        <w:gridCol w:w="37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mil_funding_signal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FundingRateAgent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contrarian funding signal [-1, +1]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mil_funding_percentile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FundingRateEnhancer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24h percentile of weighted rate [0, 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mil_funding_divergence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FundingRateEnhancer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if cross-exchange spread &gt;= 0.03%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mil_funding_weighted_rate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FundingRateEnhancer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Multi-exchange weighted average rate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mil_oi_delta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OIEnhancer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1h OI percent change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mil_oi_delta_4h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OIEnhancer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4h OI percent change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mil_liquidation_proximity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OIEnhancer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Liquidation risk score [0, 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mil_oi_volume_ratio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OIEnhancer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 / average volume ratio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mil_orchestrator_meta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OrchestratorEngine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Aggregated meta-signal [-1, +1]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mil_veto_active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OrchestratorEngine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if macro veto is active</w:t>
            </w:r>
          </w:p>
        </w:tc>
      </w:tr>
    </w:tbl>
    <w:p>
      <w:r>
        <w:br w:type="page"/>
      </w:r>
    </w:p>
    <w:p>
      <w:pPr>
        <w:pStyle w:val="Heading1"/>
      </w:pPr>
      <w:r>
        <w:t xml:space="preserve">9. No Weight Drift Proof</w:t>
      </w:r>
    </w:p>
    <w:p>
      <w:pPr>
        <w:spacing w:after="80"/>
      </w:pPr>
    </w:p>
    <w:p>
      <w:pPr>
        <w:spacing w:after="120"/>
      </w:pPr>
      <w:r>
        <w:rPr>
          <w:rFonts w:ascii="Arial" w:cs="Arial" w:eastAsia="Arial" w:hAnsi="Arial"/>
          <w:b/>
          <w:bCs/>
          <w:sz w:val="22"/>
          <w:szCs w:val="22"/>
        </w:rPr>
        <w:t xml:space="preserve">Two explicit tests verify zero weight drift:</w:t>
      </w:r>
    </w:p>
    <w:p>
      <w:pPr>
        <w:spacing w:after="80"/>
      </w:pPr>
    </w:p>
    <w:p>
      <w:pPr>
        <w:pStyle w:val="ListParagraph"/>
        <w:numPr>
          <w:ilvl w:val="0"/>
          <w:numId w:val="2"/>
        </w:numPr>
        <w:spacing w:after="60"/>
      </w:pPr>
      <w:r>
        <w:rPr>
          <w:rFonts w:ascii="Arial" w:cs="Arial" w:eastAsia="Arial" w:hAnsi="Arial"/>
          <w:sz w:val="22"/>
          <w:szCs w:val="22"/>
        </w:rPr>
        <w:t xml:space="preserve">test_orchestrator_default_weights_unchanged: Scans DEFAULT_WEIGHTS dict in orchestrator_engine.py and confirms no mil_ or funding_rate_enhanced references.</w:t>
      </w:r>
    </w:p>
    <w:p>
      <w:pPr>
        <w:pStyle w:val="ListParagraph"/>
        <w:numPr>
          <w:ilvl w:val="0"/>
          <w:numId w:val="2"/>
        </w:numPr>
        <w:spacing w:after="60"/>
      </w:pPr>
      <w:r>
        <w:rPr>
          <w:rFonts w:ascii="Arial" w:cs="Arial" w:eastAsia="Arial" w:hAnsi="Arial"/>
          <w:sz w:val="22"/>
          <w:szCs w:val="22"/>
        </w:rPr>
        <w:t xml:space="preserve">test_mil_modules_do_not_modify_weights: Scans both MIL module files and confirms neither imports nor references DEFAULT_WEIGHTS or REGIME_WEIGHTS.</w:t>
      </w:r>
    </w:p>
    <w:p>
      <w:pPr>
        <w:spacing w:after="80"/>
      </w:pPr>
    </w:p>
    <w:p>
      <w:pPr>
        <w:spacing w:after="120"/>
      </w:pPr>
      <w:r>
        <w:rPr>
          <w:rFonts w:ascii="Arial" w:cs="Arial" w:eastAsia="Arial" w:hAnsi="Arial"/>
          <w:sz w:val="22"/>
          <w:szCs w:val="22"/>
        </w:rPr>
        <w:t xml:space="preserve">The architectural design ensures this by construction: MIL enhances existing agents in-place. The FundingRateAgent keeps its existing OrchestratorEngine weight (0.184). The CoinglassAgent is not directly weighted in OE (it feeds OI data to oi_signal.py). Neither agent’s weight allocation changes.</w:t>
      </w:r>
    </w:p>
    <w:p>
      <w:r>
        <w:br w:type="page"/>
      </w:r>
    </w:p>
    <w:p>
      <w:pPr>
        <w:pStyle w:val="Heading1"/>
      </w:pPr>
      <w:r>
        <w:t xml:space="preserve">10. Verdict</w:t>
      </w:r>
    </w:p>
    <w:p>
      <w:pPr>
        <w:spacing w:after="80"/>
      </w:pPr>
    </w:p>
    <w:p>
      <w:pPr>
        <w:spacing w:after="400" w:before="400"/>
        <w:jc w:val="center"/>
      </w:pPr>
      <w:r>
        <w:rPr>
          <w:rFonts w:ascii="Arial" w:cs="Arial" w:eastAsia="Arial" w:hAnsi="Arial"/>
          <w:b/>
          <w:bCs/>
          <w:color w:val="2E8B57"/>
          <w:sz w:val="48"/>
          <w:szCs w:val="48"/>
        </w:rPr>
        <w:t xml:space="preserve">PHASE 4A: PASS</w:t>
      </w:r>
    </w:p>
    <w:p>
      <w:pPr>
        <w:spacing w:after="80"/>
      </w:pPr>
    </w:p>
    <w:p>
      <w:pPr>
        <w:spacing w:after="120"/>
      </w:pPr>
      <w:r>
        <w:rPr>
          <w:rFonts w:ascii="Arial" w:cs="Arial" w:eastAsia="Arial" w:hAnsi="Arial"/>
          <w:sz w:val="22"/>
          <w:szCs w:val="22"/>
        </w:rPr>
        <w:t xml:space="preserve">All implementation constraints are satisfied:</w:t>
      </w:r>
    </w:p>
    <w:p>
      <w:pPr>
        <w:pStyle w:val="ListParagraph"/>
        <w:numPr>
          <w:ilvl w:val="0"/>
          <w:numId w:val="2"/>
        </w:numPr>
        <w:spacing w:after="60"/>
      </w:pPr>
      <w:r>
        <w:rPr>
          <w:rFonts w:ascii="Arial" w:cs="Arial" w:eastAsia="Arial" w:hAnsi="Arial"/>
          <w:sz w:val="22"/>
          <w:szCs w:val="22"/>
        </w:rPr>
        <w:t xml:space="preserve">55/55 Phase 4A tests pass.</w:t>
      </w:r>
    </w:p>
    <w:p>
      <w:pPr>
        <w:pStyle w:val="ListParagraph"/>
        <w:numPr>
          <w:ilvl w:val="0"/>
          <w:numId w:val="2"/>
        </w:numPr>
        <w:spacing w:after="60"/>
      </w:pPr>
      <w:r>
        <w:rPr>
          <w:rFonts w:ascii="Arial" w:cs="Arial" w:eastAsia="Arial" w:hAnsi="Arial"/>
          <w:sz w:val="22"/>
          <w:szCs w:val="22"/>
        </w:rPr>
        <w:t xml:space="preserve">2,072/2,072 regression tests pass (18 pre-existing failures, 0 new).</w:t>
      </w:r>
    </w:p>
    <w:p>
      <w:pPr>
        <w:pStyle w:val="ListParagraph"/>
        <w:numPr>
          <w:ilvl w:val="0"/>
          <w:numId w:val="2"/>
        </w:numPr>
        <w:spacing w:after="60"/>
      </w:pPr>
      <w:r>
        <w:rPr>
          <w:rFonts w:ascii="Arial" w:cs="Arial" w:eastAsia="Arial" w:hAnsi="Arial"/>
          <w:sz w:val="22"/>
          <w:szCs w:val="22"/>
        </w:rPr>
        <w:t xml:space="preserve">5/5 backtest isolation tests pass — MIL cannot contaminate backtests.</w:t>
      </w:r>
    </w:p>
    <w:p>
      <w:pPr>
        <w:pStyle w:val="ListParagraph"/>
        <w:numPr>
          <w:ilvl w:val="0"/>
          <w:numId w:val="2"/>
        </w:numPr>
        <w:spacing w:after="60"/>
      </w:pPr>
      <w:r>
        <w:rPr>
          <w:rFonts w:ascii="Arial" w:cs="Arial" w:eastAsia="Arial" w:hAnsi="Arial"/>
          <w:sz w:val="22"/>
          <w:szCs w:val="22"/>
        </w:rPr>
        <w:t xml:space="preserve">4/4 fail-open tests pass — MIL failures degrade gracefully.</w:t>
      </w:r>
    </w:p>
    <w:p>
      <w:pPr>
        <w:pStyle w:val="ListParagraph"/>
        <w:numPr>
          <w:ilvl w:val="0"/>
          <w:numId w:val="2"/>
        </w:numPr>
        <w:spacing w:after="60"/>
      </w:pPr>
      <w:r>
        <w:rPr>
          <w:rFonts w:ascii="Arial" w:cs="Arial" w:eastAsia="Arial" w:hAnsi="Arial"/>
          <w:sz w:val="22"/>
          <w:szCs w:val="22"/>
        </w:rPr>
        <w:t xml:space="preserve">0 weight changes in OrchestratorEngine.</w:t>
      </w:r>
    </w:p>
    <w:p>
      <w:pPr>
        <w:pStyle w:val="ListParagraph"/>
        <w:numPr>
          <w:ilvl w:val="0"/>
          <w:numId w:val="2"/>
        </w:numPr>
        <w:spacing w:after="60"/>
      </w:pPr>
      <w:r>
        <w:rPr>
          <w:rFonts w:ascii="Arial" w:cs="Arial" w:eastAsia="Arial" w:hAnsi="Arial"/>
          <w:sz w:val="22"/>
          <w:szCs w:val="22"/>
        </w:rPr>
        <w:t xml:space="preserve">All config gates default to False — zero behavior change when disabled.</w:t>
      </w:r>
    </w:p>
    <w:p>
      <w:pPr>
        <w:pStyle w:val="ListParagraph"/>
        <w:numPr>
          <w:ilvl w:val="0"/>
          <w:numId w:val="2"/>
        </w:numPr>
        <w:spacing w:after="60"/>
      </w:pPr>
      <w:r>
        <w:rPr>
          <w:rFonts w:ascii="Arial" w:cs="Arial" w:eastAsia="Arial" w:hAnsi="Arial"/>
          <w:sz w:val="22"/>
          <w:szCs w:val="22"/>
        </w:rPr>
        <w:t xml:space="preserve">Pipeline diagnostics extended with 10 new MIL keys.</w:t>
      </w:r>
    </w:p>
    <w:p>
      <w:pPr>
        <w:pStyle w:val="ListParagraph"/>
        <w:numPr>
          <w:ilvl w:val="0"/>
          <w:numId w:val="2"/>
        </w:numPr>
        <w:spacing w:after="60"/>
      </w:pPr>
      <w:r>
        <w:rPr>
          <w:rFonts w:ascii="Arial" w:cs="Arial" w:eastAsia="Arial" w:hAnsi="Arial"/>
          <w:sz w:val="22"/>
          <w:szCs w:val="22"/>
        </w:rPr>
        <w:t xml:space="preserve">No scanner logic modified. No MDS modified. No frontend redesign.</w:t>
      </w:r>
    </w:p>
    <w:p>
      <w:pPr>
        <w:spacing w:after="80"/>
      </w:pPr>
    </w:p>
    <w:p>
      <w:pPr>
        <w:spacing w:after="120"/>
      </w:pPr>
      <w:r>
        <w:rPr>
          <w:rFonts w:ascii="Arial" w:cs="Arial" w:eastAsia="Arial" w:hAnsi="Arial"/>
          <w:b/>
          <w:bCs/>
          <w:sz w:val="22"/>
          <w:szCs w:val="22"/>
        </w:rPr>
        <w:t xml:space="preserve">Next step: </w:t>
      </w:r>
      <w:r>
        <w:rPr>
          <w:rFonts w:ascii="Arial" w:cs="Arial" w:eastAsia="Arial" w:hAnsi="Arial"/>
          <w:sz w:val="22"/>
          <w:szCs w:val="22"/>
        </w:rPr>
        <w:t xml:space="preserve">Deploy with all gates OFF. Verify in production logs that MIL enhancement hooks are present but inactive. Then enable gates via config.yaml for live testing.</w:t>
      </w:r>
    </w:p>
    <w:p>
      <w:pPr>
        <w:spacing w:after="80"/>
      </w:pPr>
    </w:p>
    <w:p>
      <w:pPr>
        <w:spacing w:before="600"/>
        <w:jc w:val="center"/>
      </w:pPr>
      <w:r>
        <w:rPr>
          <w:rFonts w:ascii="Arial" w:cs="Arial" w:eastAsia="Arial" w:hAnsi="Arial"/>
          <w:i/>
          <w:iCs/>
          <w:color w:val="999999"/>
          <w:sz w:val="22"/>
          <w:szCs w:val="22"/>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999999"/>
        <w:sz w:val="18"/>
        <w:szCs w:val="18"/>
      </w:rPr>
      <w:t xml:space="preserve">NexusTrader — Phase 4A Implementation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2026-04-04T13:23:41.558Z</dcterms:created>
  <dcterms:modified xsi:type="dcterms:W3CDTF">2026-04-04T13:23:41.558Z</dcterms:modified>
</cp:coreProperties>
</file>

<file path=docProps/custom.xml><?xml version="1.0" encoding="utf-8"?>
<Properties xmlns="http://schemas.openxmlformats.org/officeDocument/2006/custom-properties" xmlns:vt="http://schemas.openxmlformats.org/officeDocument/2006/docPropsVTypes"/>
</file>