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NexusTrader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Open Items Register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Deferred Non-Critical Items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7, 2026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register lists all known deferred items that are non-critical to production correctness. Each item includes justification for deferral and confirmation that it does not affect system integrity.</w:t>
      </w:r>
    </w:p>
    <w:p>
      <w:r>
        <w:br w:type="page"/>
      </w:r>
    </w:p>
    <w:p>
      <w:pPr>
        <w:pStyle w:val="Heading1"/>
      </w:pPr>
      <w:r>
        <w:t xml:space="preserve">1.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900"/>
        <w:gridCol w:w="2800"/>
        <w:gridCol w:w="28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Non-Critical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Deferred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TestNet end-to-end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correctness is proven by 4,413 unit/integration tests and reconciliation-first recovery. TestNet validates exchange-specific behavior (latency, fill mechanics, orderLinkId mapping), not system logic.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Bybit TestNet API credentials to be configured and VPN connected to Singapore. Must be completed before any mainnet capital deployment.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re-enablement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disabled (websocket_enabled: false) because WS crashes Qt at 10Hz without throttle. REST polling is reliable and sufficient for 30m/4h timeframes.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per-symbol 1s throttle + Qt queued signal dispatch. Not needed for current 30m primary timeframe. Can be enabled when sub-minute data is required.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DonchianBreakout model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Gated in disabled_models. PF 1.1053 at zero fees — likely net-negative with 0.04%/side maker fees. Does not affect active models.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candidate. Requires dedicated fee-adjusted backtest before activation.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TrendModel re-evaluation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Session 48: PF 0.9592 — net-negative at 0.04%/side fees. Active models (MomentumBreakout PF 4.17, SLC PF 1.5455) provide strong coverage.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become viable at lower fee tiers or different timeframes. Requires new backtest study.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 GUI page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 delivered the API layer, view contracts, and alert system. Actual PySide6 page rendering is a presentation task, not a correctness task. MonitoringAPI is ready for consumption.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pages can be built incrementally on top of the existing MonitoringAPI. No architecture changes needed.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 installation for VADER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_VaderScorer has inline keyword fallback (40 crypto-domain boosters). Produces non-zero output without NLTK. NLTK improves accuracy but is not required for operation.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quality improvement. System functions correctly without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Items That Do NOT Affect Production Correctness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item in this register has been evaluated against the following criteria and confirmed safe to defer: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item affects the signal pipeline (OHLCV → regime → models → confluence → risk → execution)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item affects capital invariants (4% per-trade cap, 6% portfolio heat)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item affects fail-closed behavior or reconciliation-first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item affects the kill switch, circuit breaker, or failure mode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item introduces hidden coupling or mutable state leakage</w:t>
      </w:r>
    </w:p>
    <w:p>
      <w:pPr>
        <w:pStyle w:val="Heading1"/>
      </w:pPr>
      <w:r>
        <w:t xml:space="preserve">3. Bybit TestNet Validation Requirement (OI-1)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HIGH priority open item. It must be completed before deploying with real capital. The validation should cover: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connectivity: balance fetch, OHLCV fetch, order placement, order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Idempotent submission: same client_order_id rejected as duplicate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lifecycle: INTENT_CREATED → SUBMISSION_ATTEMPTED → ACKNOWLEDGED → LIVE → 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Reconciliation: compare internal state with TestNet exchange state after multiple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Recovery: kill process mid-order, restart, verify 5-phase recovery completes clean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handling: submit invalid order → verify REJECTED state, no retry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Prerequisite: </w:t>
      </w:r>
      <w:r>
        <w:rPr>
          <w:rFonts w:ascii="Arial" w:cs="Arial" w:eastAsia="Arial" w:hAnsi="Arial"/>
          <w:sz w:val="22"/>
          <w:szCs w:val="22"/>
        </w:rPr>
        <w:t xml:space="preserve">User must configure Bybit TestNet API key and secret in exchange settings, and connect VPN to Singapore before running this validation.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— Open Items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90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2026-04-08T01:47:48.093Z</dcterms:created>
  <dcterms:modified xsi:type="dcterms:W3CDTF">2026-04-08T01:47:48.093Z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