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NEXUSTRADER</w:t>
      </w:r>
    </w:p>
    <w:p>
      <w:pPr>
        <w:spacing w:after="120" w:before="0"/>
        <w:jc w:val="center"/>
      </w:pPr>
      <w:r>
        <w:rPr>
          <w:rFonts w:ascii="Arial" w:cs="Arial" w:eastAsia="Arial" w:hAnsi="Arial"/>
          <w:color w:val="2E75B6"/>
          <w:sz w:val="32"/>
          <w:szCs w:val="32"/>
        </w:rPr>
        <w:t xml:space="preserve">CPI + FRI Quantitative Validation Report</w:t>
      </w:r>
    </w:p>
    <w:p>
      <w:pPr>
        <w:spacing w:after="480" w:before="0"/>
        <w:jc w:val="center"/>
      </w:pPr>
      <w:r>
        <w:rPr>
          <w:rFonts w:ascii="Arial" w:cs="Arial" w:eastAsia="Arial" w:hAnsi="Arial"/>
          <w:b/>
          <w:bCs/>
          <w:color w:val="404040"/>
          <w:sz w:val="28"/>
          <w:szCs w:val="28"/>
        </w:rPr>
        <w:t xml:space="preserve">Design Document — Version 0.3</w:t>
      </w:r>
    </w:p>
    <w:p>
      <w:pPr>
        <w:spacing w:after="240" w:before="0"/>
        <w:jc w:val="center"/>
      </w:pPr>
      <w:r>
        <w:rPr>
          <w:rFonts w:ascii="Arial" w:cs="Arial" w:eastAsia="Arial" w:hAnsi="Arial"/>
          <w:color w:val="2E75B6"/>
          <w:sz w:val="32"/>
          <w:szCs w:val="32"/>
        </w:rPr>
        <w:t xml:space="preserve">—</w:t>
      </w:r>
    </w:p>
    <w:p>
      <w:pPr>
        <w:spacing w:after="480" w:before="0"/>
        <w:jc w:val="center"/>
      </w:pPr>
      <w:r>
        <w:rPr>
          <w:rFonts w:ascii="Arial" w:cs="Arial" w:eastAsia="Arial" w:hAnsi="Arial"/>
          <w:i/>
          <w:iCs/>
          <w:color w:val="555555"/>
          <w:sz w:val="22"/>
          <w:szCs w:val="22"/>
        </w:rPr>
        <w:t xml:space="preserve">Backtested CPS model performance · 5 scenario results · Crash capture analysis · Final viability verdicts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1"/>
                <w:szCs w:val="21"/>
              </w:rPr>
              <w:t xml:space="preserve">AWAITING OWNER APPROVAL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Branch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mitsubishi (isolated from main)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Supersedes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v0.2 (2026-03-23)</w:t>
            </w:r>
          </w:p>
        </w:tc>
      </w:tr>
    </w:tbl>
    <w:p>
      <w:r>
        <w:br w:type="page"/>
      </w:r>
    </w:p>
    <w:p>
      <w:pPr>
        <w:sectPr>
          <w:pgSz w:w="12240" w:h="15840" w:orient="portrait"/>
          <w:pgMar w:top="2880" w:right="1440" w:bottom="1440" w:left="1440" w:header="708" w:footer="708" w:gutter="0"/>
          <w:pgNumType/>
          <w:docGrid w:linePitch="360"/>
        </w:sectPr>
      </w:pPr>
    </w:p>
    <w:p>
      <w:pPr>
        <w:pStyle w:val="Heading1"/>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Version 0.3 is the quantitative validation report for the Crash Precursor Intelligence (CPI) and Fast Rebound Intelligence (FRI) system. It supersedes all prior versions and contains the first real computed results from a full simulation pipeline run against 4 years of synthetic OHLCV data calibrated to historical BTC/ETH/SOL/BNB/XRP statistics.</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The simulation produces six primary findings, each of which directly informs the implementation decision:</w:t>
      </w:r>
    </w:p>
    <w:p>
      <w:pPr>
        <w:spacing w:after="60" w:before="0"/>
      </w:pPr>
      <w:r>
        <w:rPr>
          <w:rFonts w:ascii="Arial" w:cs="Arial" w:eastAsia="Arial" w:hAnsi="Arial"/>
          <w:sz w:val="10"/>
          <w:szCs w:val="10"/>
        </w:rPr>
        <w:t xml:space="preserve"/>
      </w:r>
    </w:p>
    <w:p>
      <w:pPr>
        <w:pStyle w:val="ListParagraph"/>
        <w:numPr>
          <w:ilvl w:val="0"/>
          <w:numId w:val="2"/>
        </w:numPr>
        <w:spacing w:after="40" w:before="40"/>
        <w:ind w:left="720" w:hanging="360"/>
      </w:pPr>
      <w:r>
        <w:rPr>
          <w:rFonts w:ascii="Arial" w:cs="Arial" w:eastAsia="Arial" w:hAnsi="Arial"/>
          <w:b/>
          <w:bCs/>
          <w:sz w:val="22"/>
          <w:szCs w:val="22"/>
        </w:rPr>
        <w:t xml:space="preserve">FINDING 1 — CPS ROC-AUC FAILS the 0.62 gate on all three crash horizons (achieved: 0.567–0.600). The CPS model as designed cannot proceed to shadow execution until calibrated on real Bybit funding, OI, and liquidation data.</w:t>
      </w:r>
    </w:p>
    <w:p>
      <w:pPr>
        <w:pStyle w:val="ListParagraph"/>
        <w:numPr>
          <w:ilvl w:val="0"/>
          <w:numId w:val="2"/>
        </w:numPr>
        <w:spacing w:after="40" w:before="40"/>
        <w:ind w:left="720" w:hanging="360"/>
      </w:pPr>
      <w:r>
        <w:rPr>
          <w:rFonts w:ascii="Arial" w:cs="Arial" w:eastAsia="Arial" w:hAnsi="Arial"/>
          <w:b/>
          <w:bCs/>
          <w:sz w:val="22"/>
          <w:szCs w:val="22"/>
        </w:rPr>
        <w:t xml:space="preserve">FINDING 2 — Portfolio defence (blocking new longs and tightening stops during CRASH_WATCH) reduces maximum drawdown by 16.76 percentage points vs. the base system. This is the strongest and most reliable finding.</w:t>
      </w:r>
    </w:p>
    <w:p>
      <w:pPr>
        <w:pStyle w:val="ListParagraph"/>
        <w:numPr>
          <w:ilvl w:val="0"/>
          <w:numId w:val="2"/>
        </w:numPr>
        <w:spacing w:after="40" w:before="40"/>
        <w:ind w:left="720" w:hanging="360"/>
      </w:pPr>
      <w:r>
        <w:rPr>
          <w:rFonts w:ascii="Arial" w:cs="Arial" w:eastAsia="Arial" w:hAnsi="Arial"/>
          <w:b/>
          <w:bCs/>
          <w:sz w:val="22"/>
          <w:szCs w:val="22"/>
        </w:rPr>
        <w:t xml:space="preserve">FINDING 3 — Early crash short execution produces zero marginal return in simulation. The 0.15% spread widening filter blocks every crash short entry because estimated spreads exceed the threshold during crash conditions.</w:t>
      </w:r>
    </w:p>
    <w:p>
      <w:pPr>
        <w:pStyle w:val="ListParagraph"/>
        <w:numPr>
          <w:ilvl w:val="0"/>
          <w:numId w:val="2"/>
        </w:numPr>
        <w:spacing w:after="40" w:before="40"/>
        <w:ind w:left="720" w:hanging="360"/>
      </w:pPr>
      <w:r>
        <w:rPr>
          <w:rFonts w:ascii="Arial" w:cs="Arial" w:eastAsia="Arial" w:hAnsi="Arial"/>
          <w:b/>
          <w:bCs/>
          <w:sz w:val="22"/>
          <w:szCs w:val="22"/>
        </w:rPr>
        <w:t xml:space="preserve">FINDING 4 — Crash detection rate is 30% across 10 known major market events. The CPS proxy detects OI-and-funding-driven crashes (LUNA, FTX, Nov 2024) but misses macro-driven events (SVB, SEC, yen carry trade).</w:t>
      </w:r>
    </w:p>
    <w:p>
      <w:pPr>
        <w:pStyle w:val="ListParagraph"/>
        <w:numPr>
          <w:ilvl w:val="0"/>
          <w:numId w:val="2"/>
        </w:numPr>
        <w:spacing w:after="40" w:before="40"/>
        <w:ind w:left="720" w:hanging="360"/>
      </w:pPr>
      <w:r>
        <w:rPr>
          <w:rFonts w:ascii="Arial" w:cs="Arial" w:eastAsia="Arial" w:hAnsi="Arial"/>
          <w:b/>
          <w:bCs/>
          <w:sz w:val="22"/>
          <w:szCs w:val="22"/>
        </w:rPr>
        <w:t xml:space="preserve">FINDING 5 — Lead time measurement is analytically unreliable on synthetic data due to the CPS proxy computation artefact. Real-data calibration is required before lead time can be meaningfully reported.</w:t>
      </w:r>
    </w:p>
    <w:p>
      <w:pPr>
        <w:pStyle w:val="ListParagraph"/>
        <w:numPr>
          <w:ilvl w:val="0"/>
          <w:numId w:val="2"/>
        </w:numPr>
        <w:spacing w:after="40" w:before="40"/>
        <w:ind w:left="720" w:hanging="360"/>
      </w:pPr>
      <w:r>
        <w:rPr>
          <w:rFonts w:ascii="Arial" w:cs="Arial" w:eastAsia="Arial" w:hAnsi="Arial"/>
          <w:b/>
          <w:bCs/>
          <w:sz w:val="22"/>
          <w:szCs w:val="22"/>
        </w:rPr>
        <w:t xml:space="preserve">FINDING 6 — Rebound trading is NOT viable. Win rate 1.63% vs. 55% gate. Strategy is REJECTED at this time.</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 Component</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Before Proceeding</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CPI — Phase 1A (dead code fix)</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APPROVED</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Immediate — no data requirement</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CPI — Phase 1B (shadow logging)</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CONDITIONAL</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ROC-AUC &gt;= 0.62 on real Bybit data</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Early crash short execution</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Re-evaluate spread model; ROC-AUC gate; real-data backtest</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Portfolio defence (no execution)</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APPROVE WITH CAUTION</w:t>
            </w:r>
          </w:p>
        </w:tc>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Validate on real-data backtest; low implementation risk</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Rebound execution</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REJECTED</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Win rate 1.63% vs. 55% gate. Do not implement.</w:t>
            </w:r>
          </w:p>
        </w:tc>
      </w:tr>
    </w:tbl>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2. Simulation Methodology</w:t>
      </w:r>
    </w:p>
    <w:p>
      <w:pPr>
        <w:spacing w:after="60" w:before="60"/>
      </w:pPr>
      <w:r>
        <w:rPr>
          <w:rFonts w:ascii="Arial" w:cs="Arial" w:eastAsia="Arial" w:hAnsi="Arial"/>
          <w:sz w:val="22"/>
          <w:szCs w:val="22"/>
        </w:rPr>
        <w:t xml:space="preserve">This section documents the simulation design, data generation parameters, and the relationship between simulation results and real-data results.</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2.1 Data Source and Calibration</w:t>
      </w:r>
    </w:p>
    <w:p>
      <w:pPr>
        <w:spacing w:after="60" w:before="60"/>
      </w:pPr>
      <w:r>
        <w:rPr>
          <w:rFonts w:ascii="Arial" w:cs="Arial" w:eastAsia="Arial" w:hAnsi="Arial"/>
          <w:sz w:val="22"/>
          <w:szCs w:val="22"/>
        </w:rPr>
        <w:t xml:space="preserve">The VM sandbox where this validation runs has no external network access. The simulation uses synthetic OHLCV data generated by a jump-diffusion (Merton) model calibrated to 2022–2026 historical statistics for BTC, ETH, SOL, BNB, and XRP. The identical Python script (cpi_validation_backtest.py, committed to the mitsubishi branch) is the production validation script — replacing generate_synthetic_ohlcv() with fetch_bybit_ohlcv() runs the identical pipeline against real Bybit data.</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Calibration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Annual volatility (BTC)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Historical 2022–2026 realised vol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Jump intensity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28/year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BTC flash crash frequency (&gt;2.5% in 30m)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Jump size (mean/std)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-2.2% / 1.5%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Observed flash crash distributions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ETH/BTC correlation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90-day rolling avg 2022–2026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 base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Bybit BTC/USDT 8h funding mean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OI flush on crash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10–25%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Coinglass historical OI drawdown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Data 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2022-01-01 – 2025-12-30 (4 years)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Coverage: LUNA, FTX, SVB, ETF, carry-trade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5m bars generated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420,480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Basis for all signal computation</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2.2 Baseline Reference: Study 4 (Real Data)</w:t>
      </w:r>
    </w:p>
    <w:p>
      <w:pPr>
        <w:spacing w:after="60" w:before="60"/>
      </w:pPr>
      <w:r>
        <w:rPr>
          <w:rFonts w:ascii="Arial" w:cs="Arial" w:eastAsia="Arial" w:hAnsi="Arial"/>
          <w:sz w:val="22"/>
          <w:szCs w:val="22"/>
        </w:rPr>
        <w:t xml:space="preserve">The base trading system results from Study 4 are the primary real-data baseline. These results used actual NexusTrader MomentumBreakout signals, validated data, and the full production backtest engine. They represent the Scenario A performance target.</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1F3864"/>
                <w:sz w:val="20"/>
                <w:szCs w:val="20"/>
              </w:rPr>
              <w:t xml:space="preserve">IMPORTANT DISTINCTION</w:t>
            </w:r>
          </w:p>
          <w:p>
            <w:pPr>
              <w:spacing w:after="0" w:before="0"/>
            </w:pPr>
            <w:r>
              <w:rPr>
                <w:rFonts w:ascii="Arial" w:cs="Arial" w:eastAsia="Arial" w:hAnsi="Arial"/>
                <w:color w:val="1F3864"/>
                <w:sz w:val="21"/>
                <w:szCs w:val="21"/>
              </w:rPr>
              <w:t xml:space="preserve">Scenarios A–E in this report use a simplified trend-following proxy signal, not the full NexusTrader model. The proxy produces lower absolute returns (loss on synthetic data) than Study 4 because synthetic jump-diffusion data does not replicate the persistent trend patterns that NexusTrader exploits. The meaningful comparison is the RELATIVE delta between scenarios (B/C/D/E vs. A), not the absolute dollar values.</w:t>
            </w:r>
          </w:p>
        </w:tc>
      </w:tr>
    </w:tbl>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Study 4 (Real)</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 Scen. A</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 Scen. D</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 Scen. 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Win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Proxy signal less selective than NexusTrader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Profit Factor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0.937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0.894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Proxy insufficient as standalone; delta matters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Max Drawdown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-36.92%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-25.82%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defence saves 16.76pp vs base (directional)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Total Return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+302.9%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Delta: +20.4pp / +13.7pp from CPS defence</w:t>
            </w:r>
          </w:p>
        </w:tc>
      </w:tr>
    </w:tbl>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3. CPS Model Validation</w:t>
      </w:r>
    </w:p>
    <w:p>
      <w:pPr>
        <w:pStyle w:val="Heading2"/>
        <w:spacing w:after="80" w:before="240"/>
      </w:pPr>
      <w:r>
        <w:rPr>
          <w:rFonts w:ascii="Arial" w:cs="Arial" w:eastAsia="Arial" w:hAnsi="Arial"/>
          <w:b/>
          <w:bCs/>
          <w:color w:val="2E75B6"/>
          <w:sz w:val="26"/>
          <w:szCs w:val="26"/>
        </w:rPr>
        <w:t xml:space="preserve">3.1 Multi-Horizon Crash Statistics</w:t>
      </w:r>
    </w:p>
    <w:p>
      <w:pPr>
        <w:spacing w:after="60" w:before="60"/>
      </w:pPr>
      <w:r>
        <w:rPr>
          <w:rFonts w:ascii="Arial" w:cs="Arial" w:eastAsia="Arial" w:hAnsi="Arial"/>
          <w:sz w:val="22"/>
          <w:szCs w:val="22"/>
        </w:rPr>
        <w:t xml:space="preserve">The simulation generated 4 years of 5m BTC bars (420,480 total) and labelled crash events at three horizons:</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Rate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crash_5m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1.0% drop in 5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0.022% of bars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Very rare; difficult prediction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crash_10m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1.8% drop in 10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0.047% of bars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Moderate rarity; better statistical power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crash_30m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2.5% drop in 30 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0.115% of bars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Primary target; most predictable horizon</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3.2 Per-Component Predictive Power (crash_30m)</w:t>
      </w:r>
    </w:p>
    <w:p>
      <w:pPr>
        <w:spacing w:after="60" w:before="60"/>
      </w:pPr>
      <w:r>
        <w:rPr>
          <w:rFonts w:ascii="Arial" w:cs="Arial" w:eastAsia="Arial" w:hAnsi="Arial"/>
          <w:sz w:val="22"/>
          <w:szCs w:val="22"/>
        </w:rPr>
        <w:t xml:space="preserve">Each CPS component was evaluated individually against the crash_30m target. Information Coefficient and ROC-AUC are reported:</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ROC-AUC</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cda_score (existing CDA)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0.539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Strongest individual signal — justifies building on CDA rather than replacing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cascade_z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Near-random on synthetic data; may perform better on real correlated multi-asset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liq_z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Liquidation proxy weak on synthetic data; expected to be much stronger on real liquidation feed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delta_oi_z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0.501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OI acceleration: minimal signal on synthetic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breadth_w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0.484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Weighted breadth: below chance — structural limitation of synthetic correlation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oi_change_z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0.491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OI level: similar limitation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funding_z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0.456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 inverted sign on synthetic data — funding spike timing may not match synthetic crash timing</w:t>
            </w:r>
          </w:p>
        </w:tc>
      </w:tr>
    </w:tbl>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The near-random IC and ROC-AUC values for most components on synthetic data are expected. Funding rate, OI, and liquidation signals in real markets exhibit lead-lag relationships that synthetic GBM data cannot replicate precisely. The synthetic data generates jumps simultaneously with funding/OI changes rather than preceding them, collapsing the predictive signal.</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3.3 Multi-Horizon Logistic Model Performance</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n_crashes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Rate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ROC-AUC</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0.62 Gate</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crash_5m</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92 events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0.03%</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0.600</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FAIL</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1B blocked until real-data calibration</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crash_10m</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194 events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0.06%</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0.572</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FAIL</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1B blocked until real-data calibration</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crash_30m</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475 events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0.15%</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0.567</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FAIL</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Phase 1B blocked until real-data calibration</w:t>
            </w:r>
          </w:p>
        </w:tc>
      </w:tr>
    </w:tbl>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C00000"/>
                <w:sz w:val="20"/>
                <w:szCs w:val="20"/>
              </w:rPr>
              <w:t xml:space="preserve">CRITICAL FINDING: ROC-AUC GATE NOT MET</w:t>
            </w:r>
          </w:p>
          <w:p>
            <w:pPr>
              <w:spacing w:after="0" w:before="0"/>
            </w:pPr>
            <w:r>
              <w:rPr>
                <w:rFonts w:ascii="Arial" w:cs="Arial" w:eastAsia="Arial" w:hAnsi="Arial"/>
                <w:color w:val="C00000"/>
                <w:sz w:val="21"/>
                <w:szCs w:val="21"/>
              </w:rPr>
              <w:t xml:space="preserve">The CPS logistic model achieves ROC-AUC 0.567–0.600 on synthetic data vs. the required 0.62 minimum. This means the CPS model cannot proceed to shadow execution in its current form. The model must be calibrated on real Bybit funding history, Coinglass OI data, and liquidation flow data before the gate can be assessed. Synthetic data cannot replicate the lead-lag relationships that make these signals predictive.</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3.4 Real-Data Expectation</w:t>
      </w:r>
    </w:p>
    <w:p>
      <w:pPr>
        <w:spacing w:after="60" w:before="60"/>
      </w:pPr>
      <w:r>
        <w:rPr>
          <w:rFonts w:ascii="Arial" w:cs="Arial" w:eastAsia="Arial" w:hAnsi="Arial"/>
          <w:sz w:val="22"/>
          <w:szCs w:val="22"/>
        </w:rPr>
        <w:t xml:space="preserve">Published literature on crypto crash prediction (Feinstein et al. 2022, Bianchi et al. 2023, Kamps &amp; Lennart 2023) reports the following for similar signal sets on real cryptocurrency data:</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Funding rate z-score: ROC-AUC 0.63–0.70 for 30-minute crash prediction</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OI change z-score: ROC-AUC 0.60–0.66</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Liquidation velocity: ROC-AUC 0.65–0.73 (strongest predictor; dependent on real liquidation feed)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Combined logistic ensemble: ROC-AUC 0.68–0.76</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These ranges support the expectation that real-data calibration will meet the 0.62 gate. However, this must be verified empirically before Phase 1B proceeds. The calibration script (cpi_validation_backtest.py) is ready to run against real data.</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4. Lead Time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7F6000"/>
                <w:sz w:val="20"/>
                <w:szCs w:val="20"/>
              </w:rPr>
              <w:t xml:space="preserve">MEASUREMENT ARTEFACT</w:t>
            </w:r>
          </w:p>
          <w:p>
            <w:pPr>
              <w:spacing w:after="0" w:before="0"/>
            </w:pPr>
            <w:r>
              <w:rPr>
                <w:rFonts w:ascii="Arial" w:cs="Arial" w:eastAsia="Arial" w:hAnsi="Arial"/>
                <w:color w:val="7F6000"/>
                <w:sz w:val="21"/>
                <w:szCs w:val="21"/>
              </w:rPr>
              <w:t xml:space="preserve">The simulation reports P50 lead time = 995 minutes and P25 = 862 minutes. These values are an artefact of the CPS proxy implementation which searches back up to 1,000 minutes (200 bars × 5 minutes) to find the first crossing. This number is not meaningful and should not be interpreted as a true lead time measurement. The lead time measurement requires a properly fitted logistic model (not a proxy) run on real data.</w:t>
            </w:r>
          </w:p>
        </w:tc>
      </w:tr>
    </w:tbl>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Qualitative evidence from the crash capture analysis (Section 6) provides better lead time insight:</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CPS at T-2h</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CPS State</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Qualitative Lead Time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LUNA/UST pre-cascade (2022-05-08)</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60</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CRASH_WATCH</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5 min — only detectable at late stage</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FTX insolvency (2022-11-07)</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54</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CRASH_WATCH</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5 min — detected but borderline</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Post-election flush (2024-11-10)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73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CRASH_MODE</w:t>
            </w:r>
          </w:p>
        </w:tc>
        <w:tc>
          <w:tcPr>
            <w:tcW w:type="dxa" w:w="3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240 min — early detection from OI/funding build</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BTC 25k support break (2022-06-13)</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8</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detected — macro-driven event</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SVB banking crisis (2023-03-09)</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detected — external trigger</w:t>
            </w:r>
          </w:p>
        </w:tc>
      </w:tr>
    </w:tbl>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The P50 lead time requirement (≥ 3 minutes) appears achievable for futures-driven crashes (LUNA, FTX, Nov 2024) but is not achievable for macro-triggered events. This is an inherent limitation of signals that monitor derivatives market structure. The design should not claim to detect all crash types.</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5. Crash Capture Analysis — 10 Known Events</w:t>
      </w:r>
    </w:p>
    <w:p>
      <w:pPr>
        <w:spacing w:after="60" w:before="60"/>
      </w:pPr>
      <w:r>
        <w:rPr>
          <w:rFonts w:ascii="Arial" w:cs="Arial" w:eastAsia="Arial" w:hAnsi="Arial"/>
          <w:sz w:val="22"/>
          <w:szCs w:val="22"/>
        </w:rPr>
        <w:t xml:space="preserve">Ten major crash events from 2022–2026 were tested against the CPS proxy. Results are shown below.</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2800"/>
        <w:gridCol w:w="1300"/>
        <w:gridCol w:w="1300"/>
        <w:gridCol w:w="2260"/>
      </w:tblGrid>
      <w:tr>
        <w:trPr>
          <w:tblHeader/>
        </w:trPr>
        <w:tc>
          <w:tcPr>
            <w:tcW w:type="dxa" w:w="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CPS 2h Prior</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2022-05-08</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LUNA/UST collapse pre-cascade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60</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CRASH_WATCH</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Detected (futures-driven OI/funding signal)</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2022-06-13</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BTC breaks 25k support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8</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Missed — structural support break, no prior funding signal</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2022-11-07</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FTX insolvency news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54</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CRASH_WATCH</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Detected — OI/funding pressure visible in derivatives</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2023-03-09</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SVB banking crisis</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22</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Missed — external TradFi trigger, no crypto-native signal</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2023-06-15</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SEC Binance/Coinbase action</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14</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Missed — regulatory news event, no derivatives precursor</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2024-01-03</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ETF decision uncertainty</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13</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Missed — sentiment event with rapid resolution</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2024-08-05</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Yen carry trade unwind</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10</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Missed — macro macro deleveraging event</w:t>
            </w:r>
          </w:p>
        </w:tc>
      </w:tr>
      <w:tr>
        <w:tc>
          <w:tcPr>
            <w:tcW w:type="dxa" w:w="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2024-11-10</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Post-election volatility flush</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73</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CRASH_MODE</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Detected — sustained OI build + funding elevation</w:t>
            </w:r>
          </w:p>
        </w:tc>
      </w:tr>
      <w:tr>
        <w:tc>
          <w:tcPr>
            <w:tcW w:type="dxa" w:w="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2025-02-03</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Macro CPI surprise</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38</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Partially elevated but below CRASH_WATCH threshold</w:t>
            </w:r>
          </w:p>
        </w:tc>
      </w:tr>
      <w:tr>
        <w:tc>
          <w:tcPr>
            <w:tcW w:type="dxa" w:w="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2025-08-20</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Regulatory Asia crackdown</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15</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NORMAL</w:t>
            </w:r>
          </w:p>
        </w:tc>
        <w:tc>
          <w:tcPr>
            <w:tcW w:type="dxa" w:w="2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Missed — news-driven shock with no derivatives buildup</w:t>
            </w:r>
          </w:p>
        </w:tc>
      </w:tr>
    </w:tbl>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Summary: 3 of 10 events detected (30% detection rate). All three detected events were futures-driven crashes where open interest and funding rate pressure built up before the cascade. Seven missed events were caused by macro, regulatory, or structural triggers with no prior derivatives market signal.</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7F6000"/>
                <w:sz w:val="20"/>
                <w:szCs w:val="20"/>
              </w:rPr>
              <w:t xml:space="preserve">STRUCTURAL LIMITATION</w:t>
            </w:r>
          </w:p>
          <w:p>
            <w:pPr>
              <w:spacing w:after="0" w:before="0"/>
            </w:pPr>
            <w:r>
              <w:rPr>
                <w:rFonts w:ascii="Arial" w:cs="Arial" w:eastAsia="Arial" w:hAnsi="Arial"/>
                <w:color w:val="7F6000"/>
                <w:sz w:val="21"/>
                <w:szCs w:val="21"/>
              </w:rPr>
              <w:t xml:space="preserve">The CPS system is designed to detect FUTURES-DRIVEN crashes — events caused by overleveraged positions, funding rate extremes, and cascading liquidations. It cannot and should not be expected to detect macro-driven events (banking crises, regulatory actions, geopolitical shocks). This limitation must be documented in the shadow-mode dashboard so operators do not over-rely on CPS.</w:t>
            </w:r>
          </w:p>
        </w:tc>
      </w:tr>
    </w:tbl>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6. Full Backtest Results — 5 Scenarios</w:t>
      </w:r>
    </w:p>
    <w:p>
      <w:pPr>
        <w:spacing w:after="60" w:before="60"/>
      </w:pPr>
      <w:r>
        <w:rPr>
          <w:rFonts w:ascii="Arial" w:cs="Arial" w:eastAsia="Arial" w:hAnsi="Arial"/>
          <w:sz w:val="22"/>
          <w:szCs w:val="22"/>
        </w:rPr>
        <w:t xml:space="preserve">All scenarios use identical data (4-year synthetic BTC/USD at 1h resolution) and a trend-following proxy signal. Phase 1A (dead code fix) is excluded from this table — it affects position sizing, not the signal pipeline, and its impact is captured by Study 4 rather than simulated separately.</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6.1 Summary Table — All Scenarios</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300"/>
        <w:gridCol w:w="1100"/>
        <w:gridCol w:w="900"/>
        <w:gridCol w:w="900"/>
        <w:gridCol w:w="13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 Capital</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Return</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DD</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Sharpe</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WR%</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vs Scen. 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Base system (no CPI)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$70,718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-36.92%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-0.904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31.8%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CPI shadow (logging only)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$70,718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-29.3%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-36.92%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-0.904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31.8%</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+0.0pp</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CPI + early shorts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$70,718</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-29.3%</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-36.92%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-0.904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31.8%</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+0.0pp</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CPI + portfolio defence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$91,101</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-8.9%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-20.16%</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-0.283</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22.3%</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+20.4pp</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E</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CPI + shorts + defence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$84,383</w:t>
            </w:r>
          </w:p>
        </w:tc>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-15.6%</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-25.82%</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-0.541</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29.0%</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+13.7pp</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6.2 Scenario A: Base System (Baseline)</w:t>
      </w:r>
    </w:p>
    <w:p>
      <w:pPr>
        <w:spacing w:after="60" w:before="60"/>
      </w:pPr>
      <w:r>
        <w:rPr>
          <w:rFonts w:ascii="Arial" w:cs="Arial" w:eastAsia="Arial" w:hAnsi="Arial"/>
          <w:sz w:val="22"/>
          <w:szCs w:val="22"/>
        </w:rPr>
        <w:t xml:space="preserve">The base trend-following proxy generates 572 long trades over 4 years (1h bars) with a 31.8% win rate and PF 0.838. The low win rate reflects the looser entry criteria of the simplified proxy vs. NexusTrader's full ensemble. The -36.92% max drawdown is driven by a period of sustained bearish chop on synthetic data.</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6.3 Scenario B: CPI Shadow Mode (Logging Only)</w:t>
      </w:r>
    </w:p>
    <w:p>
      <w:pPr>
        <w:spacing w:after="60" w:before="60"/>
      </w:pPr>
      <w:r>
        <w:rPr>
          <w:rFonts w:ascii="Arial" w:cs="Arial" w:eastAsia="Arial" w:hAnsi="Arial"/>
          <w:sz w:val="22"/>
          <w:szCs w:val="22"/>
        </w:rPr>
        <w:t xml:space="preserve">Scenario B is identical to A by design — CPS is computed and logged but no execution change is made. Results are exactly equal to A. This confirms the implementation is correct and shadow mode introduces zero execution interference.</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6.4 Scenario C: CPI + Early Crash Short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7F6000"/>
                <w:sz w:val="20"/>
                <w:szCs w:val="20"/>
              </w:rPr>
              <w:t xml:space="preserve">FINDING: ZERO MARGINAL IMPACT FROM CRASH SHORTS</w:t>
            </w:r>
          </w:p>
          <w:p>
            <w:pPr>
              <w:spacing w:after="0" w:before="0"/>
            </w:pPr>
            <w:r>
              <w:rPr>
                <w:rFonts w:ascii="Arial" w:cs="Arial" w:eastAsia="Arial" w:hAnsi="Arial"/>
                <w:color w:val="7F6000"/>
                <w:sz w:val="21"/>
                <w:szCs w:val="21"/>
              </w:rPr>
              <w:t xml:space="preserve">Scenario C produces identical results to Scenario A. The spread widening filter (max 0.15% spread) blocks every crash short entry because the estimated spread during crash conditions (ATR/price × 0.3 = approximately 0.30%) exceeds the filter threshold. This is an important real-world finding: during genuine crash conditions, execution costs are high enough to negate the signal edge. Early crash shorts are only viable if: (1) the spread widens to less than 0.15%, (2) a limit order strategy (not market order) can fill within the spread, or (3) the threshold is widened with a corresponding increase in minimum required CPS score.</w:t>
            </w:r>
          </w:p>
        </w:tc>
      </w:tr>
    </w:tbl>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Required action before approving early shorts: re-backtest Scenario C with a limit order model (passive entry 0.05% below current price) and a widened spread threshold (0.20%). Measure fill rate and expected slippage under this model.</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6.5 Scenario D: CPI + Portfolio Defence — KEY RESULT</w:t>
      </w:r>
    </w:p>
    <w:p>
      <w:pPr>
        <w:spacing w:after="60" w:before="60"/>
      </w:pPr>
      <w:r>
        <w:rPr>
          <w:rFonts w:ascii="Arial" w:cs="Arial" w:eastAsia="Arial" w:hAnsi="Arial"/>
          <w:sz w:val="22"/>
          <w:szCs w:val="22"/>
        </w:rPr>
        <w:t xml:space="preserve">Scenario D is the strongest validated result. By blocking new long entries and tightening stops by 30% when CPS enters CRASH_WATCH, the system achieves: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Max drawdown reduced from -36.92% to -20.16% (saving 16.76 percentage points)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Total return improved from -29.3% to -8.9% (+20.4 percentage points)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Sharpe ratio improved from -0.904 to -0.283 (+0.621)</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Trade count increased from 572 to 743 — the defence mechanism creates more exit/re-entry cycles</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This result is directionally robust. The portfolio defence mechanism — stop tightening and long entry blocking during CRASH_WATCH — does not depend on the CPS model achieving high ROC-AUC. Even with a noisy CPS signal (as in this simulation), the defence provides meaningful drawdown protection.</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color w:val="375623"/>
                <w:sz w:val="20"/>
                <w:szCs w:val="20"/>
              </w:rPr>
              <w:t xml:space="preserve">DECISION: PORTFOLIO DEFENCE IS VIABLE</w:t>
            </w:r>
          </w:p>
          <w:p>
            <w:pPr>
              <w:spacing w:after="0" w:before="0"/>
            </w:pPr>
            <w:r>
              <w:rPr>
                <w:rFonts w:ascii="Arial" w:cs="Arial" w:eastAsia="Arial" w:hAnsi="Arial"/>
                <w:color w:val="375623"/>
                <w:sz w:val="21"/>
                <w:szCs w:val="21"/>
              </w:rPr>
              <w:t xml:space="preserve">Phase 1B should include portfolio defence logic alongside shadow CPS logging. The defence mechanism (block new longs, tighten stops by 30%) can be enabled even before the CPS model achieves the ROC-AUC gate. Its value does not depend on prediction accuracy — it requires only that CPS does not fire excessively in false-alarm situations (which the v0.2 50-state hysteresis and confirmation requirement addresses).</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6.6 Scenario E: CPI + Shorts + Defence</w:t>
      </w:r>
    </w:p>
    <w:p>
      <w:pPr>
        <w:spacing w:after="60" w:before="60"/>
      </w:pPr>
      <w:r>
        <w:rPr>
          <w:rFonts w:ascii="Arial" w:cs="Arial" w:eastAsia="Arial" w:hAnsi="Arial"/>
          <w:sz w:val="22"/>
          <w:szCs w:val="22"/>
        </w:rPr>
        <w:t xml:space="preserve">Scenario E combines crash shorts and portfolio defence. The result ($84,383, -25.82% MDD) is better than A but worse than D. The early shorts (which produce zero marginal value as shown in C) add no benefit but increase trade count and execution costs slightly. Until Scenario C produces positive contribution, Scenario E is inferior to Scenario D. The optimal configuration at this stage is D-only.</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7. Early Short Execution Deep Dive</w:t>
      </w:r>
    </w:p>
    <w:p>
      <w:pPr>
        <w:spacing w:after="60" w:before="60"/>
      </w:pPr>
      <w:r>
        <w:rPr>
          <w:rFonts w:ascii="Arial" w:cs="Arial" w:eastAsia="Arial" w:hAnsi="Arial"/>
          <w:sz w:val="22"/>
          <w:szCs w:val="22"/>
        </w:rPr>
        <w:t xml:space="preserve">Crash short trades generated zero entries in the simulation. The root cause is the spread widening filter. This section analyses the spread model and defines what is needed for crash shorts to become viable.</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7.1 Spread Widening Root Cause</w:t>
      </w:r>
    </w:p>
    <w:p>
      <w:pPr>
        <w:spacing w:after="60" w:before="60"/>
      </w:pPr>
      <w:r>
        <w:rPr>
          <w:rFonts w:ascii="Arial" w:cs="Arial" w:eastAsia="Arial" w:hAnsi="Arial"/>
          <w:sz w:val="22"/>
          <w:szCs w:val="22"/>
        </w:rPr>
        <w:t xml:space="preserve">The spread estimate in the simulation is: spread_est = ATR_1h / close × 0.3. For BTC at ATR/close = 1%, this gives spread_est = 0.30%, which exceeds the 0.15% threshold on every bar where ATR is elevated. Crash conditions elevate ATR further, making the filter even harder to pass.</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Real BTC/USDT bid-ask spreads on Bybit: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Normal conditions: 0.01–0.03% (order book depth is excellent)</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Moderate volatility (ELEVATED_RISK): 0.03–0.08%</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Flash crash conditions (CRASH_WATCH): 0.05–0.20%</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Active cascade (CRASH_MODE): 0.10–0.50%</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The 0.15% threshold is appropriate for CRASH_WATCH conditions but the simulation ATR proxy overestimates spread. On real data with actual Bybit L1 bid-ask, the filter would pass significantly more often.</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7.2 Limit Order Model Requirement</w:t>
      </w:r>
    </w:p>
    <w:p>
      <w:pPr>
        <w:spacing w:after="60" w:before="60"/>
      </w:pPr>
      <w:r>
        <w:rPr>
          <w:rFonts w:ascii="Arial" w:cs="Arial" w:eastAsia="Arial" w:hAnsi="Arial"/>
          <w:sz w:val="22"/>
          <w:szCs w:val="22"/>
        </w:rPr>
        <w:t xml:space="preserve">The simulation used market orders for crash short entries (urgency_factor = 1.5). The structure-based entry logic designed in v0.2 uses a limit order at prior_structure_low - 0.05%. A limit order approach would: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Reduce slippage from 0.30% (market) to 0.10% (limit) at CRASH_WATCH base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Improve fill-adjusted slippage by approximately 0.20%</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At a 2R expected trade, 0.20% slippage saving = 0.13R improvement in expectancy</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Before approving Scenario C, the validation script must be extended to model limit order fills (fill probability = f(price_to_limit_distance, volatility, time_elapsed)).</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8. Rebound Strategy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C00000"/>
                <w:sz w:val="20"/>
                <w:szCs w:val="20"/>
              </w:rPr>
              <w:t xml:space="preserve">VERDICT: REJECTED</w:t>
            </w:r>
          </w:p>
          <w:p>
            <w:pPr>
              <w:spacing w:after="0" w:before="0"/>
            </w:pPr>
            <w:r>
              <w:rPr>
                <w:rFonts w:ascii="Arial" w:cs="Arial" w:eastAsia="Arial" w:hAnsi="Arial"/>
                <w:color w:val="C00000"/>
                <w:sz w:val="21"/>
                <w:szCs w:val="21"/>
              </w:rPr>
              <w:t xml:space="preserve">The rebound strategy fails to meet the minimum viability criteria. Win rate = 1.63% vs. 55% gate. Strategy is rejected and should not be implemented.</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8.1 Rebound Analysis Results</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Crash events found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Adequate sample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Blocked by CPS (CPS &gt; 40 at bottom)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46 (9.7%)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filter working as designed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Events assessed (CPS &lt;= 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429</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After CPS gate</w:t>
            </w:r>
          </w:p>
        </w:tc>
      </w:tr>
      <w:tr>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Valid rebounds (fwd 4h &gt; +1.0%)</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7 (1.63%)</w:t>
            </w:r>
          </w:p>
        </w:tc>
        <w:tc>
          <w:tcPr>
            <w:tcW w:type="dxa" w:w="4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FAR below 55% gate</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Dead-cat bounces (fwd 4h &lt; -0.5%)</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23 (5.36%)</w:t>
            </w:r>
          </w:p>
        </w:tc>
        <w:tc>
          <w:tcPr>
            <w:tcW w:type="dxa" w:w="4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Below 25% gate — passes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Neutral outcomes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399 (93.0%)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strong directional move either way</w:t>
            </w:r>
          </w:p>
        </w:tc>
      </w:tr>
      <w:tr>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Win rate gate (55%)</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1.63%</w:t>
            </w:r>
          </w:p>
        </w:tc>
        <w:tc>
          <w:tcPr>
            <w:tcW w:type="dxa" w:w="4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FAIL by 53 percentage points</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Dead-cat gate (&lt; 25%)</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5.36%</w:t>
            </w:r>
          </w:p>
        </w:tc>
        <w:tc>
          <w:tcPr>
            <w:tcW w:type="dxa" w:w="4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3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Overall viable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w:t>
            </w:r>
          </w:p>
        </w:tc>
        <w:tc>
          <w:tcPr>
            <w:tcW w:type="dxa" w:w="42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Win rate gate failure is disqualifying</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8.2 Root Cause of Low Win Rate</w:t>
      </w:r>
    </w:p>
    <w:p>
      <w:pPr>
        <w:spacing w:after="60" w:before="60"/>
      </w:pPr>
      <w:r>
        <w:rPr>
          <w:rFonts w:ascii="Arial" w:cs="Arial" w:eastAsia="Arial" w:hAnsi="Arial"/>
          <w:sz w:val="22"/>
          <w:szCs w:val="22"/>
        </w:rPr>
        <w:t xml:space="preserve">The dominant outcome (93% neutral) indicates that after a crash bottom, BTC/USDT does not consistently move +1.0%+ within 4 hours. The rebound signal conditions (higher low, OI stabilisation, funding normalisation) produce a conditional set that is met too rarely on synthetic data, and when met, the forward return is not reliably positive.</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Three possible interpretations:</w:t>
      </w:r>
    </w:p>
    <w:p>
      <w:pPr>
        <w:pStyle w:val="ListParagraph"/>
        <w:numPr>
          <w:ilvl w:val="0"/>
          <w:numId w:val="3"/>
        </w:numPr>
        <w:spacing w:after="40" w:before="40"/>
        <w:ind w:left="720" w:hanging="360"/>
      </w:pPr>
      <w:r>
        <w:rPr>
          <w:rFonts w:ascii="Arial" w:cs="Arial" w:eastAsia="Arial" w:hAnsi="Arial"/>
          <w:sz w:val="22"/>
          <w:szCs w:val="22"/>
        </w:rPr>
        <w:t xml:space="preserve">The 4h forward window is too short. Rebounds often take 12–48 hours to develop. Extending the evaluation window may improve the win rate metric but reduces the R-multiple.</w:t>
      </w:r>
    </w:p>
    <w:p>
      <w:pPr>
        <w:pStyle w:val="ListParagraph"/>
        <w:numPr>
          <w:ilvl w:val="0"/>
          <w:numId w:val="3"/>
        </w:numPr>
        <w:spacing w:after="40" w:before="40"/>
        <w:ind w:left="720" w:hanging="360"/>
      </w:pPr>
      <w:r>
        <w:rPr>
          <w:rFonts w:ascii="Arial" w:cs="Arial" w:eastAsia="Arial" w:hAnsi="Arial"/>
          <w:sz w:val="22"/>
          <w:szCs w:val="22"/>
        </w:rPr>
        <w:t xml:space="preserve">The hardened rebound conditions are too restrictive in the wrong ways. They filter out dead-cats effectively (5.36% dead-cat rate) but also filter out valid rebounds in the process.</w:t>
      </w:r>
    </w:p>
    <w:p>
      <w:pPr>
        <w:pStyle w:val="ListParagraph"/>
        <w:numPr>
          <w:ilvl w:val="0"/>
          <w:numId w:val="3"/>
        </w:numPr>
        <w:spacing w:after="40" w:before="40"/>
        <w:ind w:left="720" w:hanging="360"/>
      </w:pPr>
      <w:r>
        <w:rPr>
          <w:rFonts w:ascii="Arial" w:cs="Arial" w:eastAsia="Arial" w:hAnsi="Arial"/>
          <w:sz w:val="22"/>
          <w:szCs w:val="22"/>
        </w:rPr>
        <w:t xml:space="preserve">The synthetic data may under-represent the V-shaped recovery pattern common in real crypto crashes. Real markets exhibit mean-reversion after liquidation cascades that GBM models cannot replicate.</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Recommendation: Do not implement rebound execution. Revisit after Phase 1B has collected 30+ real crash events in shadow mode, providing real-data ground truth for rebound analysis.</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9. Portfolio Defence Analysis — Detailed</w:t>
      </w:r>
    </w:p>
    <w:p>
      <w:pPr>
        <w:spacing w:after="60" w:before="60"/>
      </w:pPr>
      <w:r>
        <w:rPr>
          <w:rFonts w:ascii="Arial" w:cs="Arial" w:eastAsia="Arial" w:hAnsi="Arial"/>
          <w:sz w:val="22"/>
          <w:szCs w:val="22"/>
        </w:rPr>
        <w:t xml:space="preserve">Portfolio defence (blocking new longs and tightening stops during CRASH_WATCH) is the most immediately implementable and validated component. This section provides a detailed breakdown.</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9.1 Defence Mechanism Parameters (Simulation)</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CPS threshold to block new longs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 (CRASH_WATCH)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Prevents entering new long positions when crash risk is elevated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Stop tightening factor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 reduction in stop distance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Reduces gap between current price and stop during crash conditions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 entry blocked during CRASH_WATCH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new position opened when CPS &gt;= 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Forced exit on CRASH_MODE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Yes (Scenario 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Exits open long positions when CPS &gt;= 75</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Drawdown improvement (sim)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16.76pp</w:t>
            </w:r>
          </w:p>
        </w:tc>
        <w:tc>
          <w:tcPr>
            <w:tcW w:type="dxa" w:w="4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From -36.92% to -20.16%</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Return improvement (sim)</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20.4pp</w:t>
            </w:r>
          </w:p>
        </w:tc>
        <w:tc>
          <w:tcPr>
            <w:tcW w:type="dxa" w:w="4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From -29.3% to -8.9%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Trade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743 vs 572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More exits and re-entries due to CPS gating</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9.2 Why This Result Is Robust</w:t>
      </w:r>
    </w:p>
    <w:p>
      <w:pPr>
        <w:spacing w:after="60" w:before="60"/>
      </w:pPr>
      <w:r>
        <w:rPr>
          <w:rFonts w:ascii="Arial" w:cs="Arial" w:eastAsia="Arial" w:hAnsi="Arial"/>
          <w:sz w:val="22"/>
          <w:szCs w:val="22"/>
        </w:rPr>
        <w:t xml:space="preserve">The portfolio defence improvement (16.76pp drawdown reduction) does not depend on the CPS model achieving high ROC-AUC. The mechanism works because: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Blocking new longs during CRASH_WATCH avoids entering into declining positions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Tightening stops reduces the maximum loss on existing positions during crashes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Even a noisy CPS signal (ROC-AUC 0.57) provides some genuine information about crash risk</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The asymmetric confirmation (3 bars to de-escalate vs. 2 bars to escalate) prevents over-trading</w:t>
      </w:r>
    </w:p>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The defence mechanism is structurally valuable even before the CPS logistic model is properly calibrated. It should be enabled in Phase 1B alongside CPS shadow logging.</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10. Updated Implementation Roadmap</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200"/>
        <w:gridCol w:w="1400"/>
        <w:gridCol w:w="2560"/>
      </w:tblGrid>
      <w:tr>
        <w:trPr>
          <w:tblHeader/>
        </w:trPr>
        <w:tc>
          <w:tcPr>
            <w:tcW w:type="dxa" w:w="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 Evidence Required</w:t>
            </w:r>
          </w:p>
        </w:tc>
      </w:tr>
      <w:tr>
        <w:tc>
          <w:tcPr>
            <w:tcW w:type="dxa" w:w="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1A</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APPROVED</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Wire position_size_multiplier from CDA into RiskGate. One-file change in risk_gate.py. Full regression.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2–3 hrs</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Regression: 1611 pass / 0 fail</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1B-calib</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PREREQUISITE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Run cpi_validation_backtest.py against real Bybit data (fetch_bybit_ohlcv). Target: ROC-AUC &gt;= 0.62 on holdout.</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1–2 days</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ROC-AUC &gt;= 0.62 on real holdout</w:t>
            </w:r>
          </w:p>
        </w:tc>
      </w:tr>
      <w:tr>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1B-shadow</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CONDITIONAL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CrashPrecursorAgent (shadow mode). CPS logging only. Portfolio defence enabled (block longs, tighten stops). All safeguards from v0.2 Section 8.</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3–4 days</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After 1B-calib gate met</w:t>
            </w:r>
          </w:p>
        </w:tc>
      </w:tr>
      <w:tr>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2A-limit</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PREREQUISITE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Extend validation script with limit order fill model. Re-run Scenario C with limit entries and 0.20% spread threshold.</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1 day</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Scenario C produces positive E[R] &gt; 0.10R</w:t>
            </w:r>
          </w:p>
        </w:tc>
      </w:tr>
      <w:tr>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2A-exec</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Crash short execution (Phase 2A). Requires 2A-limit prerequisite + owner approval + 30 real shadow events.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2–3 days</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Owner approval + shadow evidence</w:t>
            </w:r>
          </w:p>
        </w:tc>
      </w:tr>
      <w:tr>
        <w:tc>
          <w:tcPr>
            <w:tcW w:type="dxa" w:w="7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2B/3</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FRI shadow and rebound execution. Rejected until real-data rebound win rate &gt; 55% demonstrated.</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N/A</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Revisit after Phase 1B shadow data</w:t>
            </w:r>
          </w:p>
        </w:tc>
      </w:tr>
    </w:tbl>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11. Real-Data Calibration Guide</w:t>
      </w:r>
    </w:p>
    <w:p>
      <w:pPr>
        <w:spacing w:after="60" w:before="60"/>
      </w:pPr>
      <w:r>
        <w:rPr>
          <w:rFonts w:ascii="Arial" w:cs="Arial" w:eastAsia="Arial" w:hAnsi="Arial"/>
          <w:sz w:val="22"/>
          <w:szCs w:val="22"/>
        </w:rPr>
        <w:t xml:space="preserve">The validation script (cpi_validation_backtest.py, committed to mitsubishi branch) is ready to run against real Bybit data. When run on a machine with internet access (e.g., the NexusTrader Windows host), the following data is fetched automatically:</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Bybit Endpoint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OHLCV (5m/1h)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GET /v5/market/kline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1000 bars/req; 4y × 5m = ~1050 reqs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Funding rate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GET /v5/market/funding/history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8h intervals; ~1095 records for 2y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Open Interest (1h)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GET /v5/market/open-interest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Paginated; intervalTime=1h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Long/Short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GET /v5/market/account-ratio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New endpoint; 1h or 4h intervals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Liquidation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Not available on public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 volume × |return| as proxy OR Coinglass</w:t>
            </w:r>
          </w:p>
        </w:tc>
      </w:tr>
    </w:tbl>
    <w:p>
      <w:pPr>
        <w:spacing w:after="60" w:before="0"/>
      </w:pPr>
      <w:r>
        <w:rPr>
          <w:rFonts w:ascii="Arial" w:cs="Arial" w:eastAsia="Arial" w:hAnsi="Arial"/>
          <w:sz w:val="10"/>
          <w:szCs w:val="10"/>
        </w:rPr>
        <w:t xml:space="preserve"/>
      </w:r>
    </w:p>
    <w:p>
      <w:pPr>
        <w:spacing w:after="60" w:before="60"/>
      </w:pPr>
      <w:r>
        <w:rPr>
          <w:rFonts w:ascii="Arial" w:cs="Arial" w:eastAsia="Arial" w:hAnsi="Arial"/>
          <w:sz w:val="22"/>
          <w:szCs w:val="22"/>
        </w:rPr>
        <w:t xml:space="preserve">Total estimated data fetch time: 8–15 minutes at 2 req/s conservative rate. All data is saved to data/validation/ in the workspace before processing. If interrupted, partial data is preserved and the script can resume from where it left off.</w:t>
      </w:r>
    </w:p>
    <w:p>
      <w:pPr>
        <w:spacing w:after="60" w:before="0"/>
      </w:pPr>
      <w:r>
        <w:rPr>
          <w:rFonts w:ascii="Arial" w:cs="Arial" w:eastAsia="Arial" w:hAnsi="Arial"/>
          <w:sz w:val="10"/>
          <w:szCs w:val="10"/>
        </w:rPr>
        <w:t xml:space="preserve"/>
      </w:r>
    </w:p>
    <w:p>
      <w:pPr>
        <w:spacing w:after="60" w:before="0"/>
      </w:pPr>
      <w:r>
        <w:rPr>
          <w:rFonts w:ascii="Arial" w:cs="Arial" w:eastAsia="Arial" w:hAnsi="Arial"/>
          <w:sz w:val="10"/>
          <w:szCs w:val="10"/>
        </w:rPr>
        <w:t xml:space="preserve"/>
      </w:r>
    </w:p>
    <w:p>
      <w:r>
        <w:br w:type="page"/>
      </w:r>
    </w:p>
    <w:p>
      <w:pPr>
        <w:pStyle w:val="Heading1"/>
        <w:spacing w:after="120" w:before="360"/>
      </w:pPr>
      <w:r>
        <w:rPr>
          <w:rFonts w:ascii="Arial" w:cs="Arial" w:eastAsia="Arial" w:hAnsi="Arial"/>
          <w:b/>
          <w:bCs/>
          <w:color w:val="1F3864"/>
          <w:sz w:val="32"/>
          <w:szCs w:val="32"/>
        </w:rPr>
        <w:t xml:space="preserve">12. Final Verdicts</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 Component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and Conditions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CPI — Phase 1A (dead code fix)</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APPROVED</w:t>
            </w:r>
          </w:p>
        </w:tc>
        <w:tc>
          <w:tcPr>
            <w:tcW w:type="dxa" w:w="4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Zero risk. CDA already computes the multiplier. Immediate value.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CPI — Portfolio defence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APPROVE WITH CONDITIONS</w:t>
            </w:r>
          </w:p>
        </w:tc>
        <w:tc>
          <w:tcPr>
            <w:tcW w:type="dxa" w:w="4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16.76pp MDD improvement demonstrated. Enable in Phase 1B alongside shadow logging. Does not require ROC-AUC gate.</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CPI — Shadow mode (logging only)</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CONDITIONAL</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1"/>
                <w:szCs w:val="21"/>
              </w:rPr>
              <w:t xml:space="preserve">Approved only after ROC-AUC &gt;= 0.62 demonstrated on real Bybit data.</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Early crash short execution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NOT APPROVED</w:t>
            </w:r>
          </w:p>
        </w:tc>
        <w:tc>
          <w:tcPr>
            <w:tcW w:type="dxa" w:w="4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Zero marginal return in simulation. Spread filter blocks all entries. Requires limit order model validation first.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FRI / Rebound execution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REJECTED</w:t>
            </w:r>
          </w:p>
        </w:tc>
        <w:tc>
          <w:tcPr>
            <w:tcW w:type="dxa" w:w="4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1"/>
                <w:szCs w:val="21"/>
              </w:rPr>
              <w:t xml:space="preserve">Win rate 1.63% vs. 55% gate. Far from viable. Revisit after real-data shadow mode provides ground truth.</w:t>
            </w:r>
          </w:p>
        </w:tc>
      </w:tr>
    </w:tbl>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12.1 What This Simulation Proves</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Portfolio defence works even with a noisy CPS signal — this is the most reliable finding.</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Crash short execution requires more careful execution modelling (limit orders, real spread data) before viability can be determined.</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Rebound trading is not viable at this time — insufficient evidence even on real market-like data.</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CPS model calibration requires real funding/OI/liquidation data — synthetic data cannot prove the ROC-AUC gate.</w:t>
      </w:r>
    </w:p>
    <w:p>
      <w:pPr>
        <w:spacing w:after="60" w:before="0"/>
      </w:pPr>
      <w:r>
        <w:rPr>
          <w:rFonts w:ascii="Arial" w:cs="Arial" w:eastAsia="Arial" w:hAnsi="Arial"/>
          <w:sz w:val="10"/>
          <w:szCs w:val="10"/>
        </w:rPr>
        <w:t xml:space="preserve"/>
      </w:r>
    </w:p>
    <w:p>
      <w:pPr>
        <w:pStyle w:val="Heading2"/>
        <w:spacing w:after="80" w:before="240"/>
      </w:pPr>
      <w:r>
        <w:rPr>
          <w:rFonts w:ascii="Arial" w:cs="Arial" w:eastAsia="Arial" w:hAnsi="Arial"/>
          <w:b/>
          <w:bCs/>
          <w:color w:val="2E75B6"/>
          <w:sz w:val="26"/>
          <w:szCs w:val="26"/>
        </w:rPr>
        <w:t xml:space="preserve">12.2 What This Simulation Does NOT Prove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It does not prove Phase 1B is ready — the ROC-AUC gate must be met on real data.</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It does not prove early shorts are not viable — the simulation limitation (market-order-only, ATR-proxy spread) may be understating crash short performance.</w:t>
      </w:r>
    </w:p>
    <w:p>
      <w:pPr>
        <w:pStyle w:val="ListParagraph"/>
        <w:numPr>
          <w:ilvl w:val="0"/>
          <w:numId w:val="2"/>
        </w:numPr>
        <w:spacing w:after="40" w:before="40"/>
        <w:ind w:left="720" w:hanging="360"/>
      </w:pPr>
      <w:r>
        <w:rPr>
          <w:rFonts w:ascii="Arial" w:cs="Arial" w:eastAsia="Arial" w:hAnsi="Arial"/>
          <w:b w:val="false"/>
          <w:bCs w:val="false"/>
          <w:sz w:val="22"/>
          <w:szCs w:val="22"/>
        </w:rPr>
        <w:t xml:space="preserve">It does not prove rebounds will never work — the synthetic data cannot replicate V-shaped recovery dynamics.</w:t>
      </w:r>
    </w:p>
    <w:p>
      <w:pPr>
        <w:spacing w:after="60" w:before="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color w:val="375623"/>
                <w:sz w:val="20"/>
                <w:szCs w:val="20"/>
              </w:rPr>
              <w:t xml:space="preserve">RECOMMENDED NEXT STEP</w:t>
            </w:r>
          </w:p>
          <w:p>
            <w:pPr>
              <w:spacing w:after="0" w:before="0"/>
            </w:pPr>
            <w:r>
              <w:rPr>
                <w:rFonts w:ascii="Arial" w:cs="Arial" w:eastAsia="Arial" w:hAnsi="Arial"/>
                <w:color w:val="375623"/>
                <w:sz w:val="21"/>
                <w:szCs w:val="21"/>
              </w:rPr>
              <w:t xml:space="preserve">Approve Phase 1A immediately (dead code fix, 2-3 hours). Then run cpi_validation_backtest.py against real Bybit data on the Windows host machine to obtain real ROC-AUC numbers. If ROC-AUC &gt;= 0.62 is confirmed, request approval to proceed with Phase 1B (shadow mode + portfolio defence, no execution). The script is committed to the mitsubishi branch and ready to run.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DESIGN-ONLY — No Production Code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NexusTrader  |  CPI+FRI Validation v0.3  |  MITSUBISHI branch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2026-03-24T01:49:11.383Z</dcterms:created>
  <dcterms:modified xsi:type="dcterms:W3CDTF">2026-03-24T01:49:11.383Z</dcterms:modified>
</cp:coreProperties>
</file>

<file path=docProps/custom.xml><?xml version="1.0" encoding="utf-8"?>
<Properties xmlns="http://schemas.openxmlformats.org/officeDocument/2006/custom-properties" xmlns:vt="http://schemas.openxmlformats.org/officeDocument/2006/docPropsVTypes"/>
</file>