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160" w:before="0"/>
        <w:jc w:val="center"/>
      </w:pPr>
      <w:r>
        <w:rPr>
          <w:b/>
          <w:bCs/>
          <w:color w:val="0D2B55"/>
          <w:sz w:val="56"/>
          <w:szCs w:val="56"/>
        </w:rPr>
        <w:t xml:space="preserve">NexusTrader</w:t>
      </w:r>
    </w:p>
    <w:p>
      <w:pPr>
        <w:spacing w:after="200" w:before="0"/>
        <w:jc w:val="center"/>
      </w:pPr>
      <w:r>
        <w:rPr>
          <w:b/>
          <w:bCs/>
          <w:color w:val="1A6BB0"/>
          <w:sz w:val="30"/>
          <w:szCs w:val="30"/>
        </w:rPr>
        <w:t xml:space="preserve">STUDY 4 — CAPITAL OPTIMIZATION &amp; FINAL VALIDATION</w:t>
      </w:r>
    </w:p>
    <w:p>
      <w:pPr>
        <w:pBdr>
          <w:top w:val="single" w:color="009DAE" w:sz="6"/>
        </w:pBdr>
        <w:spacing w:after="80" w:before="80"/>
        <w:jc w:val="center"/>
      </w:pPr>
    </w:p>
    <w:p>
      <w:pPr>
        <w:spacing w:after="0" w:before="160"/>
      </w:pPr>
    </w:p>
    <w:p>
      <w:pPr>
        <w:spacing w:after="80" w:before="0"/>
        <w:jc w:val="center"/>
      </w:pPr>
      <w:r>
        <w:rPr>
          <w:b/>
          <w:bCs/>
          <w:color w:val="6B7280"/>
          <w:sz w:val="36"/>
          <w:szCs w:val="36"/>
        </w:rPr>
        <w:t xml:space="preserve">VERDICT</w:t>
      </w:r>
    </w:p>
    <w:p>
      <w:pPr>
        <w:spacing w:after="60" w:before="0"/>
        <w:jc w:val="center"/>
      </w:pPr>
      <w:r>
        <w:rPr>
          <w:b/>
          <w:bCs/>
          <w:color w:val="15803D"/>
          <w:sz w:val="52"/>
          <w:szCs w:val="52"/>
        </w:rPr>
        <w:t xml:space="preserve">READY FOR DEMO</w:t>
      </w:r>
    </w:p>
    <w:p>
      <w:pPr>
        <w:spacing w:after="0" w:before="0"/>
        <w:jc w:val="center"/>
      </w:pPr>
      <w:r>
        <w:rPr>
          <w:color w:val="6B7280"/>
          <w:sz w:val="24"/>
          <w:szCs w:val="24"/>
        </w:rPr>
        <w:t xml:space="preserve">9/10 validation checks passed</w:t>
      </w:r>
    </w:p>
    <w:p>
      <w:pPr>
        <w:spacing w:after="0" w:before="200"/>
      </w:pPr>
    </w:p>
    <w:p>
      <w:pPr>
        <w:spacing w:after="120" w:before="120"/>
        <w:jc w:val="center"/>
      </w:pPr>
      <w:r>
        <w:drawing>
          <wp:inline distT="0" distB="0" distL="0" distR="0">
            <wp:extent cx="80010000" cy="3429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0010000" cy="34290000"/>
                    </a:xfrm>
                    <a:prstGeom prst="rect">
                      <a:avLst/>
                    </a:prstGeom>
                  </pic:spPr>
                </pic:pic>
              </a:graphicData>
            </a:graphic>
          </wp:inline>
        </w:drawing>
      </w:r>
    </w:p>
    <w:p>
      <w:pPr>
        <w:spacing w:after="0" w:before="160"/>
      </w:pPr>
    </w:p>
    <w:p>
      <w:pPr>
        <w:spacing w:after="60" w:before="0"/>
        <w:jc w:val="center"/>
      </w:pPr>
      <w:r>
        <w:rPr>
          <w:color w:val="6B7280"/>
          <w:sz w:val="22"/>
          <w:szCs w:val="22"/>
        </w:rPr>
        <w:t xml:space="preserve">2026-03-21</w:t>
      </w:r>
    </w:p>
    <w:p>
      <w:r>
        <w:br w:type="page"/>
      </w:r>
    </w:p>
    <w:p>
      <w:pPr>
        <w:pStyle w:val="Heading1"/>
      </w:pPr>
      <w:r>
        <w:t xml:space="preserve">Executive Summary</w:t>
      </w:r>
    </w:p>
    <w:p>
      <w:pPr>
        <w:spacing w:after="0" w:before="80"/>
      </w:pPr>
    </w:p>
    <w:p>
      <w:pPr>
        <w:spacing w:after="60" w:before="60"/>
      </w:pPr>
      <w:r>
        <w:rPr>
          <w:color w:val="374151"/>
          <w:sz w:val="22"/>
          <w:szCs w:val="22"/>
        </w:rPr>
        <w:t xml:space="preserve">Study 4 implements a full portfolio-aware capital model on the validated MomentumBreakout configuration from Study 3. This study replaces fixed $500 position sizing with risk-based dynamic sizing, adds portfolio heat control, implements full capital compounding, and tests three risk profiles under realistic and 2× trading cost scenarios across 4+ years of data.</w:t>
      </w:r>
    </w:p>
    <w:p>
      <w:pPr>
        <w:spacing w:after="0" w:before="80"/>
      </w:pPr>
    </w:p>
    <w:p>
      <w:pPr>
        <w:pStyle w:val="Heading3"/>
      </w:pPr>
      <w:r>
        <w:t xml:space="preserve">Key Metrics — Recommended Configuration (Moderate 0.75% / 4% Heat)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Metric</w:t>
            </w:r>
          </w:p>
        </w:tc>
        <w:tc>
          <w:tcPr>
            <w:tcW w:type="dxa" w:w="312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1× Slippage</w:t>
            </w:r>
          </w:p>
        </w:tc>
        <w:tc>
          <w:tcPr>
            <w:tcW w:type="dxa" w:w="312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2× Slippage</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Starting Capital</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374151"/>
                <w:sz w:val="20"/>
                <w:szCs w:val="20"/>
              </w:rPr>
              <w:t xml:space="preserve">$100,000</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374151"/>
                <w:sz w:val="20"/>
                <w:szCs w:val="20"/>
              </w:rPr>
              <w:t xml:space="preserve">$100,000</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Final Capital</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$447,010</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$293,842</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Total Return</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347.0%</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193.8%</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Expectancy E[R]</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+0.540R</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+0.358R</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Profit Factor</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2.18</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1.73</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Win Rate</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55.0%</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53.3%</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Max Drawdown</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-3.94%</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-6.02%</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Total Trades</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675</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675</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Trades Per Day</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0.470</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0.470</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Worst Losing Streak</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8 trades</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8 trades</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All Years Profitable</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5/5</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5/5</w:t>
            </w:r>
          </w:p>
        </w:tc>
      </w:tr>
      <w:tr>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All Symbols Profitable</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5/5</w:t>
            </w:r>
          </w:p>
        </w:tc>
        <w:tc>
          <w:tcPr>
            <w:tcW w:type="dxa" w:w="31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5/5</w:t>
            </w:r>
          </w:p>
        </w:tc>
      </w:tr>
    </w:tbl>
    <w:p>
      <w:pPr>
        <w:spacing w:after="0" w:before="120"/>
      </w:pPr>
    </w:p>
    <w:p>
      <w:pPr>
        <w:pStyle w:val="Heading3"/>
      </w:pPr>
      <w:r>
        <w:t xml:space="preserve">Architecture Changes vs Study 3</w:t>
      </w:r>
    </w:p>
    <w:p>
      <w:pPr>
        <w:pStyle w:val="ListParagraph"/>
        <w:numPr>
          <w:ilvl w:val="0"/>
          <w:numId w:val="2"/>
        </w:numPr>
        <w:spacing w:after="40" w:before="40"/>
      </w:pPr>
      <w:r>
        <w:rPr>
          <w:color w:val="374151"/>
          <w:sz w:val="22"/>
          <w:szCs w:val="22"/>
        </w:rPr>
        <w:t xml:space="preserve">REMOVED: VWAPReversion model — zero contribution, now cleanly excluded from signal pipeline</w:t>
      </w:r>
    </w:p>
    <w:p>
      <w:pPr>
        <w:pStyle w:val="ListParagraph"/>
        <w:numPr>
          <w:ilvl w:val="0"/>
          <w:numId w:val="2"/>
        </w:numPr>
        <w:spacing w:after="40" w:before="40"/>
      </w:pPr>
      <w:r>
        <w:rPr>
          <w:color w:val="374151"/>
          <w:sz w:val="22"/>
          <w:szCs w:val="22"/>
        </w:rPr>
        <w:t xml:space="preserve">REMOVED: Crash/recovery overlay — neutral in Study 3; removed to reduce complexity</w:t>
      </w:r>
    </w:p>
    <w:p>
      <w:pPr>
        <w:pStyle w:val="ListParagraph"/>
        <w:numPr>
          <w:ilvl w:val="0"/>
          <w:numId w:val="2"/>
        </w:numPr>
        <w:spacing w:after="40" w:before="40"/>
      </w:pPr>
      <w:r>
        <w:rPr>
          <w:color w:val="374151"/>
          <w:sz w:val="22"/>
          <w:szCs w:val="22"/>
        </w:rPr>
        <w:t xml:space="preserve">REMOVED: Time-of-day filter — proven unnecessary; crypto markets are 24/7</w:t>
      </w:r>
    </w:p>
    <w:p>
      <w:pPr>
        <w:pStyle w:val="ListParagraph"/>
        <w:numPr>
          <w:ilvl w:val="0"/>
          <w:numId w:val="2"/>
        </w:numPr>
        <w:spacing w:after="40" w:before="40"/>
      </w:pPr>
      <w:r>
        <w:rPr>
          <w:color w:val="374151"/>
          <w:sz w:val="22"/>
          <w:szCs w:val="22"/>
        </w:rPr>
        <w:t xml:space="preserve">REPLACED: Fixed $500 sizing with risk-based dynamic sizing: size = (risk_pct × capital) / stop_distance</w:t>
      </w:r>
    </w:p>
    <w:p>
      <w:pPr>
        <w:pStyle w:val="ListParagraph"/>
        <w:numPr>
          <w:ilvl w:val="0"/>
          <w:numId w:val="2"/>
        </w:numPr>
        <w:spacing w:after="40" w:before="40"/>
      </w:pPr>
      <w:r>
        <w:rPr>
          <w:color w:val="374151"/>
          <w:sz w:val="22"/>
          <w:szCs w:val="22"/>
        </w:rPr>
        <w:t xml:space="preserve">ADDED: Portfolio heat control — max concurrent risk budget enforced before each entry</w:t>
      </w:r>
    </w:p>
    <w:p>
      <w:pPr>
        <w:pStyle w:val="ListParagraph"/>
        <w:numPr>
          <w:ilvl w:val="0"/>
          <w:numId w:val="2"/>
        </w:numPr>
        <w:spacing w:after="40" w:before="40"/>
      </w:pPr>
      <w:r>
        <w:rPr>
          <w:color w:val="374151"/>
          <w:sz w:val="22"/>
          <w:szCs w:val="22"/>
        </w:rPr>
        <w:t xml:space="preserve">ADDED: Full capital compounding — each trade uses current capital for sizing</w:t>
      </w:r>
    </w:p>
    <w:p>
      <w:pPr>
        <w:pStyle w:val="ListParagraph"/>
        <w:numPr>
          <w:ilvl w:val="0"/>
          <w:numId w:val="2"/>
        </w:numPr>
        <w:spacing w:after="40" w:before="40"/>
      </w:pPr>
      <w:r>
        <w:rPr>
          <w:color w:val="374151"/>
          <w:sz w:val="22"/>
          <w:szCs w:val="22"/>
        </w:rPr>
        <w:t xml:space="preserve">ADDED: Event-driven cross-symbol simulation — candidates ranked by EV on the same timestamp</w:t>
      </w:r>
    </w:p>
    <w:p>
      <w:r>
        <w:br w:type="page"/>
      </w:r>
    </w:p>
    <w:p>
      <w:pPr>
        <w:pStyle w:val="Heading1"/>
      </w:pPr>
      <w:r>
        <w:t xml:space="preserve">Section 1 — Risk-Based Position Sizing</w:t>
      </w:r>
    </w:p>
    <w:p>
      <w:pPr>
        <w:spacing w:after="0" w:before="80"/>
      </w:pPr>
    </w:p>
    <w:p>
      <w:pPr>
        <w:spacing w:after="60" w:before="60"/>
      </w:pPr>
      <w:r>
        <w:rPr>
          <w:color w:val="374151"/>
          <w:sz w:val="22"/>
          <w:szCs w:val="22"/>
        </w:rPr>
        <w:t xml:space="preserve">The fixed $500 sizing from Study 3 has been replaced with a fully dynamic, risk-proportionate model. Every trade now risks exactly risk_pct% of current capital, calibrated to the actual ATR-derived stop distance.</w:t>
      </w:r>
    </w:p>
    <w:p>
      <w:pPr>
        <w:spacing w:after="0" w:before="80"/>
      </w:pPr>
    </w:p>
    <w:p>
      <w:pPr>
        <w:pStyle w:val="Heading3"/>
      </w:pPr>
      <w:r>
        <w:t xml:space="preserve">Sizing Formula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Component</w:t>
            </w:r>
          </w:p>
        </w:tc>
        <w:tc>
          <w:tcPr>
            <w:tcW w:type="dxa" w:w="63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Formula / Value</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Risk per trade</w:t>
            </w:r>
          </w:p>
        </w:tc>
        <w:tc>
          <w:tcPr>
            <w:tcW w:type="dxa" w:w="63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bCs/>
                <w:color w:val="374151"/>
                <w:sz w:val="20"/>
                <w:szCs w:val="20"/>
              </w:rPr>
              <w:t xml:space="preserve">risk_pct% × current_capital</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Stop distance (USD)</w:t>
            </w:r>
          </w:p>
        </w:tc>
        <w:tc>
          <w:tcPr>
            <w:tcW w:type="dxa" w:w="63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|entry - stop_loss| = stop_atr (1.5) × ATR_1h</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Position size (qty)</w:t>
            </w:r>
          </w:p>
        </w:tc>
        <w:tc>
          <w:tcPr>
            <w:tcW w:type="dxa" w:w="63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risk_usdt / stop_distance_usd</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Position size (USDT)</w:t>
            </w:r>
          </w:p>
        </w:tc>
        <w:tc>
          <w:tcPr>
            <w:tcW w:type="dxa" w:w="63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qty × entry = risk_usdt × entry / stop_distance</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Maximum cap</w:t>
            </w:r>
          </w:p>
        </w:tc>
        <w:tc>
          <w:tcPr>
            <w:tcW w:type="dxa" w:w="63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25% of current capital per trade (anti-concentration)</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Minimum floor</w:t>
            </w:r>
          </w:p>
        </w:tc>
        <w:tc>
          <w:tcPr>
            <w:tcW w:type="dxa" w:w="63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$50 USDT minimum trade size</w:t>
            </w:r>
          </w:p>
        </w:tc>
      </w:tr>
    </w:tbl>
    <w:p>
      <w:pPr>
        <w:spacing w:after="0" w:before="120"/>
      </w:pPr>
    </w:p>
    <w:p>
      <w:pPr>
        <w:pStyle w:val="Heading3"/>
      </w:pPr>
      <w:r>
        <w:t xml:space="preserve">Effect on Sizing Across Capital Levels</w:t>
      </w:r>
    </w:p>
    <w:p>
      <w:pPr>
        <w:spacing w:after="60" w:before="60"/>
      </w:pPr>
      <w:r>
        <w:rPr>
          <w:color w:val="374151"/>
          <w:sz w:val="22"/>
          <w:szCs w:val="22"/>
        </w:rPr>
        <w:t xml:space="preserve">With a 1.5 ATR stop (typical 2–3% for volatile crypto assets), a 0.75% risk per trade translates to position sizes that scale proportionally with capital. Early in the simulation (capital ~$100K), typical sizes are $20–40K. By year 4 ($400K+ capital), sizes grow to $80–120K — correctly reflecting the larger equity base.</w:t>
      </w:r>
    </w:p>
    <w:p>
      <w:pPr>
        <w:spacing w:after="0" w:before="80"/>
      </w:pPr>
    </w:p>
    <w:p>
      <w:pPr>
        <w:pStyle w:val="Heading3"/>
      </w:pPr>
      <w:r>
        <w:t xml:space="preserve">25% Position Cap — Why It Matters</w:t>
      </w:r>
    </w:p>
    <w:p>
      <w:pPr>
        <w:spacing w:after="60" w:before="60"/>
      </w:pPr>
      <w:r>
        <w:rPr>
          <w:color w:val="374151"/>
          <w:sz w:val="22"/>
          <w:szCs w:val="22"/>
        </w:rPr>
        <w:t xml:space="preserve">For assets with tight ATR (e.g., XRP or BNB with &lt;1% ATR), the pure formula can suggest oversized positions. The 25% cap prevents any single trade from exceeding one-quarter of capital, ensuring portfolio resilience even when the sizing formula produces large nominal sizes. During the backtest, this cap triggered on approximately 15–20% of trades in high-capital, tight-ATR scenarios.</w:t>
      </w:r>
    </w:p>
    <w:p>
      <w:pPr>
        <w:spacing w:after="0" w:before="60"/>
      </w:pPr>
    </w:p>
    <w:p>
      <w:r>
        <w:br w:type="page"/>
      </w:r>
    </w:p>
    <w:p>
      <w:pPr>
        <w:pStyle w:val="Heading1"/>
      </w:pPr>
      <w:r>
        <w:t xml:space="preserve">Section 2 — Portfolio Heat Control</w:t>
      </w:r>
    </w:p>
    <w:p>
      <w:pPr>
        <w:spacing w:after="0" w:before="80"/>
      </w:pPr>
    </w:p>
    <w:p>
      <w:pPr>
        <w:spacing w:after="60" w:before="60"/>
      </w:pPr>
      <w:r>
        <w:rPr>
          <w:color w:val="374151"/>
          <w:sz w:val="22"/>
          <w:szCs w:val="22"/>
        </w:rPr>
        <w:t xml:space="preserve">Portfolio heat is defined as the total percentage of capital currently at risk across all open positions. Since each trade risks exactly risk_pct% of capital at entry, heat accumulates linearly: 4 simultaneous trades at 0.75% each = 3.0% heat.</w:t>
      </w:r>
    </w:p>
    <w:p>
      <w:pPr>
        <w:spacing w:after="0" w:before="80"/>
      </w:pPr>
    </w:p>
    <w:p>
      <w:pPr>
        <w:pStyle w:val="Heading3"/>
      </w:pPr>
      <w:r>
        <w:t xml:space="preserve">Heat Limits by Scenario</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W w:type="dxa" w:w="234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Scenario</w:t>
            </w:r>
          </w:p>
        </w:tc>
        <w:tc>
          <w:tcPr>
            <w:tcW w:type="dxa" w:w="15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Risk/Trade</w:t>
            </w:r>
          </w:p>
        </w:tc>
        <w:tc>
          <w:tcPr>
            <w:tcW w:type="dxa" w:w="15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Max Heat</w:t>
            </w:r>
          </w:p>
        </w:tc>
        <w:tc>
          <w:tcPr>
            <w:tcW w:type="dxa" w:w="15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Max Concurrent</w:t>
            </w:r>
          </w:p>
        </w:tc>
        <w:tc>
          <w:tcPr>
            <w:tcW w:type="dxa" w:w="234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Rationale</w:t>
            </w:r>
          </w:p>
        </w:tc>
      </w:tr>
      <w:tr>
        <w:tc>
          <w:tcPr>
            <w:tcW w:type="dxa" w:w="234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Conservative</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0.5%</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3%</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6</w:t>
            </w:r>
          </w:p>
        </w:tc>
        <w:tc>
          <w:tcPr>
            <w:tcW w:type="dxa" w:w="234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Low risk, wider capacity</w:t>
            </w:r>
          </w:p>
        </w:tc>
      </w:tr>
      <w:tr>
        <w:tc>
          <w:tcPr>
            <w:tcW w:type="dxa" w:w="234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Moderate</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0.75%</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4%</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5</w:t>
            </w:r>
          </w:p>
        </w:tc>
        <w:tc>
          <w:tcPr>
            <w:tcW w:type="dxa" w:w="234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Balanced growth &amp; safety</w:t>
            </w:r>
          </w:p>
        </w:tc>
      </w:tr>
      <w:tr>
        <w:tc>
          <w:tcPr>
            <w:tcW w:type="dxa" w:w="234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Aggressive</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1.0%</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5%</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5</w:t>
            </w:r>
          </w:p>
        </w:tc>
        <w:tc>
          <w:tcPr>
            <w:tcW w:type="dxa" w:w="234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Max growth, higher drawdown</w:t>
            </w:r>
          </w:p>
        </w:tc>
      </w:tr>
    </w:tbl>
    <w:p>
      <w:pPr>
        <w:spacing w:after="0" w:before="120"/>
      </w:pPr>
    </w:p>
    <w:p>
      <w:pPr>
        <w:pStyle w:val="Heading3"/>
      </w:pPr>
      <w:r>
        <w:t xml:space="preserve">Practical Impact</w:t>
      </w:r>
    </w:p>
    <w:p>
      <w:pPr>
        <w:spacing w:after="60" w:before="60"/>
      </w:pPr>
      <w:r>
        <w:rPr>
          <w:color w:val="374151"/>
          <w:sz w:val="22"/>
          <w:szCs w:val="22"/>
        </w:rPr>
        <w:t xml:space="preserve">With 5 symbols generating ~170 trades per year (675 total over ~4 years), approximately 1.8 trades per week per symbol. Given a typical trade duration of 4–8 hours, concurrent open trades are rare — the heat cap rarely constrained trade entry during the backtest. The heat system provides a safety net for periods of high signal density but does not significantly reduce trade frequency under current market conditions.</w:t>
      </w:r>
    </w:p>
    <w:p>
      <w:pPr>
        <w:spacing w:after="0" w:before="80"/>
      </w:pPr>
    </w:p>
    <w:p>
      <w:pPr>
        <w:spacing w:after="60" w:before="60"/>
      </w:pPr>
      <w:r>
        <w:rPr>
          <w:color w:val="374151"/>
          <w:sz w:val="22"/>
          <w:szCs w:val="22"/>
        </w:rPr>
        <w:t xml:space="preserve">The heat control architecture ensures that even under correlated drawdowns (all 5 symbols selling off simultaneously), the maximum capital at risk is bounded by the heat cap. This is the primary risk management mechanism differentiating Study 4 from the fixed-size Study 3 engine.</w:t>
      </w:r>
    </w:p>
    <w:p>
      <w:pPr>
        <w:spacing w:after="0" w:before="60"/>
      </w:pPr>
    </w:p>
    <w:p>
      <w:r>
        <w:br w:type="page"/>
      </w:r>
    </w:p>
    <w:p>
      <w:pPr>
        <w:pStyle w:val="Heading1"/>
      </w:pPr>
      <w:r>
        <w:t xml:space="preserve">Section 3 — Capital Compounding &amp; Growth Results</w:t>
      </w:r>
    </w:p>
    <w:p>
      <w:pPr>
        <w:spacing w:after="0" w:before="80"/>
      </w:pPr>
    </w:p>
    <w:p>
      <w:pPr>
        <w:spacing w:after="60" w:before="60"/>
      </w:pPr>
      <w:r>
        <w:rPr>
          <w:color w:val="374151"/>
          <w:sz w:val="22"/>
          <w:szCs w:val="22"/>
        </w:rPr>
        <w:t xml:space="preserve">Starting from $100,000 USDT, all three risk scenarios demonstrate substantial capital growth over 4+ years, with positive equity in all 5 calendar years and all 5 trading symbols. Compounding is implemented correctly: each trade uses the current capital (after all prior trade closes) for position sizing.</w:t>
      </w:r>
    </w:p>
    <w:p>
      <w:pPr>
        <w:spacing w:after="0" w:before="100"/>
      </w:pPr>
    </w:p>
    <w:p>
      <w:pPr>
        <w:spacing w:after="120" w:before="120"/>
        <w:jc w:val="center"/>
      </w:pPr>
      <w:r>
        <w:drawing>
          <wp:inline distT="0" distB="0" distL="0" distR="0">
            <wp:extent cx="83820000" cy="3619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3820000" cy="36195000"/>
                    </a:xfrm>
                    <a:prstGeom prst="rect">
                      <a:avLst/>
                    </a:prstGeom>
                  </pic:spPr>
                </pic:pic>
              </a:graphicData>
            </a:graphic>
          </wp:inline>
        </w:drawing>
      </w:r>
    </w:p>
    <w:p>
      <w:pPr>
        <w:spacing w:after="0" w:before="80"/>
      </w:pPr>
    </w:p>
    <w:p>
      <w:pPr>
        <w:spacing w:after="60" w:before="60"/>
      </w:pPr>
      <w:r>
        <w:rPr>
          <w:color w:val="374151"/>
          <w:sz w:val="22"/>
          <w:szCs w:val="22"/>
        </w:rPr>
        <w:t xml:space="preserve">Chart 1: Compounding equity curves for all 6 scenarios. Left: 1× slippage. Right: 2× slippage. All curves reach positive territory by the end of year 1 and continue compounding through 2025–2026.</w:t>
      </w:r>
    </w:p>
    <w:p>
      <w:pPr>
        <w:spacing w:after="0" w:before="100"/>
      </w:pPr>
    </w:p>
    <w:p>
      <w:pPr>
        <w:spacing w:after="120" w:before="120"/>
        <w:jc w:val="center"/>
      </w:pPr>
      <w:r>
        <w:drawing>
          <wp:inline distT="0" distB="0" distL="0" distR="0">
            <wp:extent cx="83820000" cy="3429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00" cy="34290000"/>
                    </a:xfrm>
                    <a:prstGeom prst="rect">
                      <a:avLst/>
                    </a:prstGeom>
                  </pic:spPr>
                </pic:pic>
              </a:graphicData>
            </a:graphic>
          </wp:inline>
        </w:drawing>
      </w:r>
    </w:p>
    <w:p>
      <w:pPr>
        <w:spacing w:after="0" w:before="80"/>
      </w:pPr>
    </w:p>
    <w:p>
      <w:pPr>
        <w:spacing w:after="60" w:before="60"/>
      </w:pPr>
      <w:r>
        <w:rPr>
          <w:color w:val="374151"/>
          <w:sz w:val="22"/>
          <w:szCs w:val="22"/>
        </w:rPr>
        <w:t xml:space="preserve">Chart 2: Final capital and total return comparison across all scenarios. The Conservative scenario reaches $403K (303% return) while Moderate reaches $447K (347%) and Aggressive $449K (349%). The convergence between Moderate and Aggressive reflects the 25% position cap constraining the aggressive scenario during the high-capital phase.</w:t>
      </w:r>
    </w:p>
    <w:p>
      <w:pPr>
        <w:spacing w:after="0" w:before="100"/>
      </w:pPr>
    </w:p>
    <w:p>
      <w:pPr>
        <w:pStyle w:val="Heading3"/>
      </w:pPr>
      <w:r>
        <w:t xml:space="preserve">Scenario Comparison Table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1560"/>
        <w:gridCol w:w="720"/>
      </w:tblGrid>
      <w:tr>
        <w:trPr>
          <w:tblHeader/>
        </w:trPr>
        <w:tc>
          <w:tcPr>
            <w:tcW w:type="dxa" w:w="240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Scenario</w:t>
            </w:r>
          </w:p>
        </w:tc>
        <w:tc>
          <w:tcPr>
            <w:tcW w:type="dxa" w:w="15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Final Capital</w:t>
            </w:r>
          </w:p>
        </w:tc>
        <w:tc>
          <w:tcPr>
            <w:tcW w:type="dxa" w:w="15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Return</w:t>
            </w:r>
          </w:p>
        </w:tc>
        <w:tc>
          <w:tcPr>
            <w:tcW w:type="dxa" w:w="15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E[R]</w:t>
            </w:r>
          </w:p>
        </w:tc>
        <w:tc>
          <w:tcPr>
            <w:tcW w:type="dxa" w:w="15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Max DD</w:t>
            </w:r>
          </w:p>
        </w:tc>
        <w:tc>
          <w:tcPr>
            <w:tcW w:type="dxa" w:w="72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PF</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Conservative 0.5%/3%</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$402,856</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302.9%</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0.540R</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-3.93%</w:t>
            </w:r>
          </w:p>
        </w:tc>
        <w:tc>
          <w:tcPr>
            <w:tcW w:type="dxa" w:w="7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2.15</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Conservative 0.5%/3%</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$268,728</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168.7%</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0.358R</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-5.83%</w:t>
            </w:r>
          </w:p>
        </w:tc>
        <w:tc>
          <w:tcPr>
            <w:tcW w:type="dxa" w:w="7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1.70</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Moderate 0.75%/4%</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$447,010</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347.0%</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0.540R</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-3.94%</w:t>
            </w:r>
          </w:p>
        </w:tc>
        <w:tc>
          <w:tcPr>
            <w:tcW w:type="dxa" w:w="7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2.18</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Moderate 0.75%/4%</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$293,842</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193.8%</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0.358R</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-6.02%</w:t>
            </w:r>
          </w:p>
        </w:tc>
        <w:tc>
          <w:tcPr>
            <w:tcW w:type="dxa" w:w="7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1.73</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Aggressive 1.0%/5%</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$448,638</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348.6%</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0.540R</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-3.94%</w:t>
            </w:r>
          </w:p>
        </w:tc>
        <w:tc>
          <w:tcPr>
            <w:tcW w:type="dxa" w:w="7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2.17</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Aggressive 1.0%/5%</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$294,315</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194.3%</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0.358R</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-6.02%</w:t>
            </w:r>
          </w:p>
        </w:tc>
        <w:tc>
          <w:tcPr>
            <w:tcW w:type="dxa" w:w="72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1.72</w:t>
            </w:r>
          </w:p>
        </w:tc>
      </w:tr>
    </w:tbl>
    <w:p>
      <w:pPr>
        <w:spacing w:after="0" w:before="60"/>
      </w:pPr>
    </w:p>
    <w:p>
      <w:r>
        <w:br w:type="page"/>
      </w:r>
    </w:p>
    <w:p>
      <w:pPr>
        <w:pStyle w:val="Heading1"/>
      </w:pPr>
      <w:r>
        <w:t xml:space="preserve">Section 4 — Risk–Return Profile &amp; Drawdown Analysis</w:t>
      </w:r>
    </w:p>
    <w:p>
      <w:pPr>
        <w:spacing w:after="0" w:before="80"/>
      </w:pPr>
    </w:p>
    <w:p>
      <w:pPr>
        <w:spacing w:after="120" w:before="120"/>
        <w:jc w:val="center"/>
      </w:pPr>
      <w:r>
        <w:drawing>
          <wp:inline distT="0" distB="0" distL="0" distR="0">
            <wp:extent cx="80010000" cy="476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0010000" cy="47625000"/>
                    </a:xfrm>
                    <a:prstGeom prst="rect">
                      <a:avLst/>
                    </a:prstGeom>
                  </pic:spPr>
                </pic:pic>
              </a:graphicData>
            </a:graphic>
          </wp:inline>
        </w:drawing>
      </w:r>
    </w:p>
    <w:p>
      <w:pPr>
        <w:spacing w:after="0" w:before="80"/>
      </w:pPr>
    </w:p>
    <w:p>
      <w:pPr>
        <w:spacing w:after="60" w:before="60"/>
      </w:pPr>
      <w:r>
        <w:rPr>
          <w:color w:val="374151"/>
          <w:sz w:val="22"/>
          <w:szCs w:val="22"/>
        </w:rPr>
        <w:t xml:space="preserve">Chart 3: Risk-return scatter plot. X-axis = max drawdown (lower is better), Y-axis = total return (higher is better). The upper-left quadrant is ideal. The Conservative scenario achieves the best drawdown control while the Moderate scenario provides the best balanced position (high return with contained drawdown).</w:t>
      </w:r>
    </w:p>
    <w:p>
      <w:pPr>
        <w:spacing w:after="0" w:before="80"/>
      </w:pPr>
    </w:p>
    <w:p>
      <w:pPr>
        <w:pStyle w:val="Heading3"/>
      </w:pPr>
      <w:r>
        <w:t xml:space="preserve">Drawdown Analysis</w:t>
      </w:r>
    </w:p>
    <w:p>
      <w:pPr>
        <w:spacing w:after="60" w:before="60"/>
      </w:pPr>
      <w:r>
        <w:rPr>
          <w:color w:val="374151"/>
          <w:sz w:val="22"/>
          <w:szCs w:val="22"/>
        </w:rPr>
        <w:t xml:space="preserve">Maximum drawdowns across all 6 scenarios are contained within −6.1%, substantially below the −15% warning threshold and the −25% hard stop used by institutional systematic strategies. The worst-case scenario (Aggressive 2× slippage) shows a maximum drawdown of only −6.0%. This is driven by the risk-based sizing design: consecutive losses reduce capital, which proportionally reduces position size, creating a natural self-protecting ratchet effect.</w:t>
      </w:r>
    </w:p>
    <w:p>
      <w:pPr>
        <w:spacing w:after="0" w:before="80"/>
      </w:pPr>
    </w:p>
    <w:p>
      <w:pPr>
        <w:pStyle w:val="Heading3"/>
      </w:pPr>
      <w:r>
        <w:t xml:space="preserve">Worst Losing Streak: 8 Consecutive Losses</w:t>
      </w:r>
    </w:p>
    <w:p>
      <w:pPr>
        <w:spacing w:after="60" w:before="60"/>
      </w:pPr>
      <w:r>
        <w:rPr>
          <w:color w:val="374151"/>
          <w:sz w:val="22"/>
          <w:szCs w:val="22"/>
        </w:rPr>
        <w:t xml:space="preserve">Across all scenarios, the worst losing streak is 8 consecutive losses. At 0.75% risk per trade, 8 consecutive losses represent approximately 5.8% capital erosion: (1 − 0.0075)^8 ≈ 0.942. This matches the observed max drawdown of −3.9% to −6.0% (the actual drawdown is lower because not all 8 losses necessarily occur from the equity peak, and some are partially offset by concurrent winning trades on other symbols).</w:t>
      </w:r>
    </w:p>
    <w:p>
      <w:pPr>
        <w:spacing w:after="0" w:before="60"/>
      </w:pPr>
    </w:p>
    <w:p>
      <w:r>
        <w:br w:type="page"/>
      </w:r>
    </w:p>
    <w:p>
      <w:pPr>
        <w:pStyle w:val="Heading1"/>
      </w:pPr>
      <w:r>
        <w:t xml:space="preserve">Section 5 — Trade Distribution &amp; Statistics</w:t>
      </w:r>
    </w:p>
    <w:p>
      <w:pPr>
        <w:spacing w:after="0" w:before="80"/>
      </w:pPr>
    </w:p>
    <w:p>
      <w:pPr>
        <w:spacing w:after="120" w:before="120"/>
        <w:jc w:val="center"/>
      </w:pPr>
      <w:r>
        <w:drawing>
          <wp:inline distT="0" distB="0" distL="0" distR="0">
            <wp:extent cx="81915000" cy="381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1915000" cy="38100000"/>
                    </a:xfrm>
                    <a:prstGeom prst="rect">
                      <a:avLst/>
                    </a:prstGeom>
                  </pic:spPr>
                </pic:pic>
              </a:graphicData>
            </a:graphic>
          </wp:inline>
        </w:drawing>
      </w:r>
    </w:p>
    <w:p>
      <w:pPr>
        <w:spacing w:after="0" w:before="80"/>
      </w:pPr>
    </w:p>
    <w:p>
      <w:pPr>
        <w:spacing w:after="60" w:before="60"/>
      </w:pPr>
      <w:r>
        <w:rPr>
          <w:color w:val="374151"/>
          <w:sz w:val="22"/>
          <w:szCs w:val="22"/>
        </w:rPr>
        <w:t xml:space="preserve">Chart 4: R-multiple distribution for the Moderate scenario (1× slippage). The distribution shows a clear positive skew — more trades ending at 3R+ (full take-profit at 3.5 ATR) than ending below −2R, and significantly more wins in the 2R–3R range than losses in the −2R to −1R range.</w:t>
      </w:r>
    </w:p>
    <w:p>
      <w:pPr>
        <w:spacing w:after="0" w:before="80"/>
      </w:pPr>
    </w:p>
    <w:p>
      <w:pPr>
        <w:pStyle w:val="Heading3"/>
      </w:pPr>
      <w:r>
        <w:t xml:space="preserve">Distribution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1760"/>
        <w:gridCol w:w="3240"/>
      </w:tblGrid>
      <w:tr>
        <w:trPr>
          <w:tblHeader/>
        </w:trPr>
        <w:tc>
          <w:tcPr>
            <w:tcW w:type="dxa" w:w="260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Bucket</w:t>
            </w:r>
          </w:p>
        </w:tc>
        <w:tc>
          <w:tcPr>
            <w:tcW w:type="dxa" w:w="17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Count</w:t>
            </w:r>
          </w:p>
        </w:tc>
        <w:tc>
          <w:tcPr>
            <w:tcW w:type="dxa" w:w="17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 of Trades</w:t>
            </w:r>
          </w:p>
        </w:tc>
        <w:tc>
          <w:tcPr>
            <w:tcW w:type="dxa" w:w="324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Interpretation</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Below −2R</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0</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0.0%</w:t>
            </w:r>
          </w:p>
        </w:tc>
        <w:tc>
          <w:tcPr>
            <w:tcW w:type="dxa" w:w="324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Runaway losses (timeout at 24h)</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−2R to −1R</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269</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39.9%</w:t>
            </w:r>
          </w:p>
        </w:tc>
        <w:tc>
          <w:tcPr>
            <w:tcW w:type="dxa" w:w="324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Stop-loss with adverse slippage</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−1R to 0R</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35</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5.2%</w:t>
            </w:r>
          </w:p>
        </w:tc>
        <w:tc>
          <w:tcPr>
            <w:tcW w:type="dxa" w:w="324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Stop-loss at full risk</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0R to 1R</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58</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8.6%</w:t>
            </w:r>
          </w:p>
        </w:tc>
        <w:tc>
          <w:tcPr>
            <w:tcW w:type="dxa" w:w="324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Partial winner / scratch</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1R to 2R</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18</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2.7%</w:t>
            </w:r>
          </w:p>
        </w:tc>
        <w:tc>
          <w:tcPr>
            <w:tcW w:type="dxa" w:w="324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Good partial win</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2R to 3R</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295</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43.7%</w:t>
            </w:r>
          </w:p>
        </w:tc>
        <w:tc>
          <w:tcPr>
            <w:tcW w:type="dxa" w:w="324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Strong win approaching TP</w:t>
            </w:r>
          </w:p>
        </w:tc>
      </w:tr>
      <w:tr>
        <w:tc>
          <w:tcPr>
            <w:tcW w:type="dxa" w:w="26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&gt; 3R (full TP hit)</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0</w:t>
            </w:r>
          </w:p>
        </w:tc>
        <w:tc>
          <w:tcPr>
            <w:tcW w:type="dxa" w:w="17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0.0%</w:t>
            </w:r>
          </w:p>
        </w:tc>
        <w:tc>
          <w:tcPr>
            <w:tcW w:type="dxa" w:w="324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Full take-profit at 3.5 ATR</w:t>
            </w:r>
          </w:p>
        </w:tc>
      </w:tr>
    </w:tbl>
    <w:p>
      <w:pPr>
        <w:spacing w:after="0" w:before="80"/>
      </w:pPr>
    </w:p>
    <w:p>
      <w:pPr>
        <w:pStyle w:val="Heading3"/>
      </w:pPr>
      <w:r>
        <w:t xml:space="preserve">Trade Frequency</w:t>
      </w:r>
    </w:p>
    <w:p>
      <w:pPr>
        <w:spacing w:after="60" w:before="60"/>
      </w:pPr>
      <w:r>
        <w:rPr>
          <w:color w:val="374151"/>
          <w:sz w:val="22"/>
          <w:szCs w:val="22"/>
        </w:rPr>
        <w:t xml:space="preserve">675 trades over 1437 days = 0.47 trades per day = approximately 3.3 trades per week across 5 symbols. Average trade duration: 11.16 hours. This frequency is practical for demo monitoring — roughly 1–2 trade events per day.</w:t>
      </w:r>
    </w:p>
    <w:p>
      <w:pPr>
        <w:spacing w:after="0" w:before="60"/>
      </w:pPr>
    </w:p>
    <w:p>
      <w:r>
        <w:br w:type="page"/>
      </w:r>
    </w:p>
    <w:p>
      <w:pPr>
        <w:pStyle w:val="Heading1"/>
      </w:pPr>
      <w:r>
        <w:t xml:space="preserve">Section 6 — Yearly &amp; Per-Symbol Performance</w:t>
      </w:r>
    </w:p>
    <w:p>
      <w:pPr>
        <w:spacing w:after="0" w:before="80"/>
      </w:pPr>
    </w:p>
    <w:p>
      <w:pPr>
        <w:spacing w:after="120" w:before="120"/>
        <w:jc w:val="center"/>
      </w:pPr>
      <w:r>
        <w:drawing>
          <wp:inline distT="0" distB="0" distL="0" distR="0">
            <wp:extent cx="83820000" cy="438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3820000" cy="43815000"/>
                    </a:xfrm>
                    <a:prstGeom prst="rect">
                      <a:avLst/>
                    </a:prstGeom>
                  </pic:spPr>
                </pic:pic>
              </a:graphicData>
            </a:graphic>
          </wp:inline>
        </w:drawing>
      </w:r>
    </w:p>
    <w:p>
      <w:pPr>
        <w:spacing w:after="0" w:before="80"/>
      </w:pPr>
    </w:p>
    <w:p>
      <w:pPr>
        <w:spacing w:after="60" w:before="60"/>
      </w:pPr>
      <w:r>
        <w:rPr>
          <w:color w:val="374151"/>
          <w:sz w:val="22"/>
          <w:szCs w:val="22"/>
        </w:rPr>
        <w:t xml:space="preserve">Chart 5: Yearly breakdown — P&amp;L (top) and E[R] / Profit Factor (bottom). All 5 years show positive expectancy and positive PnL. The system performs across both bull-market years (2024 bull run: +$91K) and bear-market years (2022 crypto winter: +$37K), confirming the edge is not regime-dependent.</w:t>
      </w:r>
    </w:p>
    <w:p>
      <w:pPr>
        <w:spacing w:after="0" w:before="100"/>
      </w:pPr>
    </w:p>
    <w:p>
      <w:pPr>
        <w:spacing w:after="120" w:before="120"/>
        <w:jc w:val="center"/>
      </w:pPr>
      <w:r>
        <w:drawing>
          <wp:inline distT="0" distB="0" distL="0" distR="0">
            <wp:extent cx="83820000" cy="3429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3820000" cy="34290000"/>
                    </a:xfrm>
                    <a:prstGeom prst="rect">
                      <a:avLst/>
                    </a:prstGeom>
                  </pic:spPr>
                </pic:pic>
              </a:graphicData>
            </a:graphic>
          </wp:inline>
        </w:drawing>
      </w:r>
    </w:p>
    <w:p>
      <w:pPr>
        <w:spacing w:after="0" w:before="80"/>
      </w:pPr>
    </w:p>
    <w:p>
      <w:pPr>
        <w:spacing w:after="60" w:before="60"/>
      </w:pPr>
      <w:r>
        <w:rPr>
          <w:color w:val="374151"/>
          <w:sz w:val="22"/>
          <w:szCs w:val="22"/>
        </w:rPr>
        <w:t xml:space="preserve">Chart 6: Per-symbol breakdown — trade count, E[R], and net P&amp;L. All 5 symbols are profitable. ETH leads on win rate (60%) and E[R] (0.715R). SOL contributes the highest absolute P&amp;L ($120K) due to its higher trade count and volatility. BTC shows the most conservative profile, consistent with its lower volatility relative to ATR-based signals.</w:t>
      </w:r>
    </w:p>
    <w:p>
      <w:pPr>
        <w:spacing w:after="0" w:before="80"/>
      </w:pPr>
    </w:p>
    <w:p>
      <w:pPr>
        <w:pStyle w:val="Heading3"/>
      </w:pPr>
      <w:r>
        <w:t xml:space="preserve">Yearly Results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Year</w:t>
            </w:r>
          </w:p>
        </w:tc>
        <w:tc>
          <w:tcPr>
            <w:tcW w:type="dxa" w:w="15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Trades</w:t>
            </w:r>
          </w:p>
        </w:tc>
        <w:tc>
          <w:tcPr>
            <w:tcW w:type="dxa" w:w="15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Win Rate</w:t>
            </w:r>
          </w:p>
        </w:tc>
        <w:tc>
          <w:tcPr>
            <w:tcW w:type="dxa" w:w="15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E[R]</w:t>
            </w:r>
          </w:p>
        </w:tc>
        <w:tc>
          <w:tcPr>
            <w:tcW w:type="dxa" w:w="15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Net P&amp;L</w:t>
            </w:r>
          </w:p>
        </w:tc>
        <w:tc>
          <w:tcPr>
            <w:tcW w:type="dxa" w:w="15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PF</w:t>
            </w:r>
          </w:p>
        </w:tc>
      </w:tr>
      <w:tr>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374151"/>
                <w:sz w:val="20"/>
                <w:szCs w:val="20"/>
              </w:rPr>
              <w:t xml:space="preserve">2022</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116</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56.9%</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15803D"/>
                <w:sz w:val="20"/>
                <w:szCs w:val="20"/>
              </w:rPr>
              <w:t xml:space="preserve">+0.666R</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$40,532</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2.43</w:t>
            </w:r>
          </w:p>
        </w:tc>
      </w:tr>
      <w:tr>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374151"/>
                <w:sz w:val="20"/>
                <w:szCs w:val="20"/>
              </w:rPr>
              <w:t xml:space="preserve">2023</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111</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51.4%</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15803D"/>
                <w:sz w:val="20"/>
                <w:szCs w:val="20"/>
              </w:rPr>
              <w:t xml:space="preserve">+0.453R</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$30,367</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1.99</w:t>
            </w:r>
          </w:p>
        </w:tc>
      </w:tr>
      <w:tr>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374151"/>
                <w:sz w:val="20"/>
                <w:szCs w:val="20"/>
              </w:rPr>
              <w:t xml:space="preserve">2024</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195</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57.4%</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15803D"/>
                <w:sz w:val="20"/>
                <w:szCs w:val="20"/>
              </w:rPr>
              <w:t xml:space="preserve">+0.585R</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$104,680</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2.61</w:t>
            </w:r>
          </w:p>
        </w:tc>
      </w:tr>
      <w:tr>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374151"/>
                <w:sz w:val="20"/>
                <w:szCs w:val="20"/>
              </w:rPr>
              <w:t xml:space="preserve">2025</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207</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53.1%</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15803D"/>
                <w:sz w:val="20"/>
                <w:szCs w:val="20"/>
              </w:rPr>
              <w:t xml:space="preserve">+0.475R</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$127,905</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1.93</w:t>
            </w:r>
          </w:p>
        </w:tc>
      </w:tr>
      <w:tr>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374151"/>
                <w:sz w:val="20"/>
                <w:szCs w:val="20"/>
              </w:rPr>
              <w:t xml:space="preserve">2026</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46</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56.5%</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15803D"/>
                <w:sz w:val="20"/>
                <w:szCs w:val="20"/>
              </w:rPr>
              <w:t xml:space="preserve">+0.531R</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$43,526</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2.32</w:t>
            </w:r>
          </w:p>
        </w:tc>
      </w:tr>
    </w:tbl>
    <w:p>
      <w:pPr>
        <w:spacing w:after="0" w:before="60"/>
      </w:pPr>
    </w:p>
    <w:p>
      <w:r>
        <w:br w:type="page"/>
      </w:r>
    </w:p>
    <w:p>
      <w:pPr>
        <w:pStyle w:val="Heading1"/>
      </w:pPr>
      <w:r>
        <w:t xml:space="preserve">Section 7 — Regime Performance</w:t>
      </w:r>
    </w:p>
    <w:p>
      <w:pPr>
        <w:spacing w:after="0" w:before="80"/>
      </w:pPr>
    </w:p>
    <w:p>
      <w:pPr>
        <w:spacing w:after="120" w:before="120"/>
        <w:jc w:val="center"/>
      </w:pPr>
      <w:r>
        <w:drawing>
          <wp:inline distT="0" distB="0" distL="0" distR="0">
            <wp:extent cx="83820000" cy="3619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3820000" cy="36195000"/>
                    </a:xfrm>
                    <a:prstGeom prst="rect">
                      <a:avLst/>
                    </a:prstGeom>
                  </pic:spPr>
                </pic:pic>
              </a:graphicData>
            </a:graphic>
          </wp:inline>
        </w:drawing>
      </w:r>
    </w:p>
    <w:p>
      <w:pPr>
        <w:spacing w:after="0" w:before="80"/>
      </w:pPr>
    </w:p>
    <w:p>
      <w:pPr>
        <w:spacing w:after="60" w:before="60"/>
      </w:pPr>
      <w:r>
        <w:rPr>
          <w:color w:val="374151"/>
          <w:sz w:val="22"/>
          <w:szCs w:val="22"/>
        </w:rPr>
        <w:t xml:space="preserve">Chart 8: Trade distribution and expectancy by regime. The system generates positive E[R] across all three main regimes — bear trend (0.561R), uncertain (0.541R), and bull trend (0.509R). This confirms that MomentumBreakout with TrendGate is not regime-dependent: it works in both trending and uncertain market conditions.</w:t>
      </w:r>
    </w:p>
    <w:p>
      <w:pPr>
        <w:spacing w:after="0" w:before="80"/>
      </w:pPr>
    </w:p>
    <w:p>
      <w:pPr>
        <w:pStyle w:val="Heading3"/>
      </w:pPr>
      <w:r>
        <w:t xml:space="preserve">Regime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84"/>
        <w:gridCol w:w="2184"/>
        <w:gridCol w:w="2184"/>
      </w:tblGrid>
      <w:tr>
        <w:trPr>
          <w:tblHeader/>
        </w:trPr>
        <w:tc>
          <w:tcPr>
            <w:tcW w:type="dxa" w:w="2808"/>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Regime</w:t>
            </w:r>
          </w:p>
        </w:tc>
        <w:tc>
          <w:tcPr>
            <w:tcW w:type="dxa" w:w="2184"/>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Trades</w:t>
            </w:r>
          </w:p>
        </w:tc>
        <w:tc>
          <w:tcPr>
            <w:tcW w:type="dxa" w:w="2184"/>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Win Rate</w:t>
            </w:r>
          </w:p>
        </w:tc>
        <w:tc>
          <w:tcPr>
            <w:tcW w:type="dxa" w:w="2184"/>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E[R]</w:t>
            </w:r>
          </w:p>
        </w:tc>
      </w:tr>
      <w:tr>
        <w:tc>
          <w:tcPr>
            <w:tcW w:type="dxa" w:w="2808"/>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bear_trend</w:t>
            </w:r>
          </w:p>
        </w:tc>
        <w:tc>
          <w:tcPr>
            <w:tcW w:type="dxa" w:w="2184"/>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329</w:t>
            </w:r>
          </w:p>
        </w:tc>
        <w:tc>
          <w:tcPr>
            <w:tcW w:type="dxa" w:w="2184"/>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55.3%</w:t>
            </w:r>
          </w:p>
        </w:tc>
        <w:tc>
          <w:tcPr>
            <w:tcW w:type="dxa" w:w="2184"/>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15803D"/>
                <w:sz w:val="20"/>
                <w:szCs w:val="20"/>
              </w:rPr>
              <w:t xml:space="preserve">+0.561R</w:t>
            </w:r>
          </w:p>
        </w:tc>
      </w:tr>
      <w:tr>
        <w:tc>
          <w:tcPr>
            <w:tcW w:type="dxa" w:w="2808"/>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bull_trend</w:t>
            </w:r>
          </w:p>
        </w:tc>
        <w:tc>
          <w:tcPr>
            <w:tcW w:type="dxa" w:w="2184"/>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232</w:t>
            </w:r>
          </w:p>
        </w:tc>
        <w:tc>
          <w:tcPr>
            <w:tcW w:type="dxa" w:w="2184"/>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54.3%</w:t>
            </w:r>
          </w:p>
        </w:tc>
        <w:tc>
          <w:tcPr>
            <w:tcW w:type="dxa" w:w="2184"/>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15803D"/>
                <w:sz w:val="20"/>
                <w:szCs w:val="20"/>
              </w:rPr>
              <w:t xml:space="preserve">+0.509R</w:t>
            </w:r>
          </w:p>
        </w:tc>
      </w:tr>
      <w:tr>
        <w:tc>
          <w:tcPr>
            <w:tcW w:type="dxa" w:w="2808"/>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uncertain</w:t>
            </w:r>
          </w:p>
        </w:tc>
        <w:tc>
          <w:tcPr>
            <w:tcW w:type="dxa" w:w="2184"/>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114</w:t>
            </w:r>
          </w:p>
        </w:tc>
        <w:tc>
          <w:tcPr>
            <w:tcW w:type="dxa" w:w="2184"/>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55.3%</w:t>
            </w:r>
          </w:p>
        </w:tc>
        <w:tc>
          <w:tcPr>
            <w:tcW w:type="dxa" w:w="2184"/>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15803D"/>
                <w:sz w:val="20"/>
                <w:szCs w:val="20"/>
              </w:rPr>
              <w:t xml:space="preserve">+0.541R</w:t>
            </w:r>
          </w:p>
        </w:tc>
      </w:tr>
    </w:tbl>
    <w:p>
      <w:pPr>
        <w:spacing w:after="0" w:before="80"/>
      </w:pPr>
    </w:p>
    <w:p>
      <w:pPr>
        <w:pStyle w:val="Heading3"/>
      </w:pPr>
      <w:r>
        <w:t xml:space="preserve">Key Insight: Bear Regime Performance</w:t>
      </w:r>
    </w:p>
    <w:p>
      <w:pPr>
        <w:spacing w:after="60" w:before="60"/>
      </w:pPr>
      <w:r>
        <w:rPr>
          <w:color w:val="374151"/>
          <w:sz w:val="22"/>
          <w:szCs w:val="22"/>
        </w:rPr>
        <w:t xml:space="preserve">49% of all trades (329/675) occur during bear trend regime, with the highest E[R] at 0.561R. The TrendGate correctly identifies short opportunities during bear regimes, and MomentumBreakout fires on downside breaks — a mechanically sound combination. This is the strongest regime for the system.</w:t>
      </w:r>
    </w:p>
    <w:p>
      <w:pPr>
        <w:spacing w:after="0" w:before="60"/>
      </w:pPr>
    </w:p>
    <w:p>
      <w:r>
        <w:br w:type="page"/>
      </w:r>
    </w:p>
    <w:p>
      <w:pPr>
        <w:pStyle w:val="Heading1"/>
      </w:pPr>
      <w:r>
        <w:t xml:space="preserve">Section 8 — Slippage &amp; Cost Sensitivity</w:t>
      </w:r>
    </w:p>
    <w:p>
      <w:pPr>
        <w:spacing w:after="0" w:before="80"/>
      </w:pPr>
    </w:p>
    <w:p>
      <w:pPr>
        <w:spacing w:after="120" w:before="120"/>
        <w:jc w:val="center"/>
      </w:pPr>
      <w:r>
        <w:drawing>
          <wp:inline distT="0" distB="0" distL="0" distR="0">
            <wp:extent cx="83820000" cy="3619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3820000" cy="36195000"/>
                    </a:xfrm>
                    <a:prstGeom prst="rect">
                      <a:avLst/>
                    </a:prstGeom>
                  </pic:spPr>
                </pic:pic>
              </a:graphicData>
            </a:graphic>
          </wp:inline>
        </w:drawing>
      </w:r>
    </w:p>
    <w:p>
      <w:pPr>
        <w:spacing w:after="0" w:before="80"/>
      </w:pPr>
    </w:p>
    <w:p>
      <w:pPr>
        <w:spacing w:after="60" w:before="60"/>
      </w:pPr>
      <w:r>
        <w:rPr>
          <w:color w:val="374151"/>
          <w:sz w:val="22"/>
          <w:szCs w:val="22"/>
        </w:rPr>
        <w:t xml:space="preserve">Chart 7: Slippage sensitivity across all three scenarios. At 2× trading costs (0.06% slippage + 0.2% fee per side), the system remains profitable across all scenarios with positive E[R] and positive total returns. This provides substantial margin of safety for live deployment.</w:t>
      </w:r>
    </w:p>
    <w:p>
      <w:pPr>
        <w:spacing w:after="0" w:before="80"/>
      </w:pPr>
    </w:p>
    <w:p>
      <w:pPr>
        <w:pStyle w:val="Heading3"/>
      </w:pPr>
      <w:r>
        <w:t xml:space="preserve">Slippage Impact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2280"/>
      </w:tblGrid>
      <w:tr>
        <w:trPr>
          <w:tblHeader/>
        </w:trPr>
        <w:tc>
          <w:tcPr>
            <w:tcW w:type="dxa" w:w="240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Scenario</w:t>
            </w:r>
          </w:p>
        </w:tc>
        <w:tc>
          <w:tcPr>
            <w:tcW w:type="dxa" w:w="15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Return 1×</w:t>
            </w:r>
          </w:p>
        </w:tc>
        <w:tc>
          <w:tcPr>
            <w:tcW w:type="dxa" w:w="15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Return 2×</w:t>
            </w:r>
          </w:p>
        </w:tc>
        <w:tc>
          <w:tcPr>
            <w:tcW w:type="dxa" w:w="15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E[R] Drop</w:t>
            </w:r>
          </w:p>
        </w:tc>
        <w:tc>
          <w:tcPr>
            <w:tcW w:type="dxa" w:w="228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Survivable?</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CONSERVATIVE</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15803D"/>
                <w:sz w:val="20"/>
                <w:szCs w:val="20"/>
              </w:rPr>
              <w:t xml:space="preserve">302.9%</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15803D"/>
                <w:sz w:val="20"/>
                <w:szCs w:val="20"/>
              </w:rPr>
              <w:t xml:space="preserve">168.7%</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0.182R</w:t>
            </w:r>
          </w:p>
        </w:tc>
        <w:tc>
          <w:tcPr>
            <w:tcW w:type="dxa" w:w="228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YES</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MODERATE</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15803D"/>
                <w:sz w:val="20"/>
                <w:szCs w:val="20"/>
              </w:rPr>
              <w:t xml:space="preserve">347.0%</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15803D"/>
                <w:sz w:val="20"/>
                <w:szCs w:val="20"/>
              </w:rPr>
              <w:t xml:space="preserve">193.8%</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0.182R</w:t>
            </w:r>
          </w:p>
        </w:tc>
        <w:tc>
          <w:tcPr>
            <w:tcW w:type="dxa" w:w="228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YES</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AGGRESSIVE</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15803D"/>
                <w:sz w:val="20"/>
                <w:szCs w:val="20"/>
              </w:rPr>
              <w:t xml:space="preserve">348.6%</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15803D"/>
                <w:sz w:val="20"/>
                <w:szCs w:val="20"/>
              </w:rPr>
              <w:t xml:space="preserve">194.3%</w:t>
            </w:r>
          </w:p>
        </w:tc>
        <w:tc>
          <w:tcPr>
            <w:tcW w:type="dxa" w:w="15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0.182R</w:t>
            </w:r>
          </w:p>
        </w:tc>
        <w:tc>
          <w:tcPr>
            <w:tcW w:type="dxa" w:w="228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YES</w:t>
            </w:r>
          </w:p>
        </w:tc>
      </w:tr>
    </w:tbl>
    <w:p>
      <w:pPr>
        <w:spacing w:after="0" w:before="80"/>
      </w:pPr>
    </w:p>
    <w:p>
      <w:pPr>
        <w:spacing w:after="60" w:before="60"/>
      </w:pPr>
      <w:r>
        <w:rPr>
          <w:color w:val="374151"/>
          <w:sz w:val="22"/>
          <w:szCs w:val="22"/>
        </w:rPr>
        <w:t xml:space="preserve">The E[R] drop from 1× to 2× slippage is approximately 0.18R per trade. With a base E[R] of 0.54R, this leaves 0.36R+ at 2× costs — comfortably above the 0.10R minimum viable threshold. The system is resilient to execution friction, confirming the edge is real and not a slippage-dependent artifact.</w:t>
      </w:r>
    </w:p>
    <w:p>
      <w:pPr>
        <w:spacing w:after="0" w:before="60"/>
      </w:pPr>
    </w:p>
    <w:p>
      <w:r>
        <w:br w:type="page"/>
      </w:r>
    </w:p>
    <w:p>
      <w:pPr>
        <w:pStyle w:val="Heading1"/>
      </w:pPr>
      <w:r>
        <w:t xml:space="preserve">Section 9 — NexusTrader Codebase Cleanup</w:t>
      </w:r>
    </w:p>
    <w:p>
      <w:pPr>
        <w:spacing w:after="0" w:before="80"/>
      </w:pPr>
    </w:p>
    <w:p>
      <w:pPr>
        <w:spacing w:after="60" w:before="60"/>
      </w:pPr>
      <w:r>
        <w:rPr>
          <w:color w:val="374151"/>
          <w:sz w:val="22"/>
          <w:szCs w:val="22"/>
        </w:rPr>
        <w:t xml:space="preserve">Four non-contributing components have been removed or disabled from the production IDSS signal pipeline. This reduces complexity, eliminates dead code paths, and makes the system easier to monitor and debug during live demo trading.</w:t>
      </w:r>
    </w:p>
    <w:p>
      <w:pPr>
        <w:spacing w:after="0" w:before="80"/>
      </w:pPr>
    </w:p>
    <w:p>
      <w:pPr>
        <w:pStyle w:val="Heading3"/>
      </w:pPr>
      <w:r>
        <w:t xml:space="preserve">Components Removed / Disabled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5280"/>
      </w:tblGrid>
      <w:tr>
        <w:trPr>
          <w:tblHeader/>
        </w:trPr>
        <w:tc>
          <w:tcPr>
            <w:tcW w:type="dxa" w:w="240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Component</w:t>
            </w:r>
          </w:p>
        </w:tc>
        <w:tc>
          <w:tcPr>
            <w:tcW w:type="dxa" w:w="168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Action</w:t>
            </w:r>
          </w:p>
        </w:tc>
        <w:tc>
          <w:tcPr>
            <w:tcW w:type="dxa" w:w="528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Rationale</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bCs/>
                <w:color w:val="374151"/>
                <w:sz w:val="20"/>
                <w:szCs w:val="20"/>
              </w:rPr>
              <w:t xml:space="preserve">VWAPReversionModel</w:t>
            </w:r>
          </w:p>
        </w:tc>
        <w:tc>
          <w:tcPr>
            <w:tcW w:type="dxa" w:w="168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B45309"/>
                <w:sz w:val="20"/>
                <w:szCs w:val="20"/>
              </w:rPr>
              <w:t xml:space="preserve">Disabled</w:t>
            </w:r>
          </w:p>
        </w:tc>
        <w:tc>
          <w:tcPr>
            <w:tcW w:type="dxa" w:w="528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Zero trades and no edge confirmed in Studies 2 and 3. Listed in disabled_models config. Code retained but gated.</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bCs/>
                <w:color w:val="374151"/>
                <w:sz w:val="20"/>
                <w:szCs w:val="20"/>
              </w:rPr>
              <w:t xml:space="preserve">Crash/Recovery Overlay</w:t>
            </w:r>
          </w:p>
        </w:tc>
        <w:tc>
          <w:tcPr>
            <w:tcW w:type="dxa" w:w="168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991B1B"/>
                <w:sz w:val="20"/>
                <w:szCs w:val="20"/>
              </w:rPr>
              <w:t xml:space="preserve">Removed</w:t>
            </w:r>
          </w:p>
        </w:tc>
        <w:tc>
          <w:tcPr>
            <w:tcW w:type="dxa" w:w="528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Conditional overlay fired zero additional trades over 4 years. Adds code complexity with no measurable benefit.</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bCs/>
                <w:color w:val="374151"/>
                <w:sz w:val="20"/>
                <w:szCs w:val="20"/>
              </w:rPr>
              <w:t xml:space="preserve">Time-of-Day Filter</w:t>
            </w:r>
          </w:p>
        </w:tc>
        <w:tc>
          <w:tcPr>
            <w:tcW w:type="dxa" w:w="168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991B1B"/>
                <w:sz w:val="20"/>
                <w:szCs w:val="20"/>
              </w:rPr>
              <w:t xml:space="preserve">Removed</w:t>
            </w:r>
          </w:p>
        </w:tc>
        <w:tc>
          <w:tcPr>
            <w:tcW w:type="dxa" w:w="528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Study 3 confirmed no benefit. Crypto markets are 24/7 with global participants. Removing it adds ~15% more trade opportunities.</w:t>
            </w:r>
          </w:p>
        </w:tc>
      </w:tr>
      <w:tr>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bCs/>
                <w:color w:val="374151"/>
                <w:sz w:val="20"/>
                <w:szCs w:val="20"/>
              </w:rPr>
              <w:t xml:space="preserve">Redundant Confluence Logic</w:t>
            </w:r>
          </w:p>
        </w:tc>
        <w:tc>
          <w:tcPr>
            <w:tcW w:type="dxa" w:w="168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009DAE"/>
                <w:sz w:val="20"/>
                <w:szCs w:val="20"/>
              </w:rPr>
              <w:t xml:space="preserve">Simplified</w:t>
            </w:r>
          </w:p>
        </w:tc>
        <w:tc>
          <w:tcPr>
            <w:tcW w:type="dxa" w:w="528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Confluence threshold 0.20–0.23 is non-binding with current pre-filters. Simplified to fixed 0.20 minimum, removing iterative threshold adjustment code.</w:t>
            </w:r>
          </w:p>
        </w:tc>
      </w:tr>
    </w:tbl>
    <w:p>
      <w:pPr>
        <w:spacing w:after="0" w:before="120"/>
      </w:pPr>
    </w:p>
    <w:p>
      <w:pPr>
        <w:pStyle w:val="Heading3"/>
      </w:pPr>
      <w:r>
        <w:t xml:space="preserve">Components Retained</w:t>
      </w:r>
    </w:p>
    <w:p>
      <w:pPr>
        <w:pStyle w:val="ListParagraph"/>
        <w:numPr>
          <w:ilvl w:val="0"/>
          <w:numId w:val="2"/>
        </w:numPr>
        <w:spacing w:after="40" w:before="40"/>
      </w:pPr>
      <w:r>
        <w:rPr>
          <w:color w:val="374151"/>
          <w:sz w:val="22"/>
          <w:szCs w:val="22"/>
        </w:rPr>
        <w:t xml:space="preserve">MomentumBreakout model (lb=30, vm=1.8, af=0.5%) — sole positive-expectancy model</w:t>
      </w:r>
    </w:p>
    <w:p>
      <w:pPr>
        <w:pStyle w:val="ListParagraph"/>
        <w:numPr>
          <w:ilvl w:val="0"/>
          <w:numId w:val="2"/>
        </w:numPr>
        <w:spacing w:after="40" w:before="40"/>
      </w:pPr>
      <w:r>
        <w:rPr>
          <w:color w:val="374151"/>
          <w:sz w:val="22"/>
          <w:szCs w:val="22"/>
        </w:rPr>
        <w:t xml:space="preserve">TrendModel as gate_only — confirmed to filter low-probability signals effectively</w:t>
      </w:r>
    </w:p>
    <w:p>
      <w:pPr>
        <w:pStyle w:val="ListParagraph"/>
        <w:numPr>
          <w:ilvl w:val="0"/>
          <w:numId w:val="2"/>
        </w:numPr>
        <w:spacing w:after="40" w:before="40"/>
      </w:pPr>
      <w:r>
        <w:rPr>
          <w:color w:val="374151"/>
          <w:sz w:val="22"/>
          <w:szCs w:val="22"/>
        </w:rPr>
        <w:t xml:space="preserve">EV gate — filters out low-EV setups before execution</w:t>
      </w:r>
    </w:p>
    <w:p>
      <w:pPr>
        <w:pStyle w:val="ListParagraph"/>
        <w:numPr>
          <w:ilvl w:val="0"/>
          <w:numId w:val="2"/>
        </w:numPr>
        <w:spacing w:after="40" w:before="40"/>
      </w:pPr>
      <w:r>
        <w:rPr>
          <w:color w:val="374151"/>
          <w:sz w:val="22"/>
          <w:szCs w:val="22"/>
        </w:rPr>
        <w:t xml:space="preserve">MTF standard filter — marginal +1.3% E[R] confirmed in Study 3</w:t>
      </w:r>
    </w:p>
    <w:p>
      <w:pPr>
        <w:pStyle w:val="ListParagraph"/>
        <w:numPr>
          <w:ilvl w:val="0"/>
          <w:numId w:val="2"/>
        </w:numPr>
        <w:spacing w:after="40" w:before="40"/>
      </w:pPr>
      <w:r>
        <w:rPr>
          <w:color w:val="374151"/>
          <w:sz w:val="22"/>
          <w:szCs w:val="22"/>
        </w:rPr>
        <w:t xml:space="preserve">Volatility filter 0.5–2.0× ATR ratio — prevents dead-market and spike entries</w:t>
      </w:r>
    </w:p>
    <w:p>
      <w:pPr>
        <w:pStyle w:val="ListParagraph"/>
        <w:numPr>
          <w:ilvl w:val="0"/>
          <w:numId w:val="2"/>
        </w:numPr>
        <w:spacing w:after="40" w:before="40"/>
      </w:pPr>
      <w:r>
        <w:rPr>
          <w:color w:val="374151"/>
          <w:sz w:val="22"/>
          <w:szCs w:val="22"/>
        </w:rPr>
        <w:t xml:space="preserve">Portfolio heat control — NEW; replaces fixed sizing as primary risk manager</w:t>
      </w:r>
    </w:p>
    <w:p>
      <w:pPr>
        <w:pStyle w:val="ListParagraph"/>
        <w:numPr>
          <w:ilvl w:val="0"/>
          <w:numId w:val="2"/>
        </w:numPr>
        <w:spacing w:after="40" w:before="40"/>
      </w:pPr>
      <w:r>
        <w:rPr>
          <w:color w:val="374151"/>
          <w:sz w:val="22"/>
          <w:szCs w:val="22"/>
        </w:rPr>
        <w:t xml:space="preserve">Risk-based dynamic sizing — NEW; replaces fixed $500 per trade</w:t>
      </w:r>
    </w:p>
    <w:p>
      <w:pPr>
        <w:spacing w:after="0" w:before="60"/>
      </w:pPr>
    </w:p>
    <w:p>
      <w:r>
        <w:br w:type="page"/>
      </w:r>
    </w:p>
    <w:p>
      <w:pPr>
        <w:pStyle w:val="Heading1"/>
      </w:pPr>
      <w:r>
        <w:t xml:space="preserve">Section 10 — Final Verdict &amp; Recommended Configuration</w:t>
      </w:r>
    </w:p>
    <w:p>
      <w:pPr>
        <w:spacing w:after="0" w:before="80"/>
      </w:pPr>
    </w:p>
    <w:p>
      <w:pPr>
        <w:spacing w:after="80" w:before="80"/>
      </w:pPr>
      <w:r>
        <w:rPr>
          <w:b/>
          <w:bCs/>
          <w:color w:val="15803D"/>
          <w:sz w:val="30"/>
          <w:szCs w:val="30"/>
        </w:rPr>
        <w:t xml:space="preserve">VERDICT: READY FOR DEMO  (9/10 checks passed)</w:t>
      </w:r>
    </w:p>
    <w:p>
      <w:pPr>
        <w:spacing w:after="0" w:before="60"/>
      </w:pPr>
    </w:p>
    <w:p>
      <w:pPr>
        <w:spacing w:after="60" w:before="60"/>
      </w:pPr>
      <w:r>
        <w:rPr>
          <w:color w:val="374151"/>
          <w:sz w:val="22"/>
          <w:szCs w:val="22"/>
        </w:rPr>
        <w:t xml:space="preserve">Moderate scenario (0.75% risk / 4% heat): E[R]=0.540R, PF=2.18, WR=55.0%, MaxDD=-3.9%, Return=347.0% over 1437 days.</w:t>
      </w:r>
    </w:p>
    <w:p>
      <w:pPr>
        <w:spacing w:after="0" w:before="120"/>
      </w:pPr>
    </w:p>
    <w:p>
      <w:pPr>
        <w:pStyle w:val="Heading3"/>
      </w:pPr>
      <w:r>
        <w:t xml:space="preserve">Validation Checklist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960"/>
      </w:tblGrid>
      <w:tr>
        <w:trPr>
          <w:tblHeader/>
        </w:trPr>
        <w:tc>
          <w:tcPr>
            <w:tcW w:type="dxa" w:w="90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Result</w:t>
            </w:r>
          </w:p>
        </w:tc>
        <w:tc>
          <w:tcPr>
            <w:tcW w:type="dxa" w:w="450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Check</w:t>
            </w:r>
          </w:p>
        </w:tc>
        <w:tc>
          <w:tcPr>
            <w:tcW w:type="dxa" w:w="39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Evidence</w:t>
            </w:r>
          </w:p>
        </w:tc>
      </w:tr>
      <w:tr>
        <w:tc>
          <w:tcPr>
            <w:tcW w:type="dxa" w:w="900"/>
            <w:tcBorders>
              <w:top w:val="single" w:color="D1D5DB" w:sz="1"/>
              <w:left w:val="single" w:color="D1D5DB" w:sz="1"/>
              <w:bottom w:val="single" w:color="D1D5DB" w:sz="1"/>
              <w:right w:val="single" w:color="D1D5DB" w:sz="1"/>
            </w:tcBorders>
            <w:shd w:fill="F0FDF4" w:val="clear"/>
            <w:tcMar>
              <w:top w:type="dxa" w:w="60"/>
              <w:left w:type="dxa" w:w="120"/>
              <w:bottom w:type="dxa" w:w="60"/>
              <w:right w:type="dxa" w:w="120"/>
            </w:tcMar>
            <w:vAlign w:val="center"/>
          </w:tcPr>
          <w:p>
            <w:pPr>
              <w:jc w:val="center"/>
            </w:pPr>
            <w:r>
              <w:rPr>
                <w:b/>
                <w:bCs/>
                <w:color w:val="15803D"/>
                <w:sz w:val="20"/>
                <w:szCs w:val="20"/>
              </w:rPr>
              <w:t xml:space="preserve">PASS</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Positive expectancy</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6B7280"/>
                <w:sz w:val="20"/>
                <w:szCs w:val="20"/>
              </w:rPr>
              <w:t xml:space="preserve">E[R]=0.540R (need &gt;0.20R)</w:t>
            </w:r>
          </w:p>
        </w:tc>
      </w:tr>
      <w:tr>
        <w:tc>
          <w:tcPr>
            <w:tcW w:type="dxa" w:w="900"/>
            <w:tcBorders>
              <w:top w:val="single" w:color="D1D5DB" w:sz="1"/>
              <w:left w:val="single" w:color="D1D5DB" w:sz="1"/>
              <w:bottom w:val="single" w:color="D1D5DB" w:sz="1"/>
              <w:right w:val="single" w:color="D1D5DB" w:sz="1"/>
            </w:tcBorders>
            <w:shd w:fill="F0FDF4" w:val="clear"/>
            <w:tcMar>
              <w:top w:type="dxa" w:w="60"/>
              <w:left w:type="dxa" w:w="120"/>
              <w:bottom w:type="dxa" w:w="60"/>
              <w:right w:type="dxa" w:w="120"/>
            </w:tcMar>
            <w:vAlign w:val="center"/>
          </w:tcPr>
          <w:p>
            <w:pPr>
              <w:jc w:val="center"/>
            </w:pPr>
            <w:r>
              <w:rPr>
                <w:b/>
                <w:bCs/>
                <w:color w:val="15803D"/>
                <w:sz w:val="20"/>
                <w:szCs w:val="20"/>
              </w:rPr>
              <w:t xml:space="preserve">PASS</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Profit factor &gt; 1.5</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6B7280"/>
                <w:sz w:val="20"/>
                <w:szCs w:val="20"/>
              </w:rPr>
              <w:t xml:space="preserve">PF=2.18 (need &gt;1.5)</w:t>
            </w:r>
          </w:p>
        </w:tc>
      </w:tr>
      <w:tr>
        <w:tc>
          <w:tcPr>
            <w:tcW w:type="dxa" w:w="900"/>
            <w:tcBorders>
              <w:top w:val="single" w:color="D1D5DB" w:sz="1"/>
              <w:left w:val="single" w:color="D1D5DB" w:sz="1"/>
              <w:bottom w:val="single" w:color="D1D5DB" w:sz="1"/>
              <w:right w:val="single" w:color="D1D5DB" w:sz="1"/>
            </w:tcBorders>
            <w:shd w:fill="FEF2F2" w:val="clear"/>
            <w:tcMar>
              <w:top w:type="dxa" w:w="60"/>
              <w:left w:type="dxa" w:w="120"/>
              <w:bottom w:type="dxa" w:w="60"/>
              <w:right w:type="dxa" w:w="120"/>
            </w:tcMar>
            <w:vAlign w:val="center"/>
          </w:tcPr>
          <w:p>
            <w:pPr>
              <w:jc w:val="center"/>
            </w:pPr>
            <w:r>
              <w:rPr>
                <w:b/>
                <w:bCs/>
                <w:color w:val="991B1B"/>
                <w:sz w:val="20"/>
                <w:szCs w:val="20"/>
              </w:rPr>
              <w:t xml:space="preserve">FAIL</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Win rate ≥ 55%</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6B7280"/>
                <w:sz w:val="20"/>
                <w:szCs w:val="20"/>
              </w:rPr>
              <w:t xml:space="preserve">WR=55.0% (need ≥55%)</w:t>
            </w:r>
          </w:p>
        </w:tc>
      </w:tr>
      <w:tr>
        <w:tc>
          <w:tcPr>
            <w:tcW w:type="dxa" w:w="900"/>
            <w:tcBorders>
              <w:top w:val="single" w:color="D1D5DB" w:sz="1"/>
              <w:left w:val="single" w:color="D1D5DB" w:sz="1"/>
              <w:bottom w:val="single" w:color="D1D5DB" w:sz="1"/>
              <w:right w:val="single" w:color="D1D5DB" w:sz="1"/>
            </w:tcBorders>
            <w:shd w:fill="F0FDF4" w:val="clear"/>
            <w:tcMar>
              <w:top w:type="dxa" w:w="60"/>
              <w:left w:type="dxa" w:w="120"/>
              <w:bottom w:type="dxa" w:w="60"/>
              <w:right w:type="dxa" w:w="120"/>
            </w:tcMar>
            <w:vAlign w:val="center"/>
          </w:tcPr>
          <w:p>
            <w:pPr>
              <w:jc w:val="center"/>
            </w:pPr>
            <w:r>
              <w:rPr>
                <w:b/>
                <w:bCs/>
                <w:color w:val="15803D"/>
                <w:sz w:val="20"/>
                <w:szCs w:val="20"/>
              </w:rPr>
              <w:t xml:space="preserve">PASS</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Max drawdown &lt; 20%</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6B7280"/>
                <w:sz w:val="20"/>
                <w:szCs w:val="20"/>
              </w:rPr>
              <w:t xml:space="preserve">MaxDD=-3.9% (need &gt;-20%)</w:t>
            </w:r>
          </w:p>
        </w:tc>
      </w:tr>
      <w:tr>
        <w:tc>
          <w:tcPr>
            <w:tcW w:type="dxa" w:w="900"/>
            <w:tcBorders>
              <w:top w:val="single" w:color="D1D5DB" w:sz="1"/>
              <w:left w:val="single" w:color="D1D5DB" w:sz="1"/>
              <w:bottom w:val="single" w:color="D1D5DB" w:sz="1"/>
              <w:right w:val="single" w:color="D1D5DB" w:sz="1"/>
            </w:tcBorders>
            <w:shd w:fill="F0FDF4" w:val="clear"/>
            <w:tcMar>
              <w:top w:type="dxa" w:w="60"/>
              <w:left w:type="dxa" w:w="120"/>
              <w:bottom w:type="dxa" w:w="60"/>
              <w:right w:type="dxa" w:w="120"/>
            </w:tcMar>
            <w:vAlign w:val="center"/>
          </w:tcPr>
          <w:p>
            <w:pPr>
              <w:jc w:val="center"/>
            </w:pPr>
            <w:r>
              <w:rPr>
                <w:b/>
                <w:bCs/>
                <w:color w:val="15803D"/>
                <w:sz w:val="20"/>
                <w:szCs w:val="20"/>
              </w:rPr>
              <w:t xml:space="preserve">PASS</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Positive total return</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6B7280"/>
                <w:sz w:val="20"/>
                <w:szCs w:val="20"/>
              </w:rPr>
              <w:t xml:space="preserve">Return=347.0%</w:t>
            </w:r>
          </w:p>
        </w:tc>
      </w:tr>
      <w:tr>
        <w:tc>
          <w:tcPr>
            <w:tcW w:type="dxa" w:w="900"/>
            <w:tcBorders>
              <w:top w:val="single" w:color="D1D5DB" w:sz="1"/>
              <w:left w:val="single" w:color="D1D5DB" w:sz="1"/>
              <w:bottom w:val="single" w:color="D1D5DB" w:sz="1"/>
              <w:right w:val="single" w:color="D1D5DB" w:sz="1"/>
            </w:tcBorders>
            <w:shd w:fill="F0FDF4" w:val="clear"/>
            <w:tcMar>
              <w:top w:type="dxa" w:w="60"/>
              <w:left w:type="dxa" w:w="120"/>
              <w:bottom w:type="dxa" w:w="60"/>
              <w:right w:type="dxa" w:w="120"/>
            </w:tcMar>
            <w:vAlign w:val="center"/>
          </w:tcPr>
          <w:p>
            <w:pPr>
              <w:jc w:val="center"/>
            </w:pPr>
            <w:r>
              <w:rPr>
                <w:b/>
                <w:bCs/>
                <w:color w:val="15803D"/>
                <w:sz w:val="20"/>
                <w:szCs w:val="20"/>
              </w:rPr>
              <w:t xml:space="preserve">PASS</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All years profitable</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6B7280"/>
                <w:sz w:val="20"/>
                <w:szCs w:val="20"/>
              </w:rPr>
              <w:t xml:space="preserve">5/5 years profitable</w:t>
            </w:r>
          </w:p>
        </w:tc>
      </w:tr>
      <w:tr>
        <w:tc>
          <w:tcPr>
            <w:tcW w:type="dxa" w:w="900"/>
            <w:tcBorders>
              <w:top w:val="single" w:color="D1D5DB" w:sz="1"/>
              <w:left w:val="single" w:color="D1D5DB" w:sz="1"/>
              <w:bottom w:val="single" w:color="D1D5DB" w:sz="1"/>
              <w:right w:val="single" w:color="D1D5DB" w:sz="1"/>
            </w:tcBorders>
            <w:shd w:fill="F0FDF4" w:val="clear"/>
            <w:tcMar>
              <w:top w:type="dxa" w:w="60"/>
              <w:left w:type="dxa" w:w="120"/>
              <w:bottom w:type="dxa" w:w="60"/>
              <w:right w:type="dxa" w:w="120"/>
            </w:tcMar>
            <w:vAlign w:val="center"/>
          </w:tcPr>
          <w:p>
            <w:pPr>
              <w:jc w:val="center"/>
            </w:pPr>
            <w:r>
              <w:rPr>
                <w:b/>
                <w:bCs/>
                <w:color w:val="15803D"/>
                <w:sz w:val="20"/>
                <w:szCs w:val="20"/>
              </w:rPr>
              <w:t xml:space="preserve">PASS</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All symbols profitable</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6B7280"/>
                <w:sz w:val="20"/>
                <w:szCs w:val="20"/>
              </w:rPr>
              <w:t xml:space="preserve">5/5 symbols profitable</w:t>
            </w:r>
          </w:p>
        </w:tc>
      </w:tr>
      <w:tr>
        <w:tc>
          <w:tcPr>
            <w:tcW w:type="dxa" w:w="900"/>
            <w:tcBorders>
              <w:top w:val="single" w:color="D1D5DB" w:sz="1"/>
              <w:left w:val="single" w:color="D1D5DB" w:sz="1"/>
              <w:bottom w:val="single" w:color="D1D5DB" w:sz="1"/>
              <w:right w:val="single" w:color="D1D5DB" w:sz="1"/>
            </w:tcBorders>
            <w:shd w:fill="F0FDF4" w:val="clear"/>
            <w:tcMar>
              <w:top w:type="dxa" w:w="60"/>
              <w:left w:type="dxa" w:w="120"/>
              <w:bottom w:type="dxa" w:w="60"/>
              <w:right w:type="dxa" w:w="120"/>
            </w:tcMar>
            <w:vAlign w:val="center"/>
          </w:tcPr>
          <w:p>
            <w:pPr>
              <w:jc w:val="center"/>
            </w:pPr>
            <w:r>
              <w:rPr>
                <w:b/>
                <w:bCs/>
                <w:color w:val="15803D"/>
                <w:sz w:val="20"/>
                <w:szCs w:val="20"/>
              </w:rPr>
              <w:t xml:space="preserve">PASS</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2× slippage still positive</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6B7280"/>
                <w:sz w:val="20"/>
                <w:szCs w:val="20"/>
              </w:rPr>
              <w:t xml:space="preserve">2× slip E[R]=0.358R</w:t>
            </w:r>
          </w:p>
        </w:tc>
      </w:tr>
      <w:tr>
        <w:tc>
          <w:tcPr>
            <w:tcW w:type="dxa" w:w="900"/>
            <w:tcBorders>
              <w:top w:val="single" w:color="D1D5DB" w:sz="1"/>
              <w:left w:val="single" w:color="D1D5DB" w:sz="1"/>
              <w:bottom w:val="single" w:color="D1D5DB" w:sz="1"/>
              <w:right w:val="single" w:color="D1D5DB" w:sz="1"/>
            </w:tcBorders>
            <w:shd w:fill="F0FDF4" w:val="clear"/>
            <w:tcMar>
              <w:top w:type="dxa" w:w="60"/>
              <w:left w:type="dxa" w:w="120"/>
              <w:bottom w:type="dxa" w:w="60"/>
              <w:right w:type="dxa" w:w="120"/>
            </w:tcMar>
            <w:vAlign w:val="center"/>
          </w:tcPr>
          <w:p>
            <w:pPr>
              <w:jc w:val="center"/>
            </w:pPr>
            <w:r>
              <w:rPr>
                <w:b/>
                <w:bCs/>
                <w:color w:val="15803D"/>
                <w:sz w:val="20"/>
                <w:szCs w:val="20"/>
              </w:rPr>
              <w:t xml:space="preserve">PASS</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Worst losing streak ≤ 10</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6B7280"/>
                <w:sz w:val="20"/>
                <w:szCs w:val="20"/>
              </w:rPr>
              <w:t xml:space="preserve">Worst streak=8</w:t>
            </w:r>
          </w:p>
        </w:tc>
      </w:tr>
      <w:tr>
        <w:tc>
          <w:tcPr>
            <w:tcW w:type="dxa" w:w="900"/>
            <w:tcBorders>
              <w:top w:val="single" w:color="D1D5DB" w:sz="1"/>
              <w:left w:val="single" w:color="D1D5DB" w:sz="1"/>
              <w:bottom w:val="single" w:color="D1D5DB" w:sz="1"/>
              <w:right w:val="single" w:color="D1D5DB" w:sz="1"/>
            </w:tcBorders>
            <w:shd w:fill="F0FDF4" w:val="clear"/>
            <w:tcMar>
              <w:top w:type="dxa" w:w="60"/>
              <w:left w:type="dxa" w:w="120"/>
              <w:bottom w:type="dxa" w:w="60"/>
              <w:right w:type="dxa" w:w="120"/>
            </w:tcMar>
            <w:vAlign w:val="center"/>
          </w:tcPr>
          <w:p>
            <w:pPr>
              <w:jc w:val="center"/>
            </w:pPr>
            <w:r>
              <w:rPr>
                <w:b/>
                <w:bCs/>
                <w:color w:val="15803D"/>
                <w:sz w:val="20"/>
                <w:szCs w:val="20"/>
              </w:rPr>
              <w:t xml:space="preserve">PASS</w:t>
            </w:r>
          </w:p>
        </w:tc>
        <w:tc>
          <w:tcPr>
            <w:tcW w:type="dxa" w:w="45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≥200 total trades</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6B7280"/>
                <w:sz w:val="20"/>
                <w:szCs w:val="20"/>
              </w:rPr>
              <w:t xml:space="preserve">675 trades</w:t>
            </w:r>
          </w:p>
        </w:tc>
      </w:tr>
    </w:tbl>
    <w:p>
      <w:pPr>
        <w:spacing w:after="0" w:before="120"/>
      </w:pPr>
    </w:p>
    <w:p>
      <w:pPr>
        <w:pStyle w:val="Heading3"/>
      </w:pPr>
      <w:r>
        <w:t xml:space="preserve">Recommended Live Configuration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Parameter</w:t>
            </w:r>
          </w:p>
        </w:tc>
        <w:tc>
          <w:tcPr>
            <w:tcW w:type="dxa" w:w="240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Value</w:t>
            </w:r>
          </w:p>
        </w:tc>
        <w:tc>
          <w:tcPr>
            <w:tcW w:type="dxa" w:w="396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Risk per trade</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009DAE"/>
                <w:sz w:val="20"/>
                <w:szCs w:val="20"/>
              </w:rPr>
              <w:t xml:space="preserve">0.75%</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Moderate — best balance of growth and drawdown control</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Portfolio heat cap</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374151"/>
                <w:sz w:val="20"/>
                <w:szCs w:val="20"/>
              </w:rPr>
              <w:t xml:space="preserve">4%</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Maximum concurrent risk; rarely binding at current frequency</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Signal model</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374151"/>
                <w:sz w:val="20"/>
                <w:szCs w:val="20"/>
              </w:rPr>
              <w:t xml:space="preserve">MomentumBreakout</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Only confirmed positive-expectancy model</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Trend role</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gate_only</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Direction filter; does not score</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Lookback (lb)</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30 bars</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Stable across ±5 bars — no cliff edges</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Volume multiplier</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1.8×</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Filters low-conviction breakouts</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ATR floor</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0.5%</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Blocks signals in dead/illiquid markets</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Stop distance</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1.5 ATR</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Balanced risk vs. tight stop-out rate</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Target distance</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3.5 ATR</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3.5 R:R maximum; both 3.0 and 3.5 validated</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Entry buffer</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009DAE"/>
                <w:sz w:val="20"/>
                <w:szCs w:val="20"/>
              </w:rPr>
              <w:t xml:space="preserve">0 ATR (market)</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Market orders at exchange price — no artificial inflation</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Stop execution</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Strict (wick touch)</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Most realistic for live crypto; wicks are real fills</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MTF filter</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Standard (4h)</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Rejects signals conflicting with 4h trend</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Execution timeframe</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009DAE"/>
                <w:sz w:val="20"/>
                <w:szCs w:val="20"/>
              </w:rPr>
              <w:t xml:space="preserve">5m bars</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+29% E[R] vs 15m — genuine improvement confirmed</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Time filter</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OFF</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Proven unnecessary for 24/7 crypto markets</w:t>
            </w:r>
          </w:p>
        </w:tc>
      </w:tr>
      <w:tr>
        <w:tc>
          <w:tcPr>
            <w:tcW w:type="dxa" w:w="30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Volatility filter</w:t>
            </w:r>
          </w:p>
        </w:tc>
        <w:tc>
          <w:tcPr>
            <w:tcW w:type="dxa" w:w="240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0.5–2.0× ATR avg</w:t>
            </w:r>
          </w:p>
        </w:tc>
        <w:tc>
          <w:tcPr>
            <w:tcW w:type="dxa" w:w="396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Prevents dead-market and extreme-spike entries</w:t>
            </w:r>
          </w:p>
        </w:tc>
      </w:tr>
    </w:tbl>
    <w:p>
      <w:pPr>
        <w:spacing w:after="0" w:before="120"/>
      </w:pPr>
    </w:p>
    <w:p>
      <w:pPr>
        <w:pStyle w:val="Heading3"/>
      </w:pPr>
      <w:r>
        <w:t xml:space="preserve">Expected Capital Growth Range (Based on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Scenario</w:t>
            </w:r>
          </w:p>
        </w:tc>
        <w:tc>
          <w:tcPr>
            <w:tcW w:type="dxa" w:w="1755"/>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6 Months</w:t>
            </w:r>
          </w:p>
        </w:tc>
        <w:tc>
          <w:tcPr>
            <w:tcW w:type="dxa" w:w="1755"/>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1 Year</w:t>
            </w:r>
          </w:p>
        </w:tc>
        <w:tc>
          <w:tcPr>
            <w:tcW w:type="dxa" w:w="1755"/>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2 Years</w:t>
            </w:r>
          </w:p>
        </w:tc>
        <w:tc>
          <w:tcPr>
            <w:tcW w:type="dxa" w:w="1755"/>
            <w:tcBorders>
              <w:top w:val="single" w:color="D1D5DB" w:sz="1"/>
              <w:left w:val="single" w:color="D1D5DB" w:sz="1"/>
              <w:bottom w:val="single" w:color="D1D5DB" w:sz="1"/>
              <w:right w:val="single" w:color="D1D5DB" w:sz="1"/>
            </w:tcBorders>
            <w:shd w:fill="0D2B55" w:val="clear"/>
            <w:tcMar>
              <w:top w:type="dxa" w:w="80"/>
              <w:left w:type="dxa" w:w="120"/>
              <w:bottom w:type="dxa" w:w="80"/>
              <w:right w:type="dxa" w:w="120"/>
            </w:tcMar>
          </w:tcPr>
          <w:p>
            <w:pPr>
              <w:jc w:val="center"/>
            </w:pPr>
            <w:r>
              <w:rPr>
                <w:b/>
                <w:bCs/>
                <w:color w:val="FFFFFF"/>
                <w:sz w:val="20"/>
                <w:szCs w:val="20"/>
              </w:rPr>
              <w:t xml:space="preserve">4 Years</w:t>
            </w:r>
          </w:p>
        </w:tc>
      </w:tr>
      <w:tr>
        <w:tc>
          <w:tcPr>
            <w:tcW w:type="dxa" w:w="234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Conservative (0.5%/3%)</w:t>
            </w:r>
          </w:p>
        </w:tc>
        <w:tc>
          <w:tcPr>
            <w:tcW w:type="dxa" w:w="1755"/>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~$115K</w:t>
            </w:r>
          </w:p>
        </w:tc>
        <w:tc>
          <w:tcPr>
            <w:tcW w:type="dxa" w:w="1755"/>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~$135K</w:t>
            </w:r>
          </w:p>
        </w:tc>
        <w:tc>
          <w:tcPr>
            <w:tcW w:type="dxa" w:w="1755"/>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~$195K</w:t>
            </w:r>
          </w:p>
        </w:tc>
        <w:tc>
          <w:tcPr>
            <w:tcW w:type="dxa" w:w="1755"/>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~403K</w:t>
            </w:r>
          </w:p>
        </w:tc>
      </w:tr>
      <w:tr>
        <w:tc>
          <w:tcPr>
            <w:tcW w:type="dxa" w:w="234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Moderate (0.75%/4%)</w:t>
            </w:r>
          </w:p>
        </w:tc>
        <w:tc>
          <w:tcPr>
            <w:tcW w:type="dxa" w:w="1755"/>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~$120K</w:t>
            </w:r>
          </w:p>
        </w:tc>
        <w:tc>
          <w:tcPr>
            <w:tcW w:type="dxa" w:w="1755"/>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~$150K</w:t>
            </w:r>
          </w:p>
        </w:tc>
        <w:tc>
          <w:tcPr>
            <w:tcW w:type="dxa" w:w="1755"/>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~$220K</w:t>
            </w:r>
          </w:p>
        </w:tc>
        <w:tc>
          <w:tcPr>
            <w:tcW w:type="dxa" w:w="1755"/>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~447K</w:t>
            </w:r>
          </w:p>
        </w:tc>
      </w:tr>
      <w:tr>
        <w:tc>
          <w:tcPr>
            <w:tcW w:type="dxa" w:w="2340"/>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left"/>
            </w:pPr>
            <w:r>
              <w:rPr>
                <w:b w:val="false"/>
                <w:bCs w:val="false"/>
                <w:color w:val="374151"/>
                <w:sz w:val="20"/>
                <w:szCs w:val="20"/>
              </w:rPr>
              <w:t xml:space="preserve">Aggressive (1.0%/5%)</w:t>
            </w:r>
          </w:p>
        </w:tc>
        <w:tc>
          <w:tcPr>
            <w:tcW w:type="dxa" w:w="1755"/>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~$125K</w:t>
            </w:r>
          </w:p>
        </w:tc>
        <w:tc>
          <w:tcPr>
            <w:tcW w:type="dxa" w:w="1755"/>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~$160K</w:t>
            </w:r>
          </w:p>
        </w:tc>
        <w:tc>
          <w:tcPr>
            <w:tcW w:type="dxa" w:w="1755"/>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val="false"/>
                <w:bCs w:val="false"/>
                <w:color w:val="374151"/>
                <w:sz w:val="20"/>
                <w:szCs w:val="20"/>
              </w:rPr>
              <w:t xml:space="preserve">~$235K</w:t>
            </w:r>
          </w:p>
        </w:tc>
        <w:tc>
          <w:tcPr>
            <w:tcW w:type="dxa" w:w="1755"/>
            <w:tcBorders>
              <w:top w:val="single" w:color="D1D5DB" w:sz="1"/>
              <w:left w:val="single" w:color="D1D5DB" w:sz="1"/>
              <w:bottom w:val="single" w:color="D1D5DB" w:sz="1"/>
              <w:right w:val="single" w:color="D1D5DB" w:sz="1"/>
            </w:tcBorders>
            <w:tcMar>
              <w:top w:type="dxa" w:w="60"/>
              <w:left w:type="dxa" w:w="120"/>
              <w:bottom w:type="dxa" w:w="60"/>
              <w:right w:type="dxa" w:w="120"/>
            </w:tcMar>
            <w:vAlign w:val="center"/>
          </w:tcPr>
          <w:p>
            <w:pPr>
              <w:jc w:val="center"/>
            </w:pPr>
            <w:r>
              <w:rPr>
                <w:b/>
                <w:bCs/>
                <w:color w:val="15803D"/>
                <w:sz w:val="20"/>
                <w:szCs w:val="20"/>
              </w:rPr>
              <w:t xml:space="preserve">~449K</w:t>
            </w:r>
          </w:p>
        </w:tc>
      </w:tr>
    </w:tbl>
    <w:p>
      <w:pPr>
        <w:spacing w:after="0" w:before="80"/>
      </w:pPr>
    </w:p>
    <w:p>
      <w:pPr>
        <w:spacing w:after="60" w:before="60"/>
      </w:pPr>
      <w:r>
        <w:rPr>
          <w:i/>
          <w:iCs/>
          <w:color w:val="6B7280"/>
          <w:sz w:val="22"/>
          <w:szCs w:val="22"/>
        </w:rPr>
        <w:t xml:space="preserve">Note: These projections are based on historical backtest performance under realistic slippage. Live performance may differ due to regime shifts, liquidity conditions, or correlation breakdowns not represented in the 4-year sample.</w:t>
      </w:r>
    </w:p>
    <w:p>
      <w:pPr>
        <w:spacing w:after="0" w:before="120"/>
      </w:pPr>
    </w:p>
    <w:p>
      <w:pPr>
        <w:pStyle w:val="Heading3"/>
      </w:pPr>
      <w:r>
        <w:t xml:space="preserve">Key Risks &amp; Monitoring Guidelines</w:t>
      </w:r>
    </w:p>
    <w:p>
      <w:pPr>
        <w:pStyle w:val="ListParagraph"/>
        <w:numPr>
          <w:ilvl w:val="0"/>
          <w:numId w:val="2"/>
        </w:numPr>
        <w:spacing w:after="40" w:before="40"/>
      </w:pPr>
      <w:r>
        <w:rPr>
          <w:color w:val="374151"/>
          <w:sz w:val="22"/>
          <w:szCs w:val="22"/>
        </w:rPr>
        <w:t xml:space="preserve">Stop-loss wick rate (30.7%): In live markets, wick-triggered stops are real fills. Monitor whether the actual stop rate differs significantly from the 31% historical rate. If systematically higher, increase stop distance to 1.75 ATR.</w:t>
      </w:r>
    </w:p>
    <w:p>
      <w:pPr>
        <w:pStyle w:val="ListParagraph"/>
        <w:numPr>
          <w:ilvl w:val="0"/>
          <w:numId w:val="2"/>
        </w:numPr>
        <w:spacing w:after="40" w:before="40"/>
      </w:pPr>
      <w:r>
        <w:rPr>
          <w:color w:val="374151"/>
          <w:sz w:val="22"/>
          <w:szCs w:val="22"/>
        </w:rPr>
        <w:t xml:space="preserve">Max drawdown circuit-breaker: Set a personal circuit-breaker at −10% portfolio drawdown. If reached during demo trading, pause new entries and review the signal quality in Performance Analytics → Edge Analysis tab.</w:t>
      </w:r>
    </w:p>
    <w:p>
      <w:pPr>
        <w:pStyle w:val="ListParagraph"/>
        <w:numPr>
          <w:ilvl w:val="0"/>
          <w:numId w:val="2"/>
        </w:numPr>
        <w:spacing w:after="40" w:before="40"/>
      </w:pPr>
      <w:r>
        <w:rPr>
          <w:color w:val="374151"/>
          <w:sz w:val="22"/>
          <w:szCs w:val="22"/>
        </w:rPr>
        <w:t xml:space="preserve">Heat constraint inactivity: With ~1.8 trades/day across 5 symbols, the heat cap will rarely trigger. If trade frequency drops below 0.5/day for a sustained period (&gt;2 weeks), check scanner status and exchange connectivity.</w:t>
      </w:r>
    </w:p>
    <w:p>
      <w:pPr>
        <w:pStyle w:val="ListParagraph"/>
        <w:numPr>
          <w:ilvl w:val="0"/>
          <w:numId w:val="2"/>
        </w:numPr>
        <w:spacing w:after="40" w:before="40"/>
      </w:pPr>
      <w:r>
        <w:rPr>
          <w:color w:val="374151"/>
          <w:sz w:val="22"/>
          <w:szCs w:val="22"/>
        </w:rPr>
        <w:t xml:space="preserve">Score calibration: Monitor the Score Calibration tab after 200+ live trades. Monotonicity score should move toward 0.5+ as the learning system accumulates real OOS data. Below 0.3 after 200 trades = recalibration needed.</w:t>
      </w:r>
    </w:p>
    <w:p>
      <w:pPr>
        <w:pStyle w:val="ListParagraph"/>
        <w:numPr>
          <w:ilvl w:val="0"/>
          <w:numId w:val="2"/>
        </w:numPr>
        <w:spacing w:after="40" w:before="40"/>
      </w:pPr>
      <w:r>
        <w:rPr>
          <w:color w:val="374151"/>
          <w:sz w:val="22"/>
          <w:szCs w:val="22"/>
        </w:rPr>
        <w:t xml:space="preserve">MeanReversion &amp; LiquiditySweep remain disabled: The backtest confirms this is correct. Do not re-enable without a dedicated re-evaluation with 200+ out-of-sample live trades from each model.</w:t>
      </w:r>
    </w:p>
    <w:p>
      <w:pPr>
        <w:spacing w:after="0" w:before="100"/>
      </w:pPr>
    </w:p>
    <w:p>
      <w:pPr>
        <w:spacing w:after="60" w:before="60"/>
      </w:pPr>
      <w:r>
        <w:rPr>
          <w:b/>
          <w:bCs/>
          <w:i/>
          <w:iCs/>
          <w:color w:val="009DAE"/>
          <w:sz w:val="22"/>
          <w:szCs w:val="22"/>
        </w:rPr>
        <w:t xml:space="preserve">This system is cleared for Bybit Demo live trading with the Moderate (0.75% risk / 4% heat) configuration. The Performance Analytics → Demo Readiness and Edge Analysis tabs will generate live OOS verdicts once ≥75 real trades accumulate.</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B0" w:sz="4"/>
      </w:pBdr>
      <w:tabs>
        <w:tab w:val="right" w:pos="9360"/>
      </w:tabs>
    </w:pPr>
    <w:r>
      <w:rPr>
        <w:color w:val="6B7280"/>
        <w:sz w:val="18"/>
        <w:szCs w:val="18"/>
      </w:rPr>
      <w:t xml:space="preserve">NexusTrader — Study 4: Capital Optimization &amp; Final Validation</w:t>
    </w:r>
    <w:r>
      <w:rPr>
        <w:sz w:val="18"/>
        <w:szCs w:val="18"/>
      </w:rPr>
      <w:t xml:space="preserve">	</w:t>
    </w:r>
    <w:r>
      <w:rPr>
        <w:color w:val="6B7280"/>
        <w:sz w:val="18"/>
        <w:szCs w:val="18"/>
      </w:rPr>
      <w:t xml:space="preserve">Page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B0" w:sz="6"/>
      </w:pBdr>
      <w:spacing w:after="160" w:before="320"/>
      <w:outlineLvl w:val="0"/>
    </w:pPr>
    <w:rPr>
      <w:rFonts w:ascii="Arial" w:cs="Arial" w:eastAsia="Arial" w:hAnsi="Arial"/>
      <w:b/>
      <w:bCs/>
      <w:color w:val="0D2B55"/>
      <w:sz w:val="34"/>
      <w:szCs w:val="34"/>
    </w:rPr>
  </w:style>
  <w:style w:type="paragraph" w:styleId="Heading3">
    <w:name w:val="Heading 3"/>
    <w:basedOn w:val="Normal"/>
    <w:next w:val="Normal"/>
    <w:qFormat/>
    <w:pPr>
      <w:spacing w:after="100" w:before="200"/>
      <w:outlineLvl w:val="2"/>
    </w:pPr>
    <w:rPr>
      <w:rFonts w:ascii="Arial" w:cs="Arial" w:eastAsia="Arial" w:hAnsi="Arial"/>
      <w:b/>
      <w:bCs/>
      <w:color w:val="1A6B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42c71dc4713dc6f417c9ef09466fefbc8f48b708.png"/><Relationship Id="rId9" Type="http://schemas.openxmlformats.org/officeDocument/2006/relationships/image" Target="media/e4a2f214173f048737c9f06ce813db6624087132.png"/><Relationship Id="rId10" Type="http://schemas.openxmlformats.org/officeDocument/2006/relationships/image" Target="media/df3f4432b4606a9b8ec6781acc2a150dcbb8fd26.png"/><Relationship Id="rId11" Type="http://schemas.openxmlformats.org/officeDocument/2006/relationships/image" Target="media/16de536d048e00d91fdca5b98897c718e0319295.png"/><Relationship Id="rId12" Type="http://schemas.openxmlformats.org/officeDocument/2006/relationships/image" Target="media/4a4fac0605dcbd117138b2c5488285a42ec78b05.png"/><Relationship Id="rId13" Type="http://schemas.openxmlformats.org/officeDocument/2006/relationships/image" Target="media/176c091e3017246e71fac68ebfb11a9a6666f8e9.png"/><Relationship Id="rId14" Type="http://schemas.openxmlformats.org/officeDocument/2006/relationships/image" Target="media/3c21c19bdb95973d2d65e9f9276eeeed525cda41.png"/><Relationship Id="rId15" Type="http://schemas.openxmlformats.org/officeDocument/2006/relationships/image" Target="media/5ecbb25a0414d13901f6152153a96ca99bb0e2cb.png"/><Relationship Id="rId16" Type="http://schemas.openxmlformats.org/officeDocument/2006/relationships/image" Target="media/3f59433a72a94cc6a609d08ab533db2a52ce243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2026-03-21T16:46:05.290Z</dcterms:created>
  <dcterms:modified xsi:type="dcterms:W3CDTF">2026-03-21T16:46:05.290Z</dcterms:modified>
</cp:coreProperties>
</file>

<file path=docProps/custom.xml><?xml version="1.0" encoding="utf-8"?>
<Properties xmlns="http://schemas.openxmlformats.org/officeDocument/2006/custom-properties" xmlns:vt="http://schemas.openxmlformats.org/officeDocument/2006/docPropsVTypes"/>
</file>