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jc w:val="center"/>
      </w:pPr>
      <w:r>
        <w:rPr>
          <w:rFonts w:ascii="Arial" w:cs="Arial" w:eastAsia="Arial" w:hAnsi="Arial"/>
          <w:b/>
          <w:bCs/>
          <w:color w:val="1F4E8C"/>
          <w:sz w:val="56"/>
          <w:szCs w:val="56"/>
        </w:rPr>
        <w:t xml:space="preserve">NexusTrader</w:t>
      </w:r>
    </w:p>
    <w:p>
      <w:pPr>
        <w:jc w:val="center"/>
      </w:pPr>
      <w:r>
        <w:rPr>
          <w:rFonts w:ascii="Arial" w:cs="Arial" w:eastAsia="Arial" w:hAnsi="Arial"/>
          <w:color w:val="C86400"/>
          <w:sz w:val="36"/>
          <w:szCs w:val="36"/>
        </w:rPr>
        <w:t xml:space="preserve">Research Lab — Professional Platform</w:t>
      </w:r>
    </w:p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Session 39 Implementation Report</w:t>
      </w:r>
    </w:p>
    <w:p/>
    <w:p>
      <w:pPr>
        <w:pBdr>
          <w:bottom w:val="single" w:color="1F4E8C" w:sz="6"/>
        </w:pBdr>
        <w:spacing w:after="80" w:before="80"/>
      </w:pPr>
    </w:p>
    <w:p/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2026-03-28  ·  Branch: research/pbl-slc-optimization-matrix  ·  Commit: 4e42f50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1  Executive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Session 39 extended the NexusTrader Research Lab from a basic parameter-sweep tool into a professional in-app research platform. Four major phases were delivered in a single session, along with a critical UI layout fix that addressed an illegible parameters panel.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2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Layout Fix</w:t>
            </w:r>
          </w:p>
        </w:tc>
        <w:tc>
          <w:tcPr>
            <w:tcW w:type="dxa" w:w="61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Spinbox width 78px + centred, range label 100px, Validation panel left margin</w:t>
            </w:r>
          </w:p>
        </w:tc>
      </w:tr>
      <w:tr>
        <w:tc>
          <w:tcPr>
            <w:tcW w:type="dxa" w:w="32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61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_PeriodPanel (date pickers, presets), _AssetPanel (checkboxes, add-asset), _DataStatusPanel</w:t>
            </w:r>
          </w:p>
        </w:tc>
      </w:tr>
      <w:tr>
        <w:tc>
          <w:tcPr>
            <w:tcW w:type="dxa" w:w="32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61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DataRegistry — per-file metadata catalogue; DataManager — check/fetch pipeline</w:t>
            </w:r>
          </w:p>
        </w:tc>
      </w:tr>
      <w:tr>
        <w:tc>
          <w:tcPr>
            <w:tcW w:type="dxa" w:w="32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61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SweepEngine + BacktestRunner wired to period + asset selection</w:t>
            </w:r>
          </w:p>
        </w:tc>
      </w:tr>
      <w:tr>
        <w:tc>
          <w:tcPr>
            <w:tcW w:type="dxa" w:w="32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4</w:t>
            </w:r>
          </w:p>
        </w:tc>
        <w:tc>
          <w:tcPr>
            <w:tcW w:type="dxa" w:w="61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Pre-run validation, auto data-check on startup, background DataWorkerThread</w:t>
            </w:r>
          </w:p>
        </w:tc>
      </w:tr>
      <w:tr>
        <w:tc>
          <w:tcPr>
            <w:tcW w:type="dxa" w:w="32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5</w:t>
            </w:r>
          </w:p>
        </w:tc>
        <w:tc>
          <w:tcPr>
            <w:tcW w:type="dxa" w:w="61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 tests (13 passed, 7 correctly skipped headless Qt); full regression clean</w:t>
            </w:r>
          </w:p>
        </w:tc>
      </w:tr>
      <w:tr>
        <w:tc>
          <w:tcPr>
            <w:tcW w:type="dxa" w:w="32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Commit</w:t>
            </w:r>
          </w:p>
        </w:tc>
        <w:tc>
          <w:tcPr>
            <w:tcW w:type="dxa" w:w="61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4e42f50 — research/pbl-slc-optimization-matrix</w:t>
            </w:r>
          </w:p>
        </w:tc>
      </w:tr>
    </w:tbl>
    <w:p/>
    <w:p/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2  IS / OOS Periods — Purpose and Rationale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E8C"/>
          <w:sz w:val="24"/>
          <w:szCs w:val="24"/>
        </w:rPr>
        <w:t xml:space="preserve">2.1  What They Mean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systematic trading research, every parameter optimisation run carries the risk of overfitting: finding values that produce excellent results on the data used for searching, but that fail to generalise to new, unseen data. The standard mitigation is an In-Sample / Out-of-Sample split.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Period</w:t>
            </w:r>
          </w:p>
        </w:tc>
        <w:tc>
          <w:tcPr>
            <w:tcW w:type="dxa" w:w="65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 (In-Sample)
2022-03-22 → 2025-09-21
3.5 years</w:t>
            </w:r>
          </w:p>
        </w:tc>
        <w:tc>
          <w:tcPr>
            <w:tcW w:type="dxa" w:w="65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Training/optimisation data. The sweep engine tests all parameter combinations against this period. Results here are used to rank candidates and select the best-performing configuration. Because the algorithm searched over this data, a good IS result is necessary but not sufficient proof of edge.</w:t>
            </w:r>
          </w:p>
        </w:tc>
      </w:tr>
      <w:tr>
        <w:tc>
          <w:tcPr>
            <w:tcW w:type="dxa" w:w="28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6400"/>
                <w:sz w:val="20"/>
                <w:szCs w:val="20"/>
              </w:rPr>
              <w:t xml:space="preserve">OOS (Out-of-Sample)
2025-09-22 → 2026-03-21
6 months</w:t>
            </w:r>
          </w:p>
        </w:tc>
        <w:tc>
          <w:tcPr>
            <w:tcW w:type="dxa" w:w="65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Held-out validation data. The OOS period was NOT used during optimisation — it is a clean forward test. When a candidate is selected from the IS results and "Run OOS" is clicked, the system re-runs the exact same configuration on this period only. A strong OOS result (PF &gt;= 1.10) is strong evidence that the parameters generalise and are not overfit.</w:t>
            </w:r>
          </w:p>
        </w:tc>
      </w:tr>
    </w:tbl>
    <w:p/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E8C"/>
          <w:sz w:val="24"/>
          <w:szCs w:val="24"/>
        </w:rPr>
        <w:t xml:space="preserve">2.2  Why 3.5 Years IS / 6 Months OOS?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IS period is intentionally long — 3.5 years (2022-03-22 to 2025-09-21) covers multiple full market cycles: the 2022 crypto bear market, the 2023-2024 recovery and bull run, and the volatile 2025 period. This breadth ensures that optimised parameters must work across trending, ranging, and bearish conditions, not just one regime.</w:t>
      </w:r>
    </w:p>
    <w:p/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OOS period (6 months: 2025-09-22 to 2026-03-21) represents the most recent data — a live-like forward test at the boundary of what the model has ever seen. Using the last 6 months as OOS is deliberately conservative; it tests whether the optimised system holds up in conditions closest to the current market environment.</w:t>
      </w:r>
    </w:p>
    <w:p/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87.5% IS / 12.5% OOS ratio is a common choice in systematic research. Making OOS too large wastes training data and makes IS results noisier; making it too small fails to provide meaningful validation. The current split gives 1,745 trades IS and enough recent data to detect regime drift.</w:t>
      </w:r>
    </w:p>
    <w:p/>
    <w:p/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3  Layout Fixes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E8C"/>
          <w:sz w:val="24"/>
          <w:szCs w:val="24"/>
        </w:rPr>
        <w:t xml:space="preserve">3.1  Parameters Panel — Spinbox Clipping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Root cause: The QDoubleSpinBox was set to fixedWidth(62), which is too narrow to render '40.00' or '28.00' without clipping. Values appeared as '4C', '2E', '1C' etc.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312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312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Spinbox width</w:t>
            </w:r>
          </w:p>
        </w:tc>
        <w:tc>
          <w:tcPr>
            <w:tcW w:type="dxa" w:w="312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62px (clips '40.00')</w:t>
            </w:r>
          </w:p>
        </w:tc>
        <w:tc>
          <w:tcPr>
            <w:tcW w:type="dxa" w:w="312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78px + AlignCenter</w:t>
            </w:r>
          </w:p>
        </w:tc>
      </w:tr>
      <w:tr>
        <w:tc>
          <w:tcPr>
            <w:tcW w:type="dxa" w:w="312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 label width</w:t>
            </w:r>
          </w:p>
        </w:tc>
        <w:tc>
          <w:tcPr>
            <w:tcW w:type="dxa" w:w="312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86px (clips '[25.0-55.0]')</w:t>
            </w:r>
          </w:p>
        </w:tc>
        <w:tc>
          <w:tcPr>
            <w:tcW w:type="dxa" w:w="312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100px + AlignCenter + dim colour</w:t>
            </w:r>
          </w:p>
        </w:tc>
      </w:tr>
      <w:tr>
        <w:tc>
          <w:tcPr>
            <w:tcW w:type="dxa" w:w="312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padding</w:t>
            </w:r>
          </w:p>
        </w:tc>
        <w:tc>
          <w:tcPr>
            <w:tcW w:type="dxa" w:w="312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1px top/bottom</w:t>
            </w:r>
          </w:p>
        </w:tc>
        <w:tc>
          <w:tcPr>
            <w:tcW w:type="dxa" w:w="312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3px top/bottom, 6px left/right</w:t>
            </w:r>
          </w:p>
        </w:tc>
      </w:tr>
      <w:tr>
        <w:tc>
          <w:tcPr>
            <w:tcW w:type="dxa" w:w="312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panel min width</w:t>
            </w:r>
          </w:p>
        </w:tc>
        <w:tc>
          <w:tcPr>
            <w:tcW w:type="dxa" w:w="312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400px</w:t>
            </w:r>
          </w:p>
        </w:tc>
        <w:tc>
          <w:tcPr>
            <w:tcW w:type="dxa" w:w="312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440px; splitter initial size 450</w:t>
            </w:r>
          </w:p>
        </w:tc>
      </w:tr>
    </w:tbl>
    <w:p/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E8C"/>
          <w:sz w:val="24"/>
          <w:szCs w:val="24"/>
        </w:rPr>
        <w:t xml:space="preserve">3.2  Validation Panel — Left Margin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Root cause: The IS/OOS info text was a plain QLabel with no left indentation, causing text to sit flush against the card border. Fix: replaced with a framed QFrame containing two styled QLabels — IS period in white, OOS period in amber — with 10px left padding. The hint text moved to a separate dimmed label at 12px.</w:t>
      </w:r>
    </w:p>
    <w:p/>
    <w:p/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4  Phase 1 — Period Selector and Asset Selector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E8C"/>
          <w:sz w:val="24"/>
          <w:szCs w:val="24"/>
        </w:rPr>
        <w:t xml:space="preserve">4.1  _PeriodPanel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new _PeriodPanel widget was added to the left configuration column, immediately below the Baseline panel. It provides: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QDateEdit widgets for start and end dates with calendar popup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Quick preset buttons: 6m, 1y, 2y, 4y — each sets the start relative to the fixed end date (2026-03-21)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duration label showing 'X.X years (N,NNN days)'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Validation: shows red warning when start &gt;= end; is_valid() used to gate sweep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period_changed Signal(str, str) → wired to _on_period_changed → updates _LabState.date_start / date_end</w:t>
      </w:r>
    </w:p>
    <w:p/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E8C"/>
          <w:sz w:val="24"/>
          <w:szCs w:val="24"/>
        </w:rPr>
        <w:t xml:space="preserve">4.2  _AssetPanel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new _AssetPanel widget provides multi-asset selection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QCheckBox per supported symbol: BTC/USDT, SOL/USDT, ETH/USDT (default checked), XRP/USDT, BNB/USDT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All / Clear All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Asset workflow: text input + Validate button; calls DataManager.validate_exchange_symbol() in a background thread (threading.Thread, not QThread — avoids blocking); success adds a new checkbox and marks data must be fetched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assets_changed Signal(list) → wired to _on_assets_changed → updates _LabState.selected_symbols</w:t>
      </w:r>
    </w:p>
    <w:p/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E8C"/>
          <w:sz w:val="24"/>
          <w:szCs w:val="24"/>
        </w:rPr>
        <w:t xml:space="preserve">4.3  _DataStatusPanel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new _DataStatusPanel shows per-symbol data availability and provides the Check Data action: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4-column table: Symbol | Status (Ready / Missing TF list) | Coverage dates | Rows (30m)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Status coloured green=Ready, amber=Missing, red=Error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Data button fires DataWorkerThread in 'check'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Auto-populated 1.5 seconds after startup from cached data_registry.json (no blocking)</w:t>
      </w:r>
    </w:p>
    <w:p/>
    <w:p/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5  Phase 2 — Data Registry and Data Manager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E8C"/>
          <w:sz w:val="24"/>
          <w:szCs w:val="24"/>
        </w:rPr>
        <w:t xml:space="preserve">5.1  DataRegistry (research/engine/data_registry.py)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DataRegistry scans backtest_data/ and maintains a per-file metadata catalogue.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/ Function</w:t>
            </w:r>
          </w:p>
        </w:tc>
        <w:tc>
          <w:tcPr>
            <w:tcW w:type="dxa" w:w="68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FileRecord</w:t>
            </w:r>
          </w:p>
        </w:tc>
        <w:tc>
          <w:tcPr>
            <w:tcW w:type="dxa" w:w="68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Dataclass: symbol, timeframe, path, status, rows, size_bytes, first_date, last_date, hash, updated_at</w:t>
            </w:r>
          </w:p>
        </w:tc>
      </w:tr>
      <w:tr>
        <w:tc>
          <w:tcPr>
            <w:tcW w:type="dxa" w:w="25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SymbolRecord</w:t>
            </w:r>
          </w:p>
        </w:tc>
        <w:tc>
          <w:tcPr>
            <w:tcW w:type="dxa" w:w="68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Groups all timeframes for one symbol; required_ok() checks REQUIRED_TFS=[30m,1h,4h]</w:t>
            </w:r>
          </w:p>
        </w:tc>
      </w:tr>
      <w:tr>
        <w:tc>
          <w:tcPr>
            <w:tcW w:type="dxa" w:w="25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DataRegistry.build()</w:t>
            </w:r>
          </w:p>
        </w:tc>
        <w:tc>
          <w:tcPr>
            <w:tcW w:type="dxa" w:w="68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Scans DATA_DIR, hashes first 64KB, reads date range from parquet index; skips re-scan if hash unchanged</w:t>
            </w:r>
          </w:p>
        </w:tc>
      </w:tr>
      <w:tr>
        <w:tc>
          <w:tcPr>
            <w:tcW w:type="dxa" w:w="25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DataRegistry.save()/load()</w:t>
            </w:r>
          </w:p>
        </w:tc>
        <w:tc>
          <w:tcPr>
            <w:tcW w:type="dxa" w:w="68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 persistence to research/engine/data_registry.json; load() returns bool for cache-miss handling</w:t>
            </w:r>
          </w:p>
        </w:tc>
      </w:tr>
      <w:tr>
        <w:tc>
          <w:tcPr>
            <w:tcW w:type="dxa" w:w="25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DataRegistry.validate_period()</w:t>
            </w:r>
          </w:p>
        </w:tc>
        <w:tc>
          <w:tcPr>
            <w:tcW w:type="dxa" w:w="68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Returns list of issue strings for symbols not covering [date_start, date_end]</w:t>
            </w:r>
          </w:p>
        </w:tc>
      </w:tr>
      <w:tr>
        <w:tc>
          <w:tcPr>
            <w:tcW w:type="dxa" w:w="25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DataRegistry.summary_table()</w:t>
            </w:r>
          </w:p>
        </w:tc>
        <w:tc>
          <w:tcPr>
            <w:tcW w:type="dxa" w:w="68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Returns list[dict] for the UI status table — one row per SUPPORTED_SYMBOLS entry</w:t>
            </w:r>
          </w:p>
        </w:tc>
      </w:tr>
    </w:tbl>
    <w:p/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E8C"/>
          <w:sz w:val="24"/>
          <w:szCs w:val="24"/>
        </w:rPr>
        <w:t xml:space="preserve">5.2  DataManager (research/engine/data_manager.py)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DataManager wraps DataRegistry and adds network-level operations (exchange validation + OHLCV fetch):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check(symbols, date_start, date_end) → CheckResult dataclass with ok, ready, missing, partial,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validate_exchange_symbol(symbol) → (bool, reason) — hits Bybit REST via get_exchange(), confirms active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fetch_symbol(symbol, tfs, date_start, date_end, progress_cb) — paginated ccxt fetch_ohlcv() with 0.25s rate-limit sleep; saves parquets to DATA_DIR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add_asset(symbol) — full pipeline: validate → fetch REQUIRED_TFS → rebuild registry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methods are pure Python (no Qt imports) — safe for background threads and unit tests</w:t>
      </w:r>
    </w:p>
    <w:p/>
    <w:p/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6  Phase 3 — Engine Wiring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E8C"/>
          <w:sz w:val="24"/>
          <w:szCs w:val="24"/>
        </w:rPr>
        <w:t xml:space="preserve">6.1  SweepEngine Update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previous SweepEngine hardcoded date_start='2022-03-22' and date_end='2026-03-21' directly in _init_worker(). This made it impossible to run a sweep over a custom period or asset subset.</w:t>
      </w:r>
    </w:p>
    <w:p/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SweepEngine.__init__ now accepts: n_workers, date_start, date_end, symbols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_init_worker() signature updated to _init_worker(date_start, date_end, symbols) — compatible with Pool initargs tuple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Pool instantiated with initargs=(self.date_start, self.date_end, self.symbols) so every worker process loads data for the correct period and asset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with mp.Pool(...) replaced by explicit pool = mp.Pool(...) + try/finally pool.close()/pool.join() — follows NexusTrader ThreadPoolExecutor rule</w:t>
      </w:r>
    </w:p>
    <w:p/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E8C"/>
          <w:sz w:val="24"/>
          <w:szCs w:val="24"/>
        </w:rPr>
        <w:t xml:space="preserve">6.2  SweepWorkerThread Wiring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SweepWorkerThread._run_baseline() now creates BacktestRunner with state.date_start, state.date_end, state.selected_symbols. SweepWorkerThread._run_sweep() creates SweepEngine with the same three parameters.</w:t>
      </w:r>
    </w:p>
    <w:p/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4E8C"/>
          <w:sz w:val="24"/>
          <w:szCs w:val="24"/>
        </w:rPr>
        <w:t xml:space="preserve">6.3  Pre-Run Validation in _on_start_sweep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Before firing the sweep thread, the following checks now block execution: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Period valid: _period_panel.is_valid() (start &lt; 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Assets non-empty: selected_symbols must have at least one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least one OPTIMIZE parameter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State synced from UI panels before worker creation</w:t>
      </w:r>
    </w:p>
    <w:p/>
    <w:p/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7  Tests — test_session39_research_lab.py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20 tests written covering all Phase 1–5 areas. Environment note: Qt widget tests (10–18) require libEGL.so.1 which is unavailable in the headless test sandbox; these are marked with @_qt_only and correctly skipped.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60"/>
        <w:gridCol w:w="1600"/>
        <w:gridCol w:w="2900"/>
      </w:tblGrid>
      <w:tr>
        <w:tc>
          <w:tcPr>
            <w:tcW w:type="dxa" w:w="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29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</w:tr>
      <w:tr>
        <w:tc>
          <w:tcPr>
            <w:tcW w:type="dxa" w:w="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42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DataRegistry scan real BTC 30m</w:t>
            </w:r>
          </w:p>
        </w:tc>
        <w:tc>
          <w:tcPr>
            <w:tcW w:type="dxa" w:w="1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PASSED</w:t>
            </w:r>
          </w:p>
        </w:tc>
        <w:tc>
          <w:tcPr>
            <w:tcW w:type="dxa" w:w="29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DataRegistry</w:t>
            </w:r>
          </w:p>
        </w:tc>
      </w:tr>
      <w:tr>
        <w:tc>
          <w:tcPr>
            <w:tcW w:type="dxa" w:w="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42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DataRegistry JSON round-trip</w:t>
            </w:r>
          </w:p>
        </w:tc>
        <w:tc>
          <w:tcPr>
            <w:tcW w:type="dxa" w:w="1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PASSED</w:t>
            </w:r>
          </w:p>
        </w:tc>
        <w:tc>
          <w:tcPr>
            <w:tcW w:type="dxa" w:w="29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DataRegistry</w:t>
            </w:r>
          </w:p>
        </w:tc>
      </w:tr>
      <w:tr>
        <w:tc>
          <w:tcPr>
            <w:tcW w:type="dxa" w:w="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42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validate_period all-good</w:t>
            </w:r>
          </w:p>
        </w:tc>
        <w:tc>
          <w:tcPr>
            <w:tcW w:type="dxa" w:w="1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PASSED</w:t>
            </w:r>
          </w:p>
        </w:tc>
        <w:tc>
          <w:tcPr>
            <w:tcW w:type="dxa" w:w="29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DataRegistry</w:t>
            </w:r>
          </w:p>
        </w:tc>
      </w:tr>
      <w:tr>
        <w:tc>
          <w:tcPr>
            <w:tcW w:type="dxa" w:w="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42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validate_period missing symbol</w:t>
            </w:r>
          </w:p>
        </w:tc>
        <w:tc>
          <w:tcPr>
            <w:tcW w:type="dxa" w:w="1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PASSED</w:t>
            </w:r>
          </w:p>
        </w:tc>
        <w:tc>
          <w:tcPr>
            <w:tcW w:type="dxa" w:w="29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DataRegistry</w:t>
            </w:r>
          </w:p>
        </w:tc>
      </w:tr>
      <w:tr>
        <w:tc>
          <w:tcPr>
            <w:tcW w:type="dxa" w:w="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42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validate_period partial coverage (synthetic)</w:t>
            </w:r>
          </w:p>
        </w:tc>
        <w:tc>
          <w:tcPr>
            <w:tcW w:type="dxa" w:w="1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PASSED</w:t>
            </w:r>
          </w:p>
        </w:tc>
        <w:tc>
          <w:tcPr>
            <w:tcW w:type="dxa" w:w="29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DataRegistry</w:t>
            </w:r>
          </w:p>
        </w:tc>
      </w:tr>
      <w:tr>
        <w:tc>
          <w:tcPr>
            <w:tcW w:type="dxa" w:w="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42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summary_table shape + fields</w:t>
            </w:r>
          </w:p>
        </w:tc>
        <w:tc>
          <w:tcPr>
            <w:tcW w:type="dxa" w:w="1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PASSED</w:t>
            </w:r>
          </w:p>
        </w:tc>
        <w:tc>
          <w:tcPr>
            <w:tcW w:type="dxa" w:w="29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DataRegistry</w:t>
            </w:r>
          </w:p>
        </w:tc>
      </w:tr>
      <w:tr>
        <w:tc>
          <w:tcPr>
            <w:tcW w:type="dxa" w:w="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42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available_symbols subset</w:t>
            </w:r>
          </w:p>
        </w:tc>
        <w:tc>
          <w:tcPr>
            <w:tcW w:type="dxa" w:w="1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PASSED</w:t>
            </w:r>
          </w:p>
        </w:tc>
        <w:tc>
          <w:tcPr>
            <w:tcW w:type="dxa" w:w="29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DataRegistry</w:t>
            </w:r>
          </w:p>
        </w:tc>
      </w:tr>
      <w:tr>
        <w:tc>
          <w:tcPr>
            <w:tcW w:type="dxa" w:w="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42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DataManager.check ready symbols</w:t>
            </w:r>
          </w:p>
        </w:tc>
        <w:tc>
          <w:tcPr>
            <w:tcW w:type="dxa" w:w="1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PASSED</w:t>
            </w:r>
          </w:p>
        </w:tc>
        <w:tc>
          <w:tcPr>
            <w:tcW w:type="dxa" w:w="29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DataManager</w:t>
            </w:r>
          </w:p>
        </w:tc>
      </w:tr>
      <w:tr>
        <w:tc>
          <w:tcPr>
            <w:tcW w:type="dxa" w:w="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42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DataManager.check missing symbol</w:t>
            </w:r>
          </w:p>
        </w:tc>
        <w:tc>
          <w:tcPr>
            <w:tcW w:type="dxa" w:w="1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PASSED</w:t>
            </w:r>
          </w:p>
        </w:tc>
        <w:tc>
          <w:tcPr>
            <w:tcW w:type="dxa" w:w="29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DataManager</w:t>
            </w:r>
          </w:p>
        </w:tc>
      </w:tr>
      <w:tr>
        <w:tc>
          <w:tcPr>
            <w:tcW w:type="dxa" w:w="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42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_LabState defaults</w:t>
            </w:r>
          </w:p>
        </w:tc>
        <w:tc>
          <w:tcPr>
            <w:tcW w:type="dxa" w:w="1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6400"/>
                <w:sz w:val="18"/>
                <w:szCs w:val="18"/>
              </w:rPr>
              <w:t xml:space="preserve">SKIPPED (headless Qt)</w:t>
            </w:r>
          </w:p>
        </w:tc>
        <w:tc>
          <w:tcPr>
            <w:tcW w:type="dxa" w:w="29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_LabState</w:t>
            </w:r>
          </w:p>
        </w:tc>
      </w:tr>
      <w:tr>
        <w:tc>
          <w:tcPr>
            <w:tcW w:type="dxa" w:w="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tcW w:type="dxa" w:w="42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_LabState custom date/symbol</w:t>
            </w:r>
          </w:p>
        </w:tc>
        <w:tc>
          <w:tcPr>
            <w:tcW w:type="dxa" w:w="1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6400"/>
                <w:sz w:val="18"/>
                <w:szCs w:val="18"/>
              </w:rPr>
              <w:t xml:space="preserve">SKIPPED (headless Qt)</w:t>
            </w:r>
          </w:p>
        </w:tc>
        <w:tc>
          <w:tcPr>
            <w:tcW w:type="dxa" w:w="29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_LabState</w:t>
            </w:r>
          </w:p>
        </w:tc>
      </w:tr>
      <w:tr>
        <w:tc>
          <w:tcPr>
            <w:tcW w:type="dxa" w:w="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42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SweepEngine stores period</w:t>
            </w:r>
          </w:p>
        </w:tc>
        <w:tc>
          <w:tcPr>
            <w:tcW w:type="dxa" w:w="1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PASSED</w:t>
            </w:r>
          </w:p>
        </w:tc>
        <w:tc>
          <w:tcPr>
            <w:tcW w:type="dxa" w:w="29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SweepEngine</w:t>
            </w:r>
          </w:p>
        </w:tc>
      </w:tr>
      <w:tr>
        <w:tc>
          <w:tcPr>
            <w:tcW w:type="dxa" w:w="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13</w:t>
            </w:r>
          </w:p>
        </w:tc>
        <w:tc>
          <w:tcPr>
            <w:tcW w:type="dxa" w:w="42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_init_worker signature</w:t>
            </w:r>
          </w:p>
        </w:tc>
        <w:tc>
          <w:tcPr>
            <w:tcW w:type="dxa" w:w="1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PASSED</w:t>
            </w:r>
          </w:p>
        </w:tc>
        <w:tc>
          <w:tcPr>
            <w:tcW w:type="dxa" w:w="29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SweepEngine</w:t>
            </w:r>
          </w:p>
        </w:tc>
      </w:tr>
      <w:tr>
        <w:tc>
          <w:tcPr>
            <w:tcW w:type="dxa" w:w="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14</w:t>
            </w:r>
          </w:p>
        </w:tc>
        <w:tc>
          <w:tcPr>
            <w:tcW w:type="dxa" w:w="42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_ParamRow spinbox width &gt;= 75px</w:t>
            </w:r>
          </w:p>
        </w:tc>
        <w:tc>
          <w:tcPr>
            <w:tcW w:type="dxa" w:w="1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6400"/>
                <w:sz w:val="18"/>
                <w:szCs w:val="18"/>
              </w:rPr>
              <w:t xml:space="preserve">SKIPPED (headless Qt)</w:t>
            </w:r>
          </w:p>
        </w:tc>
        <w:tc>
          <w:tcPr>
            <w:tcW w:type="dxa" w:w="29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UI Layout</w:t>
            </w:r>
          </w:p>
        </w:tc>
      </w:tr>
      <w:tr>
        <w:tc>
          <w:tcPr>
            <w:tcW w:type="dxa" w:w="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42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_ValidationPanel IS/OOS labels</w:t>
            </w:r>
          </w:p>
        </w:tc>
        <w:tc>
          <w:tcPr>
            <w:tcW w:type="dxa" w:w="1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6400"/>
                <w:sz w:val="18"/>
                <w:szCs w:val="18"/>
              </w:rPr>
              <w:t xml:space="preserve">SKIPPED (headless Qt)</w:t>
            </w:r>
          </w:p>
        </w:tc>
        <w:tc>
          <w:tcPr>
            <w:tcW w:type="dxa" w:w="29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16</w:t>
            </w:r>
          </w:p>
        </w:tc>
        <w:tc>
          <w:tcPr>
            <w:tcW w:type="dxa" w:w="42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Baseline cache JSON structure</w:t>
            </w:r>
          </w:p>
        </w:tc>
        <w:tc>
          <w:tcPr>
            <w:tcW w:type="dxa" w:w="1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6400"/>
                <w:sz w:val="18"/>
                <w:szCs w:val="18"/>
              </w:rPr>
              <w:t xml:space="preserve">SKIPPED (headless Qt)</w:t>
            </w:r>
          </w:p>
        </w:tc>
        <w:tc>
          <w:tcPr>
            <w:tcW w:type="dxa" w:w="29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Persistence</w:t>
            </w:r>
          </w:p>
        </w:tc>
      </w:tr>
      <w:tr>
        <w:tc>
          <w:tcPr>
            <w:tcW w:type="dxa" w:w="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17</w:t>
            </w:r>
          </w:p>
        </w:tc>
        <w:tc>
          <w:tcPr>
            <w:tcW w:type="dxa" w:w="42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PeriodPanel start &lt; end validation</w:t>
            </w:r>
          </w:p>
        </w:tc>
        <w:tc>
          <w:tcPr>
            <w:tcW w:type="dxa" w:w="1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6400"/>
                <w:sz w:val="18"/>
                <w:szCs w:val="18"/>
              </w:rPr>
              <w:t xml:space="preserve">SKIPPED (headless Qt)</w:t>
            </w:r>
          </w:p>
        </w:tc>
        <w:tc>
          <w:tcPr>
            <w:tcW w:type="dxa" w:w="29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18</w:t>
            </w:r>
          </w:p>
        </w:tc>
        <w:tc>
          <w:tcPr>
            <w:tcW w:type="dxa" w:w="42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AssetPanel default symbols</w:t>
            </w:r>
          </w:p>
        </w:tc>
        <w:tc>
          <w:tcPr>
            <w:tcW w:type="dxa" w:w="1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6400"/>
                <w:sz w:val="18"/>
                <w:szCs w:val="18"/>
              </w:rPr>
              <w:t xml:space="preserve">SKIPPED (headless Qt)</w:t>
            </w:r>
          </w:p>
        </w:tc>
        <w:tc>
          <w:tcPr>
            <w:tcW w:type="dxa" w:w="29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19</w:t>
            </w:r>
          </w:p>
        </w:tc>
        <w:tc>
          <w:tcPr>
            <w:tcW w:type="dxa" w:w="42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FileRecord.covers() logic</w:t>
            </w:r>
          </w:p>
        </w:tc>
        <w:tc>
          <w:tcPr>
            <w:tcW w:type="dxa" w:w="1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PASSED</w:t>
            </w:r>
          </w:p>
        </w:tc>
        <w:tc>
          <w:tcPr>
            <w:tcW w:type="dxa" w:w="29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DataRegistry</w:t>
            </w:r>
          </w:p>
        </w:tc>
      </w:tr>
      <w:tr>
        <w:tc>
          <w:tcPr>
            <w:tcW w:type="dxa" w:w="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</w:t>
            </w:r>
          </w:p>
        </w:tc>
        <w:tc>
          <w:tcPr>
            <w:tcW w:type="dxa" w:w="42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CheckResult dataclass fields</w:t>
            </w:r>
          </w:p>
        </w:tc>
        <w:tc>
          <w:tcPr>
            <w:tcW w:type="dxa" w:w="1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PASSED</w:t>
            </w:r>
          </w:p>
        </w:tc>
        <w:tc>
          <w:tcPr>
            <w:tcW w:type="dxa" w:w="29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DataManager</w:t>
            </w:r>
          </w:p>
        </w:tc>
      </w:tr>
    </w:tbl>
    <w:p/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regression (pre-existing suite): 1,466 passed, 11 skipped, pre-existing sqlalchemy/DB errors unchanged.</w:t>
      </w:r>
    </w:p>
    <w:p/>
    <w:p/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8  Architecture Overview — Research Lab v2.0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Research Lab now follows a clean layered architecture with no cross-layer imports: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22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(Qt)</w:t>
            </w:r>
          </w:p>
        </w:tc>
        <w:tc>
          <w:tcPr>
            <w:tcW w:type="dxa" w:w="71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_PeriodPanel, _AssetPanel, _DataStatusPanel, _BaselinePanel, _ParameterPanel, _SearchPanel, _ProgressPanel, _ResultsPanel, _ValidationPanel — all in research_lab_page.py</w:t>
            </w:r>
          </w:p>
        </w:tc>
      </w:tr>
      <w:tr>
        <w:tc>
          <w:tcPr>
            <w:tcW w:type="dxa" w:w="22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Workers (QThread)</w:t>
            </w:r>
          </w:p>
        </w:tc>
        <w:tc>
          <w:tcPr>
            <w:tcW w:type="dxa" w:w="71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SweepWorkerThread (baseline/sweep), DataWorkerThread (check/fetch)</w:t>
            </w:r>
          </w:p>
        </w:tc>
      </w:tr>
      <w:tr>
        <w:tc>
          <w:tcPr>
            <w:tcW w:type="dxa" w:w="22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</w:t>
            </w:r>
          </w:p>
        </w:tc>
        <w:tc>
          <w:tcPr>
            <w:tcW w:type="dxa" w:w="71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BacktestRunner, SweepEngine — pure Python, no Qt; accept date_start/date_end/symbols</w:t>
            </w:r>
          </w:p>
        </w:tc>
      </w:tr>
      <w:tr>
        <w:tc>
          <w:tcPr>
            <w:tcW w:type="dxa" w:w="22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Layer</w:t>
            </w:r>
          </w:p>
        </w:tc>
        <w:tc>
          <w:tcPr>
            <w:tcW w:type="dxa" w:w="71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DataRegistry (catalogue), DataManager (check/fetch pipeline)</w:t>
            </w:r>
          </w:p>
        </w:tc>
      </w:tr>
      <w:tr>
        <w:tc>
          <w:tcPr>
            <w:tcW w:type="dxa" w:w="22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71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data_registry.json (metadata cache), last_baseline_result.json (baseline persistence), research/experiments/ (trial results)</w:t>
            </w:r>
          </w:p>
        </w:tc>
      </w:tr>
    </w:tbl>
    <w:p/>
    <w:p/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9  Files Changed — Commit 4e42f50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600"/>
        <w:gridCol w:w="2000"/>
      </w:tblGrid>
      <w:tr>
        <w:tc>
          <w:tcPr>
            <w:tcW w:type="dxa" w:w="57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</w:tr>
      <w:tr>
        <w:tc>
          <w:tcPr>
            <w:tcW w:type="dxa" w:w="57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gui/pages/research_lab/research_lab_page.py</w:t>
            </w:r>
          </w:p>
        </w:tc>
        <w:tc>
          <w:tcPr>
            <w:tcW w:type="dxa" w:w="1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Modified</w:t>
            </w:r>
          </w:p>
        </w:tc>
        <w:tc>
          <w:tcPr>
            <w:tcW w:type="dxa" w:w="20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+570 / -37</w:t>
            </w:r>
          </w:p>
        </w:tc>
      </w:tr>
      <w:tr>
        <w:tc>
          <w:tcPr>
            <w:tcW w:type="dxa" w:w="57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research/engine/sweep_engine.py</w:t>
            </w:r>
          </w:p>
        </w:tc>
        <w:tc>
          <w:tcPr>
            <w:tcW w:type="dxa" w:w="1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Modified</w:t>
            </w:r>
          </w:p>
        </w:tc>
        <w:tc>
          <w:tcPr>
            <w:tcW w:type="dxa" w:w="20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+25 / -12</w:t>
            </w:r>
          </w:p>
        </w:tc>
      </w:tr>
      <w:tr>
        <w:tc>
          <w:tcPr>
            <w:tcW w:type="dxa" w:w="57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340"/>
                <w:sz w:val="20"/>
                <w:szCs w:val="20"/>
              </w:rPr>
              <w:t xml:space="preserve">research/engine/data_registry.py</w:t>
            </w:r>
          </w:p>
        </w:tc>
        <w:tc>
          <w:tcPr>
            <w:tcW w:type="dxa" w:w="1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340"/>
                <w:sz w:val="20"/>
                <w:szCs w:val="20"/>
              </w:rPr>
              <w:t xml:space="preserve">Created</w:t>
            </w:r>
          </w:p>
        </w:tc>
        <w:tc>
          <w:tcPr>
            <w:tcW w:type="dxa" w:w="20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340"/>
                <w:sz w:val="20"/>
                <w:szCs w:val="20"/>
              </w:rPr>
              <w:t xml:space="preserve">+280</w:t>
            </w:r>
          </w:p>
        </w:tc>
      </w:tr>
      <w:tr>
        <w:tc>
          <w:tcPr>
            <w:tcW w:type="dxa" w:w="57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340"/>
                <w:sz w:val="20"/>
                <w:szCs w:val="20"/>
              </w:rPr>
              <w:t xml:space="preserve">research/engine/data_manager.py</w:t>
            </w:r>
          </w:p>
        </w:tc>
        <w:tc>
          <w:tcPr>
            <w:tcW w:type="dxa" w:w="1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340"/>
                <w:sz w:val="20"/>
                <w:szCs w:val="20"/>
              </w:rPr>
              <w:t xml:space="preserve">Created</w:t>
            </w:r>
          </w:p>
        </w:tc>
        <w:tc>
          <w:tcPr>
            <w:tcW w:type="dxa" w:w="20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340"/>
                <w:sz w:val="20"/>
                <w:szCs w:val="20"/>
              </w:rPr>
              <w:t xml:space="preserve">+240</w:t>
            </w:r>
          </w:p>
        </w:tc>
      </w:tr>
      <w:tr>
        <w:tc>
          <w:tcPr>
            <w:tcW w:type="dxa" w:w="57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research/engine/data_registry.json</w:t>
            </w:r>
          </w:p>
        </w:tc>
        <w:tc>
          <w:tcPr>
            <w:tcW w:type="dxa" w:w="1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 (auto)</w:t>
            </w:r>
          </w:p>
        </w:tc>
        <w:tc>
          <w:tcPr>
            <w:tcW w:type="dxa" w:w="20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~120</w:t>
            </w:r>
          </w:p>
        </w:tc>
      </w:tr>
      <w:tr>
        <w:tc>
          <w:tcPr>
            <w:tcW w:type="dxa" w:w="576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340"/>
                <w:sz w:val="20"/>
                <w:szCs w:val="20"/>
              </w:rPr>
              <w:t xml:space="preserve">tests/unit/test_session39_research_lab.py</w:t>
            </w:r>
          </w:p>
        </w:tc>
        <w:tc>
          <w:tcPr>
            <w:tcW w:type="dxa" w:w="16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340"/>
                <w:sz w:val="20"/>
                <w:szCs w:val="20"/>
              </w:rPr>
              <w:t xml:space="preserve">Created</w:t>
            </w:r>
          </w:p>
        </w:tc>
        <w:tc>
          <w:tcPr>
            <w:tcW w:type="dxa" w:w="2000"/>
            <w:tcBorders>
              <w:top w:val="single" w:color="2A4A7A" w:sz="1"/>
              <w:left w:val="single" w:color="2A4A7A" w:sz="1"/>
              <w:bottom w:val="single" w:color="2A4A7A" w:sz="1"/>
              <w:right w:val="single" w:color="2A4A7A" w:sz="1"/>
            </w:tcBorders>
            <w:shd w:fill="ED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340"/>
                <w:sz w:val="20"/>
                <w:szCs w:val="20"/>
              </w:rPr>
              <w:t xml:space="preserve">+390</w:t>
            </w:r>
          </w:p>
        </w:tc>
      </w:tr>
    </w:tbl>
    <w:p/>
    <w:p/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10  Pending — Phase 6 and 7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6 (advanced OOS) and Phase 7 (success criteria metrics) remain for a future session: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OOS runner: wire SweepWorkerThread 'oos' mode to run BacktestRunner over state.date_start + 6m OOS split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Results context: show period + asset set + fee model in each result table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 Missing Data button: wire DataWorkerThread 'fetch' mode to DataManager.fetch_symbol()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Period persistence: save/restore chosen period + assets in lab_state JSON (like baseline cache)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7 success metrics: verify OOS PF &gt;= 1.10 for top-3 IS candidates on real data</w:t>
      </w:r>
    </w:p>
    <w:p/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8C" w:sz="6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8C" w:sz="6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NexusTrader — Research Lab Session 39</w:t>
    </w:r>
    <w:r>
      <w:rPr>
        <w:rFonts w:ascii="Arial" w:cs="Arial" w:eastAsia="Arial" w:hAnsi="Arial"/>
        <w:color w:val="888888"/>
        <w:sz w:val="18"/>
        <w:szCs w:val="18"/>
      </w:rPr>
      <w:t xml:space="preserve">	2026-03-28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8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4E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2026-03-28T22:42:38.395Z</dcterms:created>
  <dcterms:modified xsi:type="dcterms:W3CDTF">2026-03-28T22:42:38.395Z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