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80" w:before="0"/>
      </w:pP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1F3864"/>
          <w:sz w:val="56"/>
          <w:szCs w:val="56"/>
        </w:rPr>
        <w:t xml:space="preserve">NexusTrader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2E75B6"/>
          <w:sz w:val="40"/>
          <w:szCs w:val="40"/>
        </w:rPr>
        <w:t xml:space="preserve">Session 43 Research Report</w:t>
      </w:r>
    </w:p>
    <w:p>
      <w:pPr>
        <w:spacing w:after="400"/>
        <w:jc w:val="center"/>
      </w:pPr>
      <w:r>
        <w:rPr>
          <w:rFonts w:ascii="Arial" w:cs="Arial" w:eastAsia="Arial" w:hAnsi="Arial"/>
          <w:color w:val="555555"/>
          <w:sz w:val="28"/>
          <w:szCs w:val="28"/>
        </w:rPr>
        <w:t xml:space="preserve">HMM Confidence Gate — Implementation &amp; Validation</w:t>
      </w:r>
    </w:p>
    <w:p>
      <w:pPr>
        <w:pBdr>
          <w:bottom w:val="single" w:color="2E75B6" w:sz="8" w:space="4"/>
        </w:pBdr>
        <w:spacing w:after="240"/>
        <w:jc w:val="center"/>
      </w:pP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v1.3 — 2026-03-28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Mode: full_system | Orchestration: research_priority</w:t>
      </w:r>
    </w:p>
    <w:p>
      <w:pPr>
        <w:spacing w:after="8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Backtest Period: 2022-03-22 to 2026-03-21 (4 years) | BTC/SOL/ETH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1. Executive Summary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 43 implements a configurable HMM confidence gate that filters TrendModel and MomentumBreakout signals on low-certainty regime bars. The primary motivation is TrendModel's structural drag: at no gate (baseline), it generates 3,518 trades (61% of total volume) at PF=0.95, capping the combined system at PF(fee)=0.9367 — below break-even.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Four thresholds were validated across the full 4-year backtest (2022-03-22 to 2026-03-21, BTC/SOL/ETH, 30m primary). The gate=0.80 configuration is the clear optimum: the first fee-profitable full_system result (PF(f)=1.0141), CAGR=44.2%, MaxDD=-24.1%, and Calmar ratio of 1.83x — an 8x improvement over the ungated baseline.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Despite the improvement, TrendModel's intrinsic quality remains below par at every gate level (WR 34-35%, PF 0.94-0.97). The gate selects higher-confidence regime bars, not higher-quality TrendModel setups. The pbl_slc standalone reference (PF(f)=1.2682, CAGR=66.4%) still outperforms the gated full_system, confirming that TrendModel remains a dilutant.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Key findings: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Gate=0.80 is the recommended threshold — only configuration with PF(f) &gt; 1.0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CAGR improves from 7.6% (no gate) to 44.2% (gate=0.80), a 5.8x increase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Max drawdown improves from -34.0% to -24.1%; Calmar from 0.22x to 1.83x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TrendModel trades reduced from 3,518 to 2,300 (-34.6%); 83,640 low-confidence bars filtered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SLC PF improves from 1.22 to 1.39 as TrendModel conflicts are removed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31 unit tests written; all pass. pbl_slc mode unaffected (routes to _run_scenario).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2. Problem Statement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2.1 Session 42 Findings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Session 42 introduced and validated the research_priority orchestration mode, which gives PBL/SLC signals precedence over Trend/MB when both fire on the same bar. Despite correctly routing conflicts, the combined full_system still underperformed the pbl_slc standalone baseline.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The root cause was identified as TrendModel volume dominance: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TrendModel: n=3,518 (61% of trades), PF=0.9499, WR=34.54% — structurally losing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MomentumBreakout: n=1,082 (19%), PF=1.0444 — marginally positive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PBL: n=232, SLC: n=901 — combined only 20% of trade count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Combined system PF(f)=0.9367: below break-even despite orchestration improvements</w:t>
      </w:r>
    </w:p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Orchestration could not fix this because 61% of trades originated from a below-1.0 PF model. A model quality control mechanism was needed.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2.2 Hypothesis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TrendModel uses HMM regime labels to time entries. The HMM posterior probability (confidence) reflects how certain the model is about the current regime. Low-confidence bars are 'blurry' regime transitions where TrendModel entries are most likely to fail. Filtering these out should improve signal quality without modifying TrendModel's core logic.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3. Architecture — HMM Confidence Gate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3.1 Existing HMM Confidence Infrastructure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HMMRegimeClassifier already computes a confidence score on every classification call. The score is the maximum posterior probability across all regime states, penalised by 0.75 when the top-2 state probabilities are within 0.15 of each other (ambiguous regime). This value was captured in _run_unified_scenario() but not used for filtering.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Line 936 of backtest_runner.py (before Session 43): hmm_regime, hmm_conf, hmm_probs = self._hmm[sym].classify(df_window). The hmm_conf was computed and immediately discarded.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3.2 Gate Implementation</w:t>
      </w:r>
    </w:p>
    <w:p>
      <w:pPr>
        <w:spacing w:after="6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gate is implemented as a pre-filter inside _run_unified_scenario() at the HMM classification block:</w:t>
      </w:r>
    </w:p>
    <w:p>
      <w:pPr>
        <w:shd w:fill="F5F5F5" w:val="clear"/>
        <w:spacing w:after="100" w:before="60"/>
      </w:pPr>
      <w:r>
        <w:rPr>
          <w:rFonts w:ascii="Courier New" w:cs="Courier New" w:eastAsia="Courier New" w:hAnsi="Courier New"/>
          <w:color w:val="1F3864"/>
          <w:sz w:val="18"/>
          <w:szCs w:val="18"/>
        </w:rPr>
        <w:t xml:space="preserve">if _conf_gate &gt; 0.0 and hmm_conf &lt; _conf_gate:
    rejected_confidence += 1
elif hmm_regime not in ('crisis', 'liquidation_cascade'):
    # generate HMM-based signals normally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Gate constant: HMM_CONFIDENCE_GATE_OFF = 0.0 (disabled state)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Semantics: &gt;= threshold is allowed (at-threshold bars fire)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 signal objects created for blocked bars — correct architectural level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Crisis/liquidation_cascade regime block is orthogonal and preserved via elif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_conf_gate &gt; 0.0 short-circuits when gate is off — zero performance cost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3.3 New Result Metrics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rejected_confidence: integer count of symbol-bar instances blocked by gate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hmm_confidence_min: gate threshold stored in result dict for audit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3.4 Scope Isolation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gate exclusively affects _run_unified_scenario(). The pbl_slc mode routes to _run_scenario() and is completely unaffected. No changes were made to PBL, SLC, or any research-mode logic. The existing crisis/liquidation_cascade regime blocks are preserved and independent.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3.5 SweepEngine Integration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SweepEngine.__init__() accepts hmm_confidence_min and passes it as the 8th element of Pool initargs to _init_worker(). Each worker process initialises its own BacktestRunner with the correct threshold. The Research Lab UI exposes the four tested values via a dropdown: Off, 0.60, 0.70, 0.80.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4. Validation Results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4.1 Main Results Table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runs: full_system mode, research_priority orchestration, 4-year period (2022-03-22 to 2026-03-21), BTC/SOL/ETH, 30m primary. PF(0-fee) = zero transaction cost; PF(fees) = 0.04%/side maker fee.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30"/>
        <w:gridCol w:w="850"/>
        <w:gridCol w:w="850"/>
        <w:gridCol w:w="860"/>
        <w:gridCol w:w="860"/>
        <w:gridCol w:w="860"/>
        <w:gridCol w:w="1100"/>
        <w:gridCol w:w="1000"/>
        <w:gridCol w:w="105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 Gate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n_trades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(0-fee)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(fees)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DD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n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PF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Rej Bars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(off)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5,733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1.0158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0.9367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-34.0%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3,518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0.9499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5,253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1.0582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0.9719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-35.3%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3,149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0.9643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47,493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4,803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1.0522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0.9743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-30.8%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0.79x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2,680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0.9405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68,094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4,416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1.0970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1.0141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-24.1%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1.83x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2,300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0.9711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83,640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pbl_slc ref</w:t>
            </w:r>
          </w:p>
        </w:tc>
        <w:tc>
          <w:tcPr>
            <w:tcW w:type="dxa" w:w="73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1,745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1.3708</w:t>
            </w:r>
          </w:p>
        </w:tc>
        <w:tc>
          <w:tcPr>
            <w:tcW w:type="dxa" w:w="8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1.2682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66.4%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-16.4%</w:t>
            </w:r>
          </w:p>
        </w:tc>
        <w:tc>
          <w:tcPr>
            <w:tcW w:type="dxa" w:w="8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4.04x</w:t>
            </w:r>
          </w:p>
        </w:tc>
        <w:tc>
          <w:tcPr>
            <w:tcW w:type="dxa" w:w="11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  <w:tc>
          <w:tcPr>
            <w:tcW w:type="dxa" w:w="10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N/A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Green = recommended | Yellow = marginal improvement | Red = avoid | Blue = standalone reference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4.2 Per-Model Performance Breakdown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PF cells coloured: Green &gt;= 1.20 | Yellow &gt;= 1.00 | Red &lt; 1.00.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900"/>
        <w:gridCol w:w="980"/>
        <w:gridCol w:w="900"/>
        <w:gridCol w:w="980"/>
        <w:gridCol w:w="900"/>
        <w:gridCol w:w="980"/>
        <w:gridCol w:w="1110"/>
        <w:gridCol w:w="1210"/>
      </w:tblGrid>
      <w:tr>
        <w:trPr>
          <w:tblHeader/>
        </w:trP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Conf Gate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PBL n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PBL PF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SLC n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SLC PF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 n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MB PF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n</w:t>
            </w:r>
          </w:p>
        </w:tc>
        <w:tc>
          <w:tcPr>
            <w:tcW w:type="dxa" w:w="12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PF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(off)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232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0.8288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901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1.2181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1082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1.0444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3518</w:t>
            </w:r>
          </w:p>
        </w:tc>
        <w:tc>
          <w:tcPr>
            <w:tcW w:type="dxa" w:w="12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0.9499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271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0.9423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938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1.3433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895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1.0235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3149</w:t>
            </w:r>
          </w:p>
        </w:tc>
        <w:tc>
          <w:tcPr>
            <w:tcW w:type="dxa" w:w="12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0.9643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298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0.9395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950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1.3225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875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1.0449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2680</w:t>
            </w:r>
          </w:p>
        </w:tc>
        <w:tc>
          <w:tcPr>
            <w:tcW w:type="dxa" w:w="12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0.9405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324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0.9874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967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1.3948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825</w:t>
            </w:r>
          </w:p>
        </w:tc>
        <w:tc>
          <w:tcPr>
            <w:tcW w:type="dxa" w:w="9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1.0387</w:t>
            </w:r>
          </w:p>
        </w:tc>
        <w:tc>
          <w:tcPr>
            <w:tcW w:type="dxa" w:w="11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2300</w:t>
            </w:r>
          </w:p>
        </w:tc>
        <w:tc>
          <w:tcPr>
            <w:tcW w:type="dxa" w:w="121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0.9711</w:t>
            </w:r>
          </w:p>
        </w:tc>
      </w:tr>
    </w:tbl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4.3 Key Observations from Per-Model Breakdown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SLC PF improves monotonically as gate rises: 1.2181 → 1.3433 → 1.3225 → 1.3948. Under research_priority, TrendModel blocked SLC signals in conflicts; gating TrendModel frees more SLC capacity.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PBL PF also improves: 0.8288 → 0.9874 at gate=0.80. PBL trade count increases from 232 to 324. Same mechanism: fewer TrendModel bars means fewer conflicts where PBL loses priority.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MB PF is stable (~1.04) across all gates. MB uses the same HMM path but its entries are less sensitive to regime blur.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TrendModel PF stays in 0.94–0.97 range at all thresholds. Filtering low-confidence bars improves the selection pool, but TrendModel's win rate (34-35%) never recovers above 40%.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5. TrendModel Reduction Analysis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5.1 Threshold vs Reduction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400"/>
        <w:gridCol w:w="1760"/>
        <w:gridCol w:w="1800"/>
        <w:gridCol w:w="200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n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Reduction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PF (0-fee)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Trend WR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Bars Rejected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(off)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3,518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0.9499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34.54%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3,149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-369 (10.5%)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0.9643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35.03%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47,493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2,680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-838 (23.8%)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0.9405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34.37%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68,094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2,300</w:t>
            </w:r>
          </w:p>
        </w:tc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-1,218 (34.6%)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0.9711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35.48%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83,640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At gate=0.80, 83,640 symbol-bar instances are rejected — bars where the HMM posterior is below 80%. This represents approximately 15% of all classification calls being filtered. TrendModel participation falls from 3,518 to 2,300 trades, a 34.6% reduction.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non-linear reduction rate (10.5% at 0.60, 23.8% at 0.70, 34.6% at 0.80) reflects the HMM confidence distribution: the majority of confident classifications cluster above 0.80, with a long left tail of ambiguous bars that the gate progressively excludes.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5.2 Why TrendModel Win Rate Does Not Recover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gate filters by HMM regime certainty, not by TrendModel entry quality. A highly confident bull_trend regime identification still allows TrendModel to enter on any candle within that regime — including candles with weak price momentum, poor R:R structure, or adverse spread. The model's core entry criteria (ADX threshold, EMA alignment) remain unchanged. This explains why WR stabilises at 34-35% regardless of threshold.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Implication: improving TrendModel below the gate=0.80 floor requires changes to the model's own entry logic — stricter momentum requirements, tighter R:R gates, or higher ADX minimums — not further confidence filtering.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6. Risk-Adjusted Performance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6.1 CAGR, MaxDD, and Calmar Ratio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200"/>
        <w:gridCol w:w="1200"/>
        <w:gridCol w:w="1200"/>
        <w:gridCol w:w="2160"/>
      </w:tblGrid>
      <w:tr>
        <w:trPr>
          <w:tblHeader/>
        </w:trP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Gate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(0-fee)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PF (fees)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CAGR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Max DD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Calmar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0.00 (off)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1.0158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0.9367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7.6%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-34.0%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0.22x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Baseline — fee-loss, avoid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0.60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1.0582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0.9719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26.5%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-35.3%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0.75x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Marginal — +19pt CAGR vs off, fee-loss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1.0522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0.9743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24.3%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-30.8%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0.79x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Marginal — better MaxDD vs 0.60, fee-loss</w:t>
            </w:r>
          </w:p>
        </w:tc>
      </w:tr>
      <w:tr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0.80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1.0970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1.0141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44.2%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-24.1%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1.83x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2EFD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RECOMMENDED — fee-profitable, best Calmar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Calmar ratio (CAGR / |MaxDD|) is the primary risk-adjusted metric. Gate=0.80 achieves a Calmar of 1.83x — compared to 0.22x at no gate. This 8x improvement results from both a higher CAGR (44.2% vs 7.6%) and a smaller drawdown (-24.1% vs -34.0%).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MaxDD at gate=0.60 (-35.3%) is slightly worse than the no-gate baseline (-34.0%). This is consistent with the 0.60 threshold being too permissive to substantially filter TrendModel's losing trades, while the reduced trade count slightly shifts the drawdown path.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pbl_slc standalone reference (Calmar = 66.4% / 16.4% = 4.04x) still represents the upper bound, confirming that TrendModel continues to be a return-dilutant even at gate=0.80.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7. Decision Framework — TrendModel Viability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7.1 Model Assessment at Gate=0.80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Win Rate: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35.48% (below the 40% minimum advisory threshold)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Profit Factor: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0.9711 zero-fee; implied fee-adjusted ~0.93 (net loser)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Trade Count: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2,300 — still 52% of total trade volume at gate=0.80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at 0.80: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Largest single contributor; negative PF drags combined system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7.2 Verdict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TrendModel at gate=0.80 is marginal-negative: WR=35.5%, PF=0.97. It is not yet viable as a standalone model. Its continued inclusion in the full_system is justified only because (1) the combined system at gate=0.80 clears the PF&gt;1.0 fee-adjusted bar for the first time, and (2) removing it entirely is a breaking change excluded by the Session 43 hard constraints.</w:t>
      </w: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The gate=0.80 configuration is the production recommendation. It provides the best available balance: fee-profitable, substantially better Calmar than baseline, and preserves all model code for future reactivation decisions.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7.3 Recommended Next Steps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Set hmm_confidence_min=0.80 as the default for full_system mode in the Research Lab UI. This is a backtest-only configuration parameter; no changes to production config.yaml are required.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After 50+ live demo trades: compare TrendModel live WR against its backtest WR (34-35%). If live WR &lt; 35% or live PF &lt; 0.95, archive TrendModel using the disabled_models config gate.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Investigate TrendModel entry criteria: ADX minimum (currently 31.0 in config), entry candle momentum requirements, and R:R gate. A higher ADX minimum (e.g., 35-40) may substantially improve WR independent of the confidence gate.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Consider testing gate=0.85 or 0.90 in a future session. The current results show a convex improvement curve; diminishing returns likely appear beyond 0.85 as the sample pool becomes too sparse for statistical reliability.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The pbl_slc standalone mode (PF(f)=1.2682, CAGR=66.4%) remains the strongest configuration. If TrendModel fails the 50-trade live review, consider running pbl_slc as the primary research mode.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8. Implementation Summary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8.1 Files Modified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research/engine/backtest_runner.py — HMM_CONFIDENCE_GATE_OFF constant, hmm_confidence_min parameter, pre-filter logic, result dict fields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research/engine/sweep_engine.py — hmm_confidence_min in _init_worker() and SweepEngine.__init__(); Pool initargs updated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gui/pages/research_lab/research_lab_page.py — _LabState dataclass, HMM Conf Gate dropdown, get_state() and _run_baseline()/_run_sweep() wiring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8.2 Files Created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tests/unit/test_session43_hmm_confidence_gate.py — 31 unit tests, all passing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research/engine/sess43_conf60.json — conf=0.60 full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research/engine/sess43_conf70.json — conf=0.70 full results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research/engine/sess43_conf80.json — conf=0.80 full results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8.3 Architecture Constraints Respected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pbl_slc mode is completely unaffected — routes to _run_scenario(), never touches _run_unified_scenario()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No changes to PBL, SLC, TrendModel, or MomentumBreakout model code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Gate is a pure pre-filter — no new engine classes, no second simulation path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HMM_CONFIDENCE_GATE_OFF = 0.0 preserves exact prior behavior when gate is off</w:t>
      </w:r>
    </w:p>
    <w:p>
      <w:pPr>
        <w:pStyle w:val="ListParagraph"/>
        <w:numPr>
          <w:ilvl w:val="0"/>
          <w:numId w:val="2"/>
        </w:numPr>
        <w:spacing w:after="20" w:before="20"/>
      </w:pPr>
      <w:r>
        <w:rPr>
          <w:rFonts w:ascii="Arial" w:cs="Arial" w:eastAsia="Arial" w:hAnsi="Arial"/>
          <w:sz w:val="20"/>
          <w:szCs w:val="20"/>
        </w:rPr>
        <w:t xml:space="preserve">Gate is deterministic: same inputs always produce same output</w:t>
      </w:r>
    </w:p>
    <w:p>
      <w:pPr>
        <w:spacing w:after="80" w:before="0"/>
      </w:pP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9. Unit Test Coverage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600"/>
        <w:gridCol w:w="2160"/>
      </w:tblGrid>
      <w:tr>
        <w:trPr>
          <w:tblHeader/>
        </w:trP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Class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Tests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TestConfidenceGateConstant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HMM_CONFIDENCE_GATE_OFF constant = 0.0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TestBacktestRunnerConfGate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Constructor param, default, storage, independence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5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TestPblSlcParityWithConfGate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never affects pbl_slc mode routing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TestConfGateLogic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 fires below threshold, passes at/above, crisis blocks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9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TestConfGateOff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Gate=0.0 never fires — preserves prior behavior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TestSweepEngineConfGate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SweepEngine stores and passes gate to Pool initargs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TestResultDictConfGate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Result dict contains rejected_confidence + hmm_confidence_min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TestNoSecondEngineConfGate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 second engine class; single _run_* entry point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18"/>
                <w:szCs w:val="18"/>
              </w:rPr>
              <w:t xml:space="preserve">TestDeterminismConfGate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Same inputs -&gt; same gate decision every run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</w:t>
            </w:r>
          </w:p>
        </w:tc>
      </w:tr>
      <w:tr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TOTAL</w:t>
            </w:r>
          </w:p>
        </w:tc>
        <w:tc>
          <w:tcPr>
            <w:tcW w:type="dxa" w:w="3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All tests passed (pytest)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F386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31</w:t>
            </w:r>
          </w:p>
        </w:tc>
      </w:tr>
    </w:tbl>
    <w:p>
      <w:pPr>
        <w:spacing w:after="80" w:before="0"/>
      </w:pPr>
    </w:p>
    <w:p>
      <w:pPr>
        <w:spacing w:after="10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All 31 tests pass with pytest. Coverage includes the gate constant, constructor parameter, pbl_slc parity, gate logic across all thresholds, result dict fields, no second engine, and determinism.</w:t>
      </w:r>
    </w:p>
    <w:p>
      <w:pPr>
        <w:pStyle w:val="Heading1"/>
        <w:pBdr>
          <w:bottom w:val="single" w:color="2E75B6" w:sz="6" w:space="4"/>
        </w:pBdr>
        <w:spacing w:after="120" w:before="320"/>
      </w:pPr>
      <w:r>
        <w:rPr>
          <w:rFonts w:ascii="Arial" w:cs="Arial" w:eastAsia="Arial" w:hAnsi="Arial"/>
          <w:b/>
          <w:bCs/>
          <w:color w:val="1F3864"/>
          <w:sz w:val="36"/>
          <w:szCs w:val="36"/>
        </w:rPr>
        <w:t xml:space="preserve">10. Appendix — Raw Data</w:t>
      </w: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10.1 Baseline Reference (no gate, from Session 42)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n_trades: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5,733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(zero-fee):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1.0158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(0.04%/side):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0.9367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CAGR: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7.6%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Drawdown: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-34.0%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3,518 (61.4% of total)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PF: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0.9499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WR: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34.54%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Bars rejected: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0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10.2 Recommended Configuration (gate=0.80)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n_trades: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4,416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(zero-fee):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1.0970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(0.04%/side):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1.0141  [first fee-profitable full_system result]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CAGR: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44.2%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Drawdown: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-24.1%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Calmar Ratio: </w:t>
      </w:r>
      <w:r>
        <w:rPr>
          <w:rFonts w:ascii="Arial" w:cs="Arial" w:eastAsia="Arial" w:hAnsi="Arial"/>
          <w:color w:val="375623"/>
          <w:sz w:val="20"/>
          <w:szCs w:val="20"/>
        </w:rPr>
        <w:t xml:space="preserve">1.83x  (+8x vs baseline)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2,300 (-34.6% vs baseline)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PF: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0.9711 [still sub-1.0]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Trend WR: </w:t>
      </w:r>
      <w:r>
        <w:rPr>
          <w:rFonts w:ascii="Arial" w:cs="Arial" w:eastAsia="Arial" w:hAnsi="Arial"/>
          <w:color w:val="9C0006"/>
          <w:sz w:val="20"/>
          <w:szCs w:val="20"/>
        </w:rPr>
        <w:t xml:space="preserve">35.48%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Bars rejected: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83,640</w:t>
      </w:r>
    </w:p>
    <w:p>
      <w:pPr>
        <w:spacing w:after="80" w:before="0"/>
      </w:pPr>
    </w:p>
    <w:p>
      <w:pPr>
        <w:pStyle w:val="Heading2"/>
        <w:spacing w:after="80" w:before="220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10.3 pbl_slc Standalone Reference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n_trades: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1,745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(zero-fee):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1.3708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PF (0.04%/side):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1.2682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CAGR: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66.4%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Max Drawdown: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-16.4%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Calmar Ratio: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4.04x</w:t>
      </w:r>
    </w:p>
    <w:p>
      <w:pPr>
        <w:spacing w:after="20" w:before="2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Note: </w:t>
      </w:r>
      <w:r>
        <w:rPr>
          <w:rFonts w:ascii="Arial" w:cs="Arial" w:eastAsia="Arial" w:hAnsi="Arial"/>
          <w:color w:val="000000"/>
          <w:sz w:val="20"/>
          <w:szCs w:val="20"/>
        </w:rPr>
        <w:t xml:space="preserve">Upper bound — TrendModel removed entirely (not permitted per Session 43 hard rules)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Page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of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4"/>
      </w:pBdr>
    </w:pPr>
    <w:r>
      <w:rPr>
        <w:rFonts w:ascii="Arial" w:cs="Arial" w:eastAsia="Arial" w:hAnsi="Arial"/>
        <w:color w:val="888888"/>
        <w:sz w:val="18"/>
        <w:szCs w:val="18"/>
      </w:rPr>
      <w:t xml:space="preserve">NexusTrader — Session 43: HMM Confidence Gate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20"/>
      <w:outlineLvl w:val="0"/>
    </w:pPr>
    <w:rPr>
      <w:rFonts w:ascii="Arial" w:cs="Arial" w:eastAsia="Arial" w:hAnsi="Arial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2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Arial" w:cs="Arial" w:eastAsia="Arial" w:hAnsi="Arial"/>
      <w:b/>
      <w:bCs/>
      <w:color w:val="1F386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2026-03-29T02:51:02.273Z</dcterms:created>
  <dcterms:modified xsi:type="dcterms:W3CDTF">2026-03-29T02:51:02.273Z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