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NexusTrader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1E6E8C"/>
          <w:sz w:val="36"/>
          <w:szCs w:val="36"/>
        </w:rPr>
        <w:t xml:space="preserve">CPS Calibration &amp; Optimisation Report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Version 0.5  |  PENDING calibration run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2026-03-25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 Threshold Calibration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EVI ≥ 0 on 2+ symbols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  CPS Thresholds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FPR ≤ 70%, fire_rate ≤ 5%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  Tier Redesign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EVI ≥ 0 at new tiers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  Multiplier Calibration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Best Sharpe / min MDD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  Portfolio Defence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MDD improvement ≥ 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  BTC vs ALT Analysis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AUC delta &lt; 0.03 → unified OK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  Liquidation Gap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ASSESSED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Advisory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CoinGlass evaluation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  Final Decision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gates above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pPr>
        <w:pageBreakBefore/>
      </w:pPr>
      <w:r>
        <w:t xml:space="preserv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 \t "undefined,1,undefined,2"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  Threshold Calibration Results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A.1  Methodology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threshold sweep evaluates 18 probability thresholds (0.05 → 0.90 in 0.05 steps) for each active CPS horizon (5m, 10m). At each threshold, a mini-backtest runs Scenario A (no defence) and Scenario B (CPS-gated defence) on the test set (30% of 4-year history), with all execution costs included.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A.2  EVI Framework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Primary ranking metric: Expected Value Impact (EVI)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EVI_net_pnl(t) = Net P&amp;L_B,t — Net P&amp;L_A (absolute capital terms)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Equivalently: EVI_expectancy(t) = Δexpectancy × N_affected_trades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Execution costs included in both scenarios: 0.12% round-trip (0.04% slippage × 2 sides + 0.02% spread × 2).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A.3  Constraint Gates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0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40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 Positive Rate (FPR)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70%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Limits noise to 7 false signals per 10 fires — still elevated but enables defence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Fire Rate (% of all bars)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5%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 should not be in defensive mode more than 1 bar in 20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MDD worsening vs Scenario 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+0.5pp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Defence must not worsen drawdown relative to unprotected baseline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AUC preserved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≥ original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Thresholding must not degrade predictive quality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A.4  Sweep Results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Run scripts/cps_calibration.py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Horizon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Opt. Threshold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 Net P&amp;L</w:t>
            </w:r>
          </w:p>
        </w:tc>
        <w:tc>
          <w:tcPr>
            <w:tcW w:type="dxa" w:w="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FPR</w:t>
            </w:r>
          </w:p>
        </w:tc>
        <w:tc>
          <w:tcPr>
            <w:tcW w:type="dxa" w:w="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Fire Rate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Feasible?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BTC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crash_5m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BTC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crash_10m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crash_5m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crash_10m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crash_5m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crash_10m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A.5  Feasibility Summary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populated by cps_calibration.py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⏳ PENDING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B  Optimised CPS Thresholds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B.1  Recommended Thresholds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populated by cps_calibration.py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Recommended Threshold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 Status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CPS_5m  (early warning)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BTC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CPS_10m (confirmation)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BTC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CPS_5m  (early warning)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CPS_10m (confirmation)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CPS_5m  (early warning)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CPS_10m (confirmation)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B.2  Two-Stage Trigger Logic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multi-horizon design separates CPS into an early warning signal (CPS_5m) and a confirmation signal (CPS_10m). This reduces false positives while preserving recall on confirmed crash events.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40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CRASH_WATCH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CPS_5m ≥ recommended threshold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Reduce position size to DEFENSIVE multiplier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CRASH_CONFIRMED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CPS_5m fires AND CPS_10m ≥ threshold within 3 bars (15 min)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Reduce position size to HIGH_ALERT multiplier; block new longs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B.3  Performance at Operating Point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populated by cps_calibration.py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FPR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 Time P50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 Net P&amp;L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CRASH_WATCH (5m)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CRASH_CONFIRMED (5m+10m)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C  Tier Threshold Redesign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C.1  Current vs Optimised Thresholds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current Phase 1A thresholds (5.0 / 7.0 / 8.0 / 9.0) were heuristic. Sequential greedy optimisation sweeps each boundary independently using EVI_net_pnl as the primary objective, subject to a ≤ 20% DEFENSIVE fire rate constraint.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Run scripts/cps_calibration.py for optimised values.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Baseline Score Gate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Optimal Gate (BTC)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Multiplier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 Delta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DEFENSIVE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≥ 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HIGH_ALERT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≥ 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EMERGENCY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≥ 8.0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≥ 9.0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C.2  FPR Improvement at Optimised Thresholds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populated by cps_calibration.py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Baseline FPR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Optimised FPR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Fire Rate (baseline)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Fire Rate (optimised)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DEFENSIVE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96.9%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13.6%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HIGH_ALERT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96.6%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2.1%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EMERGENCY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95.9%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1.1%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95.4%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1.8%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C.3  Justification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⏳ PENDING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  Multiplier Calibration Results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D.1  Curves Tested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Six multiplier curves are compared. Step functions use fixed per-tier multipliers; smooth curves (linear, sigmoid) compute the multiplier continuously from the raw CDA score.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Curve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baseline_phase1a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NORMAL=1.00, DEFENSIVE=0.65, HIGH_ALERT=0.35, EMERGENCY=0.10, SYSTEMIC=0.00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aggressive_step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NORMAL=1.00, DEFENSIVE=0.50, HIGH_ALERT=0.20, EMERGENCY=0.05, SYSTEMIC=0.00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conservative_step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NORMAL=1.00, DEFENSIVE=0.80, HIGH_ALERT=0.60, EMERGENCY=0.30, SYSTEMIC=0.10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flat_halved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NORMAL=1.00, all warning tiers=0.50, SYSTEMIC=0.00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linear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Continuous: mult = 1.0 − (CDA_score / 10.0)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sigmoid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Continuous: mult = sigmoid(−(CDA_score − 5.0) × 0.8)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D.2  Performance Comparison (BTC, 4yr, Scenario B)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Run scripts/cps_calibration.py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Curve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 Net P&amp;L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MDD %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Sharpe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PF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Optimal?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baseline_phase1a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aggressive_step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conservative_step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flat_halved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linear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sigmoid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D.3  Recommended Curve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optimal curve selected by cps_calibration.py based on max EVI_net_pnl.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⏳ PENDING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E  Portfolio Defence Optimisation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This section re-runs the Phase 1A portfolio defence simulation (block-longs + tighten-stops) using the calibrated CPS thresholds from Section B rather than the raw CDA score gate. Expected outcome: fewer fires, higher precision, improved EVI.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E.1  Simulation Parameters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Gate: CPS_5m ≥ optimised threshold (Section B) — replaces raw CDA score ≥ 5.0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Block-longs: skip new long entry when gate fires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Tighten stops: reduce ATR stop multiplier by 30% when gate fires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Execution costs: 0.12% round-trip included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Capital: $100,000 starting, averaged across BTC/ETH/SOL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E.2  Results (avg BTC/ETH/SOL)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populated by cps_calibration.py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 Capital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MDD 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Trades Blocked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 Net P&amp;L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 (no defence)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Block new longs (CPS_5m gate)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Tighten stops −30% (CPS_5m gate)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Combined (longs + stops)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E.3  Verdict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⏳ PENDING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F  BTC vs ALT Behaviour Analysis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F.1  BTC-Led Move Definition (3-Part Composite)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BTC-led move requires ALL three conditions: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Lead–lag (primary): BTC shows ≥ 0.20% return on 1m bars; ETH/SOL follow same direction within 1–3 minutes. Evaluated at 1m resolution using raw OHLCV before 5m aggregation.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Relative strength: RS = |r_BTC| / median(|r_ETH|, |r_SOL|) ≥ 1.5 (strong). RS ≥ 1.2 is mild and flagged as secondary.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Breadth confirmation: ETH and SOL both move same direction as BTC within 3 × 5m bars (15 min). Ensures market-wide propagation, not isolated BTC noise.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Optional secondary filter: BTC Dominance index rising during the move. Used as context label only — not a trigger condition.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F.2  Segmentation Results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Run scripts/cps_calibration.py (requires BTC + ETH + SOL data)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0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BTC-Led Bars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Alt-Led Bars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Total classified bars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Percentage of all 5m bars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CPS_5m AUC (BTC features)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CPS_10m AUC (BTC features)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 rate in segment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F.3  AUC Comparison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⏳ PENDING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F.4  Recommendation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⏳ PENDING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Decision rules: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AUC delta &lt; 0.03pp → UNIFIED CPS OK (single model sufficient)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BTC-led AUC &gt; Alt-led by ≥ 0.03pp → BTC-WEIGHTED CPS (weight BTC features higher)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Alt-led AUC &gt; BTC-led by ≥ 0.03pp → investigate alt-specific signals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G  Liquidation Data Integration Plan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G.1  Current Proxy Limitations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current liq_z feature uses a proxy: vol_ratio × (−return_5m).clip(0). This captures the co-occurrence of high volume and price drops but cannot distinguish forced liquidations from voluntary selling. Information coefficient (IC) of the proxy ≈ 0.03–0.07 (weak).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G.2  CoinGlass API Assessment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Endpoint: https://open-api.coinglass.com/public/v2/liquidation_history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Auth: API key required. Free tier: 10 req/min, 30-day history, 1h resolution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Paid tier: 600 req/min, 4+ year history, 5m resolution — ~$99–299/month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Key fields: longLiquidationUsd, shortLiquidationUsd, symbol, timestamp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Availability: BTC / ETH / SOL all available. Reliability: High (primary industry source)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G.3  Expected AUC Improvement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Real liquidation IC ≈ 0.10–0.15 (based on academic literature on liquidation cascades)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Estimated AUC uplift: +0.02 to +0.05 on crash_5m (conservative estimate)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Expected FPR reduction at HIGH_ALERT: 5–15pp (real liquidation spikes correlate tightly with crashes)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Confidence: Medium — based on literature; actual result may vary with feature engineering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G.4  Integration Roadmap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5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Request free CoinGlass API key → validate data quality (30-day test on BTC/ETH/SOL)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quality check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 liq_long_z and liq_short_z as 2 new features (replaces current liq_proxy)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AUC comparison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Retrain CPS (8 features); compare AUC on same 4yr holdout set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AUC delta ≥ +0.02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If AUC improves ≥ 0.02: upgrade to paid tier for 4yr 5m liquidation history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Business case approval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re-validation with real liquidation features before Phase 2 activation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Section B gates re-met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G.5  Risk &amp; Mitigation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API dependency: if CoinGlass changes pricing or API structure, system degrades to proxy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Mitigation: maintain liq_proxy as fallback; graceful degradation if API unavailable at runtime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Timeline: Phase 1B shadow mode → validate CPS thresholds → then add liquidation data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Recommendation: PURSUE IN PHASE 1B. High expected benefit, low implementation cost. Start with free tier to validate before committing to paid plan.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H  Final Decision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H.1  Decision Framework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EVI_net_pnl &gt; 0 on 2+ symbols AND FPR ≤ 70% AND fire_rate ≤ 5%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PROCEED to Phase 1B shadow mode with calibrated thresholds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EVI_net_pnl &gt; 0 on 1 symbol only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CONDITIONAL — investigate why other symbols fail; consider symbol-specific thresholds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EVI_net_pnl ≤ 0 on all symbols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PAUSE — CPS not yet adding economic value; investigate feature quality and model specification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MDD worsens by &gt; 0.5pp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REJECT threshold — defence is creating more harm than it prevents; raise threshold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BTC-led AUC &gt; Alt-led by ≥ 0.03pp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Implement BTC-weighted CPS before Phase 1B activation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H.2  Phase 1B Pre-Conditions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Before activating Phase 1B shadow mode: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CPS thresholds must produce EVI_net_pnl &gt; 0 on BTC (primary) and ≥ 1 additional symbol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Block-longs defence must show MDD improvement (not worsening) at calibrated thresholds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Tighten-stops may be excluded if EVI is negative across all symbols (consistent with Phase 1A finding)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BTC dominance segmentation result must not contradict unified CPS assumption (unless AUC delta ≥ 0.03pp)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Liquidation gap noted; CoinGlass integration scheduled for Phase 1B parallel track (not a blocker)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H.3  Phase 1B Verdict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STATUS: PENDING — populated by cps_calibration.py</w:t>
      </w:r>
    </w:p>
    <w:p>
      <w: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CPS_5m threshold calibrated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CPS_10m threshold calibrated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EVI positive on 2+ symbols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FPR constraint met (≤ 70%)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Fire rate constraint met (≤ 5%)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Tier thresholds optimised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Multiplier curve selected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BTC dominance effect assessed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Phase 1B shadow mode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F6000"/>
                <w:sz w:val="18"/>
                <w:szCs w:val="18"/>
              </w:rPr>
              <w:t xml:space="preserve">⏳ PENDING</w:t>
            </w:r>
          </w:p>
        </w:tc>
      </w:tr>
    </w:tbl>
    <w:p>
      <w:r>
        <w:t xml:space="preserve"> 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H.4  Required Changes Before Implementation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⏳ PENDING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1E6E8C"/>
          <w:sz w:val="26"/>
          <w:szCs w:val="26"/>
        </w:rPr>
        <w:t xml:space="preserve">H.5  Risk Assessment</w:t>
      </w:r>
    </w:p>
    <w:p>
      <w:pPr>
        <w:spacing w:after="60" w:before="6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The primary implementation risk is that the mini-backtest EVI is computed on a single momentum-based entry strategy. The production NexusTrader uses 5 signal models with confluence scoring, which may respond differently to multiplier-gated position sizing. Shadow mode (Phase 1B) is specifically designed to validate CPS in the production signal pipeline before any live capital allocation changes.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Lock rules (from CLAUDE.md — unchanged regardless of CPS verdict):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NO early crash short implementation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NO rebound long implementation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NO changes to signal logic, model weights, or entry/exit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Phase advancement: manual operator decision only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NexusTrader — CPS Calibration v0.5  |  CONFIDENTIAL  |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6E8C" w:sz="6" w:space="1"/>
      </w:pBdr>
      <w:spacing w:after="18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6E8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2026-03-25T02:01:30.789Z</dcterms:created>
  <dcterms:modified xsi:type="dcterms:W3CDTF">2026-03-25T02:01:30.789Z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