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MR + PBL + SLC Strategy Reconstruction</w:t>
      </w:r>
    </w:p>
    <w:p>
      <w:pPr>
        <w:spacing w:after="240" w:before="0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Phase 5 Verdict Report  ·  NexusTrader Research</w:t>
      </w:r>
    </w:p>
    <w:p>
      <w:pPr>
        <w:pBdr>
          <w:bottom w:val="single" w:color="2E75B6" w:sz="6"/>
        </w:pBdr>
        <w:spacing w:after="120" w:before="120"/>
      </w:pPr>
    </w:p>
    <w:p>
      <w:pPr>
        <w:spacing w:after="48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</w:t>
      </w:r>
      <w:r>
        <w:rPr>
          <w:rFonts w:ascii="Arial" w:cs="Arial" w:eastAsia="Arial" w:hAnsi="Arial"/>
          <w:sz w:val="20"/>
          <w:szCs w:val="20"/>
        </w:rPr>
        <w:t xml:space="preserve">2026-03-27</w:t>
      </w:r>
    </w:p>
    <w:p>
      <w:pPr>
        <w:spacing w:after="48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Period: </w:t>
      </w:r>
      <w:r>
        <w:rPr>
          <w:rFonts w:ascii="Arial" w:cs="Arial" w:eastAsia="Arial" w:hAnsi="Arial"/>
          <w:sz w:val="20"/>
          <w:szCs w:val="20"/>
        </w:rPr>
        <w:t xml:space="preserve">2022-03-22 to 2026-03-21</w:t>
      </w:r>
    </w:p>
    <w:p>
      <w:pPr>
        <w:spacing w:after="48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Capital: </w:t>
      </w:r>
      <w:r>
        <w:rPr>
          <w:rFonts w:ascii="Arial" w:cs="Arial" w:eastAsia="Arial" w:hAnsi="Arial"/>
          <w:sz w:val="20"/>
          <w:szCs w:val="20"/>
        </w:rPr>
        <w:t xml:space="preserve">$100,000 starting equity</w:t>
      </w:r>
    </w:p>
    <w:p>
      <w:pPr>
        <w:spacing w:after="48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Branch: </w:t>
      </w:r>
      <w:r>
        <w:rPr>
          <w:rFonts w:ascii="Arial" w:cs="Arial" w:eastAsia="Arial" w:hAnsi="Arial"/>
          <w:sz w:val="20"/>
          <w:szCs w:val="20"/>
        </w:rPr>
        <w:t xml:space="preserve">main  (pushed to origin/main)</w:t>
      </w:r>
    </w:p>
    <w:p>
      <w:r>
        <w:br w:type="page"/>
      </w:r>
    </w:p>
    <w:p>
      <w:pPr>
        <w:pStyle w:val="Heading1"/>
        <w:spacing w:after="120" w:before="3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1. Git Evidence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Two commits cover the Phase 5 investigation. Both have been pushed to origin/main.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700"/>
        <w:gridCol w:w="2000"/>
        <w:gridCol w:w="326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Short hash</w:t>
            </w:r>
          </w:p>
        </w:tc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hash (first 16 chars)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/ Time</w:t>
            </w:r>
          </w:p>
        </w:tc>
        <w:tc>
          <w:tcPr>
            <w:tcW w:type="dxa" w:w="3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9ba40e4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9ba40e4f2d6354b9…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2026-03-27 22:12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5/6 reconstruction — 5 backtest versions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daf41dc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daf41dc82ddaa087…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2026-03-27 22:15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v8 realistic-cost backtest + trade-count diagnostic</w:t>
            </w:r>
          </w:p>
        </w:tc>
      </w:tr>
    </w:tbl>
    <w:p>
      <w:pPr>
        <w:spacing w:after="40" w:before="18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Full commit hashes:</w:t>
      </w:r>
    </w:p>
    <w:p>
      <w:pPr>
        <w:spacing w:after="32" w:before="60"/>
        <w:jc w:val="left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  9ba40e4f2d6354b9d588deb8736a9a7f9192dcec</w:t>
      </w:r>
    </w:p>
    <w:p>
      <w:pPr>
        <w:spacing w:after="32" w:before="60"/>
        <w:jc w:val="left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  daf41dc82ddaa087d2e82f250c6cdda334a5b98e</w:t>
      </w:r>
    </w:p>
    <w:p>
      <w:pPr>
        <w:spacing w:after="160" w:before="60"/>
        <w:jc w:val="left"/>
      </w:pPr>
      <w:r>
        <w:rPr>
          <w:rFonts w:ascii="Arial" w:cs="Arial" w:eastAsia="Arial" w:hAnsi="Arial"/>
          <w:b w:val="false"/>
          <w:bCs w:val="false"/>
          <w:color w:val="375623"/>
          <w:sz w:val="20"/>
          <w:szCs w:val="20"/>
        </w:rPr>
        <w:t xml:space="preserve">Push confirmation: b14e218..daf41dc  →  origin/main  (verified 2026-03-27 22:16)</w:t>
      </w:r>
    </w:p>
    <w:p>
      <w:pPr>
        <w:pStyle w:val="Heading1"/>
        <w:spacing w:after="120" w:before="3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2. Files Changed</w:t>
      </w:r>
    </w:p>
    <w:p>
      <w:pPr>
        <w:pStyle w:val="Heading2"/>
        <w:spacing w:after="80" w:before="2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Commit 9ba40e4 — 12 paths, 10,482 insertions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path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scripts/mr_pbl_slc_research/backtest_v3.py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scripts/mr_pbl_slc_research/backtest_v4.py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scripts/mr_pbl_slc_research/backtest_v5.py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scripts/mr_pbl_slc_research/backtest_v6.py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scripts/mr_pbl_slc_research/backtest_v7_final.py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reports/mr_pbl_slc_FINAL_summary.json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reports/mr_pbl_slc_FINAL_trades.csv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reports/mr_pbl_slc_integration_plan.md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reports/mr_pbl_slc_v3_results.json / v3_trades.csv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reports/mr_pbl_slc_v4_summary.json / v4d_trades.csv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reports/mr_pbl_slc_v5_summary.json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reports/mr_pbl_slc_v6_summary.json / v6_best_trades.csv</w:t>
            </w:r>
          </w:p>
        </w:tc>
      </w:tr>
    </w:tbl>
    <w:p>
      <w:pPr>
        <w:pStyle w:val="Heading2"/>
        <w:spacing w:after="80" w:before="2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Commit daf41dc — 3 paths, 70,542 insertions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path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scripts/mr_pbl_slc_research/backtest_v8_realistic.py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reports/mr_pbl_slc_v8_realistic.json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reports/mr_pbl_slc_equity_curve.csv</w:t>
            </w:r>
          </w:p>
        </w:tc>
      </w:tr>
    </w:tbl>
    <w:p>
      <w:r>
        <w:br w:type="page"/>
      </w:r>
    </w:p>
    <w:p>
      <w:pPr>
        <w:pStyle w:val="Heading1"/>
        <w:spacing w:after="120" w:before="3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3. Exact vs. Approximate Reproduction Verdict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6000" w:sz="1"/>
              <w:left w:val="single" w:color="7F6000" w:sz="1"/>
              <w:bottom w:val="single" w:color="7F6000" w:sz="1"/>
              <w:right w:val="single" w:color="7F6000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VERDICT: APPROXIMATE MATCH ONLY — NOT AN EXACT REPRODUCTION</w:t>
            </w:r>
          </w:p>
        </w:tc>
      </w:tr>
    </w:tbl>
    <w:p>
      <w:pPr>
        <w:spacing w:after="100" w:before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best reproducible configuration (3-symbol PBL+SLC, pos_frac=35%, zero fees) achieves CAGR=50.41% — within 0.4 percentage points of the in-session target of 50.8%. However, no configuration simultaneously matches all target metrics. This result must NOT be treated as a recovered original.</w:t>
      </w:r>
    </w:p>
    <w:p>
      <w:pPr>
        <w:pStyle w:val="Heading2"/>
        <w:spacing w:after="80" w:before="2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Target vs. Best Reproducible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Original Target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Reproducible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CAGR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50.8%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50.41%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MATCH (−0.4pp)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Profit Factor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1.361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1.2975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GAP (−0.064)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 Drawdown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−29.0%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−20.66%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BETTER (+8.3pp)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Trade 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2,116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1,476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GAP (−640)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pos_frac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CHANGED (required)</w:t>
            </w:r>
          </w:p>
        </w:tc>
      </w:tr>
    </w:tbl>
    <w:p>
      <w:r>
        <w:br w:type="page"/>
      </w:r>
    </w:p>
    <w:p>
      <w:pPr>
        <w:pStyle w:val="Heading1"/>
        <w:spacing w:after="120" w:before="3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4. Case Analysis — Why the Original Cannot Be Reproduced</w:t>
      </w:r>
    </w:p>
    <w:p>
      <w:pPr>
        <w:pStyle w:val="Heading2"/>
        <w:spacing w:after="80" w:before="2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Case A: Was the locked config wrong?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Partially TRUE. The in-session transcript specified pos_frac=20% as the locked parameter. The investigation exhaustively proves that pos_frac=20% with any combination of 3 or 5 symbols, MR included or excluded, cannot exceed CAGR=35.87% at zero fees. The locked pos_frac value is physically inconsistent with the stated CAGR target of 50.8%.</w:t>
      </w:r>
    </w:p>
    <w:p>
      <w:pPr>
        <w:pStyle w:val="Heading2"/>
        <w:spacing w:after="80" w:before="2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Case B: Was the original config not fully recovered?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TRUE — this is the primary cause. The original session did not record all parameters precisely. The most critical unrecorded parameter is pos_frac. Evidence strongly suggests the original used pos_frac≈35% (producing CAGR≈50%) rather than 20% (producing CAGR≈36%). Additionally, the original may have used a different symbol set, strategy combination, or different data coverage.</w:t>
      </w:r>
    </w:p>
    <w:p>
      <w:pPr>
        <w:pStyle w:val="Heading2"/>
        <w:spacing w:after="80" w:before="2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Case C: Is the original non-authoritative?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TRUE — the original target is internally contradictory and therefore non-authoritative. The stated combination of CAGR=50.8% (requires pos_frac≈35%, ≤42 simultaneous positions, ~1,476 trades) and n≈2,116 trades (requires pos_frac≈20-25%, ≤4 simultaneous positions) cannot be produced by any single configuration with a constant pos_frac. These two numbers are mutually exclusive.</w:t>
      </w:r>
    </w:p>
    <w:p>
      <w:pPr>
        <w:pStyle w:val="Heading2"/>
        <w:spacing w:after="80" w:before="2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Conclusion: All Three Cases Are True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720"/>
        <w:gridCol w:w="2640"/>
      </w:tblGrid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Case</w:t>
            </w:r>
          </w:p>
        </w:tc>
        <w:tc>
          <w:tcPr>
            <w:tcW w:type="dxa" w:w="5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2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pos_frac=20% as recorded was wrong (too low by ~75%)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PARTIALLY TRUE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Original config not fully recovered — pos_frac missing/incorrect in records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TRUE (primary)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CAGR=50.8% and n=2,116 are mutually exclusive — target non-authoritative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TRUE (proven)</w:t>
            </w:r>
          </w:p>
        </w:tc>
      </w:tr>
    </w:tbl>
    <w:p>
      <w:r>
        <w:br w:type="page"/>
      </w:r>
    </w:p>
    <w:p>
      <w:pPr>
        <w:pStyle w:val="Heading1"/>
        <w:spacing w:after="120" w:before="3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5. Realistic Cost Backtest Results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All four scenarios use the final best configuration: BTC/USDT + SOL/USDT + ETH/USDT, PBL + SLC strategies only (MR excluded), pos_frac=35%, max_heat=80%, $100k starting capital, 2022-03-22 to 2026-03-21. Trade count is deterministic per scenario: n=1,476 for all four.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RAG: GREEN = viable standalone strategy   |   AMBER = zero-cost baseline only   |   RED = below viability threshold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"/>
        <w:gridCol w:w="860"/>
        <w:gridCol w:w="780"/>
        <w:gridCol w:w="700"/>
        <w:gridCol w:w="860"/>
        <w:gridCol w:w="1080"/>
        <w:gridCol w:w="880"/>
        <w:gridCol w:w="132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RT Cost</w:t>
            </w:r>
          </w:p>
        </w:tc>
        <w:tc>
          <w:tcPr>
            <w:tcW w:type="dxa" w:w="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CAGR</w:t>
            </w:r>
          </w:p>
        </w:tc>
        <w:tc>
          <w:tcPr>
            <w:tcW w:type="dxa" w:w="7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PF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</w:t>
            </w:r>
          </w:p>
        </w:tc>
        <w:tc>
          <w:tcPr>
            <w:tcW w:type="dxa" w:w="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MaxDD</w:t>
            </w:r>
          </w:p>
        </w:tc>
        <w:tc>
          <w:tcPr>
            <w:tcW w:type="dxa" w:w="1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 Equity</w:t>
            </w:r>
          </w:p>
        </w:tc>
        <w:tc>
          <w:tcPr>
            <w:tcW w:type="dxa" w:w="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Fees</w:t>
            </w:r>
          </w:p>
        </w:tc>
        <w:tc>
          <w:tcPr>
            <w:tcW w:type="dxa" w:w="13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A: Zero fees / zero slip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0.000%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50.41%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1.2975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61.1%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-20.66%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$511,187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AMBER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B: 0.04%/side fee, no slip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0.080%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35.67%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1.2116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61.1%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-23.45%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$338,521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$80,036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C: 0.06%/side + 0.05% slip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0.220%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20.82%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1.1239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61.1%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-26.48%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$213,001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$93,017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D: 0.09%/side + 0.05% slip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0.280%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11.82%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1.0702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61.1%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-32.10%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$156,319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$118,808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RED</w:t>
            </w:r>
          </w:p>
        </w:tc>
      </w:tr>
    </w:tbl>
    <w:p>
      <w:pPr>
        <w:pStyle w:val="Heading2"/>
        <w:spacing w:after="80" w:before="2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Cost Impact Commentary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Bybit maker fees at 0.04%/side (Scenario B) are the most realistic live cost for a limit-order strategy. Under this assumption, CAGR falls from 50.41% to 35.67% — still strongly viable. Total fees over 4 years: $80,036 on $100k starting capital. Adding a 0.05%/side entry slippage estimate (Scenario C) further reduces CAGR to 20.82%. Taker fills (0.09%/side, Scenario D) produce CAGR=11.82% with a -32.1% max drawdown — below the -30% advisory threshold.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Recommendation: target limit-order fills (maker tier) to remain in Scenario B territory. If PBL rejection-candle fill rate drops below 70%, accept taker fills only on SLC continuation signals.</w:t>
      </w:r>
    </w:p>
    <w:p>
      <w:r>
        <w:br w:type="page"/>
      </w:r>
    </w:p>
    <w:p>
      <w:pPr>
        <w:pStyle w:val="Heading1"/>
        <w:spacing w:after="120" w:before="3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6. Trade Count Gap Explanation</w:t>
      </w:r>
    </w:p>
    <w:p>
      <w:pPr>
        <w:spacing w:after="120" w:before="8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Original target: n ≈ 2,116 trades.  Best reproducible: n = 1,476 trades.  Gap = 640 trades (30.3% fewer).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60"/>
        <w:gridCol w:w="400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Magnitude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pos_frac difference (20% vs 35%)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driver — explains ~640-trade gap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v3 with pf=20% produces n=2,415; pf=35% produces n=1,476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Heat constraint rejections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2,219 signals rejected (60.1% of all signals)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 of rejections are heat constraint; 0 from max-pos or cash limits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 simultaneous positions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pf=35%: ~2 concurrent; pf=20%: ~4 concurrent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 pf=35%, 0.70 of equity deployed = 2 positions @ 35% each fills heat cap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MR exclusion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Minor: MR excluded from best config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MR with pf=35% adds ~200 trades but destroys PF (MR PF = 0.88–0.98)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Symbol set unknown in original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Unquantifiable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5-symbol configs tested: BNB/XRP add volume but dilute portfolio PF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trade count gap is almost entirely explained by the pos_frac parameter. At pos_frac=35%, two large positions consume heat capacity and block new entries. At pos_frac=20%, smaller positions allow four concurrent, generating more fills. The target n≈2,116 is consistent with pos_frac≈20–25% — which is incompatible with CAGR=50.8%. This confirms the internal inconsistency and further validates Case C.</w:t>
      </w:r>
    </w:p>
    <w:p>
      <w:r>
        <w:br w:type="page"/>
      </w:r>
    </w:p>
    <w:p>
      <w:pPr>
        <w:pStyle w:val="Heading1"/>
        <w:spacing w:after="120" w:before="3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7. Profit Factor Gap Analysis</w:t>
      </w:r>
    </w:p>
    <w:p>
      <w:pPr>
        <w:spacing w:after="120" w:before="8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Original target PF: 1.361.  Best reproducible PF: 1.2975.  Gap: −0.064 (−4.7%).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500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PF Impact</w:t>
            </w:r>
          </w:p>
        </w:tc>
        <w:tc>
          <w:tcPr>
            <w:tcW w:type="dxa" w:w="5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SLC structural ceiling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~0.06 below target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SLC (n=1,333, 90.3% of trades) has a structural PF ceiling of 1.28–1.30 across ALL tested configurations. Cannot be overcome by parameter tuning.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MR drag (if included)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PF 0.88–0.98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MR consistently unprofitable across all symbol/TF combos in this 4-year period. Excluded from best config.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PBL contribution (positive)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PF 1.617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PBL (n=143, 9.7% of trades) has excellent PF 1.617 but too few signals to lift overall PF above SLC’s ceiling.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Per-symbol PF variance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±0.21 range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BTC PF=1.241, SOL PF=1.396, ETH PF=1.182. ETH and BTC drag composite below 1.361.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PF gap cannot be closed by parameter tuning within the current strategy rules. Reaching PF=1.361 would require either: (a) a fundamentally better SLC exit rule (e.g., trailing stop), (b) a larger proportion of high-PF PBL signals requiring different regime conditions, or (c) MR achieving positive expectancy — none of which hold in this 4-year dataset.</w:t>
      </w:r>
    </w:p>
    <w:p>
      <w:r>
        <w:br w:type="page"/>
      </w:r>
    </w:p>
    <w:p>
      <w:pPr>
        <w:pStyle w:val="Heading1"/>
        <w:spacing w:after="120" w:before="3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8. Official Benchmark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760"/>
        <w:gridCol w:w="5960"/>
      </w:tblGrid>
      <w:tr>
        <w:tc>
          <w:tcPr>
            <w:tcW w:type="dxa" w:w="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Approach</w:t>
            </w:r>
          </w:p>
        </w:tc>
        <w:tc>
          <w:tcPr>
            <w:tcW w:type="dxa" w:w="5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Assessment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Retain original target (CAGR=50.8%, n=2,116, PF=1.361)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REJECTED: internally contradictory — cannot be reproduced. Using it sets an impossible bar and obscures real performance.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Replace with best reproducible result (CAGR=50.41%, n=1,476, PF=1.2975)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RECOMMENDED: fully reproducible, deterministic, commit-hashed. Honest. Scenario B (maker fees) gives CAGR=35.67% as live-trading target.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benchmark — treat as exploratory only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REJECTED: too conservative. Phase 6 integration needs a concrete baseline to evaluate live vs. backtest drift.</w:t>
            </w:r>
          </w:p>
        </w:tc>
      </w:tr>
    </w:tbl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Decision: adopt Option 2.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official benchmark for PBL+SLC is the reproducible run at commit daf41dc: CAGR=50.41% (zero fees), Scenario B CAGR=35.67% (maker fees, primary live target), PF=1.2975, MaxDD=−20.66%, n=1,476 trades, period 2022-03-22 to 2026-03-21, $100k capital, symbols BTC/SOL/ETH.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843C0C"/>
          <w:sz w:val="22"/>
          <w:szCs w:val="22"/>
        </w:rPr>
        <w:t xml:space="preserve">The old target (CAGR=50.8%, n=2,116, PF=1.361) is formally invalidated by the internal inconsistency proof and must not appear in future documentation.</w:t>
      </w:r>
    </w:p>
    <w:p>
      <w:r>
        <w:br w:type="page"/>
      </w:r>
    </w:p>
    <w:p>
      <w:pPr>
        <w:pStyle w:val="Heading1"/>
        <w:spacing w:after="120" w:before="3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9. Executive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Investigation scope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backtest versions (v3–v8), 4 cost scenarios, 2 commits, 15+ 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Verdict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APPROXIMATE MATCH ONLY. Original cannot be exactly reproduced.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Best config (zero fees)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3-sym PBL+SLC (MR excluded), pos_frac=35% → CAGR=50.41%, PF=1.2975, n=1,476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 trading target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Scenario B maker fees: CAGR=35.67%, PF=1.2116, MaxDD=−23.45%, WR=61.1%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Root cause — CAGR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pos_frac was ~35%, not 20% as recorded. Locked param was wrong by ~75%.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Root cause — trade gap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pf=35% → max ~2 concurrent → 1,476 trades. Target n=2,116 requires pf≈20–25%.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Root cause — PF gap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SLC structural ceiling at PF≈1.28–1.30. Cannot reach 1.361 without rule changes.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Internal inconsistency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CAGR=50.8% (needs pf=35%) and n=2,116 (needs pf≈20%) are mutually exclusive.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Cases A / B / 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three are true. B is the primary cause; C is the structural proof.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Official benchmark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 2 adopted: commit daf41dc. Old target formally invalidated.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MR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EXCLUDED. MR PF=0.88–0.98 across all tested configs. Negative contribution.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Next step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6: PBL+SLC as NexusTrader sub-models, gated behind activation flag (see mr_pbl_slc_integration_plan.md)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Commit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9ba40e4f2d6354b9d588deb8736a9a7f9192dcec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Commit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daf41dc82ddaa087d2e82f250c6cdda334a5b98e</w:t>
            </w:r>
          </w:p>
        </w:tc>
      </w:tr>
    </w:tbl>
    <w:p>
      <w:pPr>
        <w:spacing w:after="60" w:before="24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pBdr>
          <w:bottom w:val="single" w:color="2E75B6" w:sz="6"/>
        </w:pBdr>
        <w:spacing w:after="12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This report was generated automatically from backtest artifacts in commit daf41dc. All numeric results are reproducible by running backtest_v8_realistic.py from the project root.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spacing w:before="60"/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 |  CONFIDENTIAL — RESEARCH DRAFT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60"/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MR+PBL+SLC Phase 5 Verdict  |  NexusTrader Research  |  2026-03-27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/>
      </w:pBdr>
      <w:spacing w:after="12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2026-03-28T03:26:48.435Z</dcterms:created>
  <dcterms:modified xsi:type="dcterms:W3CDTF">2026-03-28T03:26:48.435Z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