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2. Исследование свойств решения</w:t>
      </w:r>
    </w:p>
    <w:p>
      <w:pPr>
        <w:jc w:val="both"/>
      </w:pPr>
      <w:r>
        <w:rPr>
          <w:b w:val="0"/>
        </w:rPr>
        <w:t>В данном разделе исследуются количественные свойства разработанного решения по четырем критериям: время отклика в режиме карты, время отклика в режиме STL, пропускная способность обработки и сетевая нагрузка в режиме cold-cache.</w:t>
      </w:r>
    </w:p>
    <w:p>
      <w:pPr>
        <w:pStyle w:val="Heading2"/>
        <w:jc w:val="left"/>
      </w:pPr>
      <w:r>
        <w:t>2.1 Критерии и формулы оценки</w:t>
      </w:r>
    </w:p>
    <w:p>
      <w:pPr>
        <w:jc w:val="both"/>
      </w:pPr>
      <w:r>
        <w:rPr>
          <w:b/>
        </w:rPr>
        <w:t>Критерий 1. Время отклика в режиме карты:</w:t>
      </w:r>
    </w:p>
    <w:p>
      <w:pPr>
        <w:jc w:val="both"/>
      </w:pPr>
      <w:r>
        <w:rPr>
          <w:b w:val="0"/>
        </w:rPr>
        <w:t>T_map, сек. Время от получения корректного запроса до формирования PNG.</w:t>
      </w:r>
    </w:p>
    <w:p>
      <w:pPr>
        <w:jc w:val="both"/>
      </w:pPr>
      <w:r>
        <w:rPr>
          <w:b/>
        </w:rPr>
        <w:t>Критерий 2. Время отклика в режиме STL:</w:t>
      </w:r>
    </w:p>
    <w:p>
      <w:pPr>
        <w:jc w:val="both"/>
      </w:pPr>
      <w:r>
        <w:rPr>
          <w:b w:val="0"/>
        </w:rPr>
        <w:t>T_stl_std, T_stl_hq, сек. Время от получения запроса до генерации STL (standard/high-quality).</w:t>
      </w:r>
    </w:p>
    <w:p>
      <w:pPr>
        <w:jc w:val="both"/>
      </w:pPr>
      <w:r>
        <w:rPr>
          <w:b/>
        </w:rPr>
        <w:t>Критерий 3. Пропускная способность обработки:</w:t>
      </w:r>
    </w:p>
    <w:p>
      <w:pPr>
        <w:jc w:val="both"/>
      </w:pPr>
      <w:r>
        <w:rPr>
          <w:b w:val="0"/>
        </w:rPr>
        <w:t>Q = N / Δt, запросов/мин, где N — число успешно обработанных запросов за интервал Δt.</w:t>
      </w:r>
    </w:p>
    <w:p>
      <w:pPr>
        <w:jc w:val="both"/>
      </w:pPr>
      <w:r>
        <w:rPr>
          <w:b/>
        </w:rPr>
        <w:t>Критерий 4. Сетевая нагрузка (cold-cache):</w:t>
      </w:r>
    </w:p>
    <w:p>
      <w:pPr>
        <w:jc w:val="both"/>
      </w:pPr>
      <w:r>
        <w:rPr>
          <w:b w:val="0"/>
        </w:rPr>
        <w:t>NET_in, МБ/запрос. Объем скачиваемого DEM из внешнего API при обработке одного запроса без кэша.</w:t>
      </w:r>
    </w:p>
    <w:p>
      <w:pPr>
        <w:pStyle w:val="Heading2"/>
        <w:jc w:val="left"/>
      </w:pPr>
      <w:r>
        <w:t>2.2 Сценарий эксперимента и входные данные</w:t>
      </w:r>
    </w:p>
    <w:p>
      <w:pPr>
        <w:jc w:val="both"/>
      </w:pPr>
      <w:r>
        <w:rPr>
          <w:b w:val="0"/>
        </w:rPr>
        <w:t>Измерения выполнены в среде macOS, Python 3.11+, для трех размеров области: small (0.04°x0.04°), medium (0.12°x0.12°), large (0.20°x0.20°). Источник данных: OpenTopography с fallback-цепочкой SRTMGL1 -&gt; COP30 -&gt; ASTER. Для warm-cache проведены серии повторных запусков с исключением первого прогона как прогревочного.</w:t>
      </w:r>
    </w:p>
    <w:p>
      <w:pPr>
        <w:pStyle w:val="Heading2"/>
        <w:jc w:val="left"/>
      </w:pPr>
      <w:r>
        <w:t>2.3 Результаты по времени отклика</w:t>
      </w:r>
    </w:p>
    <w:p>
      <w:pPr>
        <w:jc w:val="center"/>
      </w:pPr>
      <w:r>
        <w:rPr>
          <w:b/>
        </w:rPr>
        <w:t>Таблица 2.1 — Время отклика T_map, T_stl_std, T_stl_hq (warm-cache)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Объем данных</w:t>
            </w:r>
          </w:p>
        </w:tc>
        <w:tc>
          <w:tcPr>
            <w:tcW w:type="dxa" w:w="1728"/>
          </w:tcPr>
          <w:p>
            <w:r>
              <w:t>Размер DEM</w:t>
            </w:r>
          </w:p>
        </w:tc>
        <w:tc>
          <w:tcPr>
            <w:tcW w:type="dxa" w:w="1728"/>
          </w:tcPr>
          <w:p>
            <w:r>
              <w:t>T_map, с</w:t>
            </w:r>
          </w:p>
        </w:tc>
        <w:tc>
          <w:tcPr>
            <w:tcW w:type="dxa" w:w="1728"/>
          </w:tcPr>
          <w:p>
            <w:r>
              <w:t>T_stl_std, с</w:t>
            </w:r>
          </w:p>
        </w:tc>
        <w:tc>
          <w:tcPr>
            <w:tcW w:type="dxa" w:w="1728"/>
          </w:tcPr>
          <w:p>
            <w:r>
              <w:t>T_stl_hq, с</w:t>
            </w:r>
          </w:p>
        </w:tc>
      </w:tr>
      <w:tr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144x144</w:t>
            </w:r>
          </w:p>
        </w:tc>
        <w:tc>
          <w:tcPr>
            <w:tcW w:type="dxa" w:w="1728"/>
          </w:tcPr>
          <w:p>
            <w:r>
              <w:t>0.205</w:t>
            </w:r>
          </w:p>
        </w:tc>
        <w:tc>
          <w:tcPr>
            <w:tcW w:type="dxa" w:w="1728"/>
          </w:tcPr>
          <w:p>
            <w:r>
              <w:t>0.198</w:t>
            </w:r>
          </w:p>
        </w:tc>
        <w:tc>
          <w:tcPr>
            <w:tcW w:type="dxa" w:w="1728"/>
          </w:tcPr>
          <w:p>
            <w:r>
              <w:t>0.414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432x432</w:t>
            </w:r>
          </w:p>
        </w:tc>
        <w:tc>
          <w:tcPr>
            <w:tcW w:type="dxa" w:w="1728"/>
          </w:tcPr>
          <w:p>
            <w:r>
              <w:t>0.325</w:t>
            </w:r>
          </w:p>
        </w:tc>
        <w:tc>
          <w:tcPr>
            <w:tcW w:type="dxa" w:w="1728"/>
          </w:tcPr>
          <w:p>
            <w:r>
              <w:t>0.266</w:t>
            </w:r>
          </w:p>
        </w:tc>
        <w:tc>
          <w:tcPr>
            <w:tcW w:type="dxa" w:w="1728"/>
          </w:tcPr>
          <w:p>
            <w:r>
              <w:t>0.431</w:t>
            </w:r>
          </w:p>
        </w:tc>
      </w:tr>
      <w:tr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720x720</w:t>
            </w:r>
          </w:p>
        </w:tc>
        <w:tc>
          <w:tcPr>
            <w:tcW w:type="dxa" w:w="1728"/>
          </w:tcPr>
          <w:p>
            <w:r>
              <w:t>0.387</w:t>
            </w:r>
          </w:p>
        </w:tc>
        <w:tc>
          <w:tcPr>
            <w:tcW w:type="dxa" w:w="1728"/>
          </w:tcPr>
          <w:p>
            <w:r>
              <w:t>0.304</w:t>
            </w:r>
          </w:p>
        </w:tc>
        <w:tc>
          <w:tcPr>
            <w:tcW w:type="dxa" w:w="1728"/>
          </w:tcPr>
          <w:p>
            <w:r>
              <w:t>0.469</w:t>
            </w:r>
          </w:p>
        </w:tc>
      </w:tr>
    </w:tbl>
    <w:p>
      <w:pPr>
        <w:jc w:val="both"/>
      </w:pPr>
      <w:r>
        <w:rPr>
          <w:b w:val="0"/>
        </w:rPr>
        <w:t>Для режима /map наблюдается рост времени, близкий к прямо-пропорциональному увеличению объема данных. Для /stl рост умеренный за счет ограничений на финальную геометрию.</w:t>
      </w:r>
    </w:p>
    <w:p>
      <w:pPr>
        <w:pStyle w:val="Heading2"/>
        <w:jc w:val="left"/>
      </w:pPr>
      <w:r>
        <w:t>2.4 Результаты по пропускной способности</w:t>
      </w:r>
    </w:p>
    <w:p>
      <w:pPr>
        <w:jc w:val="center"/>
      </w:pPr>
      <w:r>
        <w:rPr>
          <w:b/>
        </w:rPr>
        <w:t>Таблица 2.2 — Пропускная способность Q (по среднему времени отклика)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Режим</w:t>
            </w:r>
          </w:p>
        </w:tc>
        <w:tc>
          <w:tcPr>
            <w:tcW w:type="dxa" w:w="2160"/>
          </w:tcPr>
          <w:p>
            <w:r>
              <w:t>Среднее время, с</w:t>
            </w:r>
          </w:p>
        </w:tc>
        <w:tc>
          <w:tcPr>
            <w:tcW w:type="dxa" w:w="2160"/>
          </w:tcPr>
          <w:p>
            <w:r>
              <w:t>Q, запросов/мин</w:t>
            </w:r>
          </w:p>
        </w:tc>
        <w:tc>
          <w:tcPr>
            <w:tcW w:type="dxa" w:w="2160"/>
          </w:tcPr>
          <w:p>
            <w:r>
              <w:t>Формула расчета</w:t>
            </w:r>
          </w:p>
        </w:tc>
      </w:tr>
      <w:tr>
        <w:tc>
          <w:tcPr>
            <w:tcW w:type="dxa" w:w="2160"/>
          </w:tcPr>
          <w:p>
            <w:r>
              <w:t>/map</w:t>
            </w:r>
          </w:p>
        </w:tc>
        <w:tc>
          <w:tcPr>
            <w:tcW w:type="dxa" w:w="2160"/>
          </w:tcPr>
          <w:p>
            <w:r>
              <w:t>0.306</w:t>
            </w:r>
          </w:p>
        </w:tc>
        <w:tc>
          <w:tcPr>
            <w:tcW w:type="dxa" w:w="2160"/>
          </w:tcPr>
          <w:p>
            <w:r>
              <w:t>196.29</w:t>
            </w:r>
          </w:p>
        </w:tc>
        <w:tc>
          <w:tcPr>
            <w:tcW w:type="dxa" w:w="2160"/>
          </w:tcPr>
          <w:p>
            <w:r>
              <w:t>Q = 60 / T_map</w:t>
            </w:r>
          </w:p>
        </w:tc>
      </w:tr>
      <w:tr>
        <w:tc>
          <w:tcPr>
            <w:tcW w:type="dxa" w:w="2160"/>
          </w:tcPr>
          <w:p>
            <w:r>
              <w:t>/stl standard</w:t>
            </w:r>
          </w:p>
        </w:tc>
        <w:tc>
          <w:tcPr>
            <w:tcW w:type="dxa" w:w="2160"/>
          </w:tcPr>
          <w:p>
            <w:r>
              <w:t>0.256</w:t>
            </w:r>
          </w:p>
        </w:tc>
        <w:tc>
          <w:tcPr>
            <w:tcW w:type="dxa" w:w="2160"/>
          </w:tcPr>
          <w:p>
            <w:r>
              <w:t>234.38</w:t>
            </w:r>
          </w:p>
        </w:tc>
        <w:tc>
          <w:tcPr>
            <w:tcW w:type="dxa" w:w="2160"/>
          </w:tcPr>
          <w:p>
            <w:r>
              <w:t>Q = 60 / T_stl_std</w:t>
            </w:r>
          </w:p>
        </w:tc>
      </w:tr>
      <w:tr>
        <w:tc>
          <w:tcPr>
            <w:tcW w:type="dxa" w:w="2160"/>
          </w:tcPr>
          <w:p>
            <w:r>
              <w:t>/stl high-quality</w:t>
            </w:r>
          </w:p>
        </w:tc>
        <w:tc>
          <w:tcPr>
            <w:tcW w:type="dxa" w:w="2160"/>
          </w:tcPr>
          <w:p>
            <w:r>
              <w:t>0.438</w:t>
            </w:r>
          </w:p>
        </w:tc>
        <w:tc>
          <w:tcPr>
            <w:tcW w:type="dxa" w:w="2160"/>
          </w:tcPr>
          <w:p>
            <w:r>
              <w:t>136.99</w:t>
            </w:r>
          </w:p>
        </w:tc>
        <w:tc>
          <w:tcPr>
            <w:tcW w:type="dxa" w:w="2160"/>
          </w:tcPr>
          <w:p>
            <w:r>
              <w:t>Q = 60 / T_stl_hq</w:t>
            </w:r>
          </w:p>
        </w:tc>
      </w:tr>
    </w:tbl>
    <w:p>
      <w:pPr>
        <w:pStyle w:val="Heading2"/>
        <w:jc w:val="left"/>
      </w:pPr>
      <w:r>
        <w:t>2.5 Результаты по сетевой нагрузке (cold-cache)</w:t>
      </w:r>
    </w:p>
    <w:p>
      <w:pPr>
        <w:jc w:val="center"/>
      </w:pPr>
      <w:r>
        <w:rPr>
          <w:b/>
        </w:rPr>
        <w:t>Таблица 2.3 — Сетевая нагрузка NET_in (реальные измерения)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Объем данных</w:t>
            </w:r>
          </w:p>
        </w:tc>
        <w:tc>
          <w:tcPr>
            <w:tcW w:type="dxa" w:w="2160"/>
          </w:tcPr>
          <w:p>
            <w:r>
              <w:t>Размер DEM</w:t>
            </w:r>
          </w:p>
        </w:tc>
        <w:tc>
          <w:tcPr>
            <w:tcW w:type="dxa" w:w="2160"/>
          </w:tcPr>
          <w:p>
            <w:r>
              <w:t>NET_in, МБ/запрос</w:t>
            </w:r>
          </w:p>
        </w:tc>
        <w:tc>
          <w:tcPr>
            <w:tcW w:type="dxa" w:w="2160"/>
          </w:tcPr>
          <w:p>
            <w:r>
              <w:t>Источник DEM</w:t>
            </w:r>
          </w:p>
        </w:tc>
      </w:tr>
      <w:tr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144x144</w:t>
            </w:r>
          </w:p>
        </w:tc>
        <w:tc>
          <w:tcPr>
            <w:tcW w:type="dxa" w:w="2160"/>
          </w:tcPr>
          <w:p>
            <w:r>
              <w:t>0.013</w:t>
            </w:r>
          </w:p>
        </w:tc>
        <w:tc>
          <w:tcPr>
            <w:tcW w:type="dxa" w:w="2160"/>
          </w:tcPr>
          <w:p>
            <w:r>
              <w:t>SRTMGL1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432x432</w:t>
            </w:r>
          </w:p>
        </w:tc>
        <w:tc>
          <w:tcPr>
            <w:tcW w:type="dxa" w:w="2160"/>
          </w:tcPr>
          <w:p>
            <w:r>
              <w:t>0.094</w:t>
            </w:r>
          </w:p>
        </w:tc>
        <w:tc>
          <w:tcPr>
            <w:tcW w:type="dxa" w:w="2160"/>
          </w:tcPr>
          <w:p>
            <w:r>
              <w:t>SRTMGL1</w:t>
            </w:r>
          </w:p>
        </w:tc>
      </w:tr>
      <w:tr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720x720</w:t>
            </w:r>
          </w:p>
        </w:tc>
        <w:tc>
          <w:tcPr>
            <w:tcW w:type="dxa" w:w="2160"/>
          </w:tcPr>
          <w:p>
            <w:r>
              <w:t>0.254</w:t>
            </w:r>
          </w:p>
        </w:tc>
        <w:tc>
          <w:tcPr>
            <w:tcW w:type="dxa" w:w="2160"/>
          </w:tcPr>
          <w:p>
            <w:r>
              <w:t>SRTMGL1</w:t>
            </w:r>
          </w:p>
        </w:tc>
      </w:tr>
    </w:tbl>
    <w:p>
      <w:pPr>
        <w:jc w:val="both"/>
      </w:pPr>
      <w:r>
        <w:rPr>
          <w:b w:val="0"/>
        </w:rPr>
        <w:t>Зависимость NET_in от размера области является возрастающей: при расширении bbox увеличивается объем скачиваемого GeoTIFF, что напрямую влияет на сетевую составляющую задержки в cold-cache режиме.</w:t>
      </w:r>
    </w:p>
    <w:p>
      <w:pPr>
        <w:pStyle w:val="Heading2"/>
        <w:jc w:val="left"/>
      </w:pPr>
      <w:r>
        <w:t>2.6 Сравнение с аналогами по выбранным критериям</w:t>
      </w:r>
    </w:p>
    <w:p>
      <w:pPr>
        <w:jc w:val="center"/>
      </w:pPr>
      <w:r>
        <w:rPr>
          <w:b/>
        </w:rPr>
        <w:t>Таблица 2.4 — Сопоставление с аналогами по T, Q и NET_in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Критерий</w:t>
            </w:r>
          </w:p>
        </w:tc>
        <w:tc>
          <w:tcPr>
            <w:tcW w:type="dxa" w:w="1440"/>
          </w:tcPr>
          <w:p>
            <w:r>
              <w:t>Разработанное решение</w:t>
            </w:r>
          </w:p>
        </w:tc>
        <w:tc>
          <w:tcPr>
            <w:tcW w:type="dxa" w:w="1440"/>
          </w:tcPr>
          <w:p>
            <w:r>
              <w:t>QGIS</w:t>
            </w:r>
          </w:p>
        </w:tc>
        <w:tc>
          <w:tcPr>
            <w:tcW w:type="dxa" w:w="1440"/>
          </w:tcPr>
          <w:p>
            <w:r>
              <w:t>GRASS GIS</w:t>
            </w:r>
          </w:p>
        </w:tc>
        <w:tc>
          <w:tcPr>
            <w:tcW w:type="dxa" w:w="1440"/>
          </w:tcPr>
          <w:p>
            <w:r>
              <w:t>WhiteboxTools</w:t>
            </w:r>
          </w:p>
        </w:tc>
        <w:tc>
          <w:tcPr>
            <w:tcW w:type="dxa" w:w="1440"/>
          </w:tcPr>
          <w:p>
            <w:r>
              <w:t>xDEM/OpenTopography</w:t>
            </w:r>
          </w:p>
        </w:tc>
      </w:tr>
      <w:tr>
        <w:tc>
          <w:tcPr>
            <w:tcW w:type="dxa" w:w="1440"/>
          </w:tcPr>
          <w:p>
            <w:r>
              <w:t>T_map</w:t>
            </w:r>
          </w:p>
        </w:tc>
        <w:tc>
          <w:tcPr>
            <w:tcW w:type="dxa" w:w="1440"/>
          </w:tcPr>
          <w:p>
            <w:r>
              <w:t>0.205–0.387 с (warm-cache)</w:t>
            </w:r>
          </w:p>
        </w:tc>
        <w:tc>
          <w:tcPr>
            <w:tcW w:type="dxa" w:w="1440"/>
          </w:tcPr>
          <w:p>
            <w:r>
              <w:t>Зависит от ручного GUI-пайплайна, единый SLA не фиксирован</w:t>
            </w:r>
          </w:p>
        </w:tc>
        <w:tc>
          <w:tcPr>
            <w:tcW w:type="dxa" w:w="1440"/>
          </w:tcPr>
          <w:p>
            <w:r>
              <w:t>Зависит от скриптового конвейера и настроек</w:t>
            </w:r>
          </w:p>
        </w:tc>
        <w:tc>
          <w:tcPr>
            <w:tcW w:type="dxa" w:w="1440"/>
          </w:tcPr>
          <w:p>
            <w:r>
              <w:t>Зависит от CLI-конвейера и состава шагов</w:t>
            </w:r>
          </w:p>
        </w:tc>
        <w:tc>
          <w:tcPr>
            <w:tcW w:type="dxa" w:w="1440"/>
          </w:tcPr>
          <w:p>
            <w:r>
              <w:t>Как правило требуется внешний конвейер визуализации/обработки</w:t>
            </w:r>
          </w:p>
        </w:tc>
      </w:tr>
      <w:tr>
        <w:tc>
          <w:tcPr>
            <w:tcW w:type="dxa" w:w="1440"/>
          </w:tcPr>
          <w:p>
            <w:r>
              <w:t>T_stl_std, T_stl_hq</w:t>
            </w:r>
          </w:p>
        </w:tc>
        <w:tc>
          <w:tcPr>
            <w:tcW w:type="dxa" w:w="1440"/>
          </w:tcPr>
          <w:p>
            <w:r>
              <w:t>0.198–0.304 с и 0.414–0.469 с</w:t>
            </w:r>
          </w:p>
        </w:tc>
        <w:tc>
          <w:tcPr>
            <w:tcW w:type="dxa" w:w="1440"/>
          </w:tcPr>
          <w:p>
            <w:r>
              <w:t>Обычно через внешние плагины/этапы, прямой метрики нет</w:t>
            </w:r>
          </w:p>
        </w:tc>
        <w:tc>
          <w:tcPr>
            <w:tcW w:type="dxa" w:w="1440"/>
          </w:tcPr>
          <w:p>
            <w:r>
              <w:t>Как правило внешний экспорт и постобработка</w:t>
            </w:r>
          </w:p>
        </w:tc>
        <w:tc>
          <w:tcPr>
            <w:tcW w:type="dxa" w:w="1440"/>
          </w:tcPr>
          <w:p>
            <w:r>
              <w:t>Через внешний пайплайн генерации модели</w:t>
            </w:r>
          </w:p>
        </w:tc>
        <w:tc>
          <w:tcPr>
            <w:tcW w:type="dxa" w:w="1440"/>
          </w:tcPr>
          <w:p>
            <w:r>
              <w:t>Нет нативного сквозного STL-контура с основанием</w:t>
            </w:r>
          </w:p>
        </w:tc>
      </w:tr>
      <w:tr>
        <w:tc>
          <w:tcPr>
            <w:tcW w:type="dxa" w:w="1440"/>
          </w:tcPr>
          <w:p>
            <w:r>
              <w:t>Q</w:t>
            </w:r>
          </w:p>
        </w:tc>
        <w:tc>
          <w:tcPr>
            <w:tcW w:type="dxa" w:w="1440"/>
          </w:tcPr>
          <w:p>
            <w:r>
              <w:t>136.99–234.38 запросов/мин (warm-cache)</w:t>
            </w:r>
          </w:p>
        </w:tc>
        <w:tc>
          <w:tcPr>
            <w:tcW w:type="dxa" w:w="1440"/>
          </w:tcPr>
          <w:p>
            <w:r>
              <w:t>Не нормируется как сервисная метрика запросов</w:t>
            </w:r>
          </w:p>
        </w:tc>
        <w:tc>
          <w:tcPr>
            <w:tcW w:type="dxa" w:w="1440"/>
          </w:tcPr>
          <w:p>
            <w:r>
              <w:t>Не нормируется как сервисная метрика запросов</w:t>
            </w:r>
          </w:p>
        </w:tc>
        <w:tc>
          <w:tcPr>
            <w:tcW w:type="dxa" w:w="1440"/>
          </w:tcPr>
          <w:p>
            <w:r>
              <w:t>Не нормируется как сервисная метрика запросов</w:t>
            </w:r>
          </w:p>
        </w:tc>
        <w:tc>
          <w:tcPr>
            <w:tcW w:type="dxa" w:w="1440"/>
          </w:tcPr>
          <w:p>
            <w:r>
              <w:t>Для веб-источника нормируется API-доступ, а не end-to-end артефакт</w:t>
            </w:r>
          </w:p>
        </w:tc>
      </w:tr>
      <w:tr>
        <w:tc>
          <w:tcPr>
            <w:tcW w:type="dxa" w:w="1440"/>
          </w:tcPr>
          <w:p>
            <w:r>
              <w:t>NET_in</w:t>
            </w:r>
          </w:p>
        </w:tc>
        <w:tc>
          <w:tcPr>
            <w:tcW w:type="dxa" w:w="1440"/>
          </w:tcPr>
          <w:p>
            <w:r>
              <w:t>0.013–0.254 МБ/запрос (cold-cache)</w:t>
            </w:r>
          </w:p>
        </w:tc>
        <w:tc>
          <w:tcPr>
            <w:tcW w:type="dxa" w:w="1440"/>
          </w:tcPr>
          <w:p>
            <w:r>
              <w:t>Обычно не выделяется отдельно в GUI-сценарии</w:t>
            </w:r>
          </w:p>
        </w:tc>
        <w:tc>
          <w:tcPr>
            <w:tcW w:type="dxa" w:w="1440"/>
          </w:tcPr>
          <w:p>
            <w:r>
              <w:t>Зависит от внешнего источника и сценария загрузки</w:t>
            </w:r>
          </w:p>
        </w:tc>
        <w:tc>
          <w:tcPr>
            <w:tcW w:type="dxa" w:w="1440"/>
          </w:tcPr>
          <w:p>
            <w:r>
              <w:t>Зависит от используемого источника DEM</w:t>
            </w:r>
          </w:p>
        </w:tc>
        <w:tc>
          <w:tcPr>
            <w:tcW w:type="dxa" w:w="1440"/>
          </w:tcPr>
          <w:p>
            <w:r>
              <w:t>Для OpenTopography является ключевой эксплуатационной характеристикой API-доступа</w:t>
            </w:r>
          </w:p>
        </w:tc>
      </w:tr>
    </w:tbl>
    <w:p>
      <w:pPr>
        <w:pStyle w:val="Heading2"/>
        <w:jc w:val="left"/>
      </w:pPr>
      <w:r>
        <w:t>2.7 Выводы по эксперименту</w:t>
      </w:r>
    </w:p>
    <w:p>
      <w:pPr>
        <w:jc w:val="both"/>
      </w:pPr>
      <w:r>
        <w:rPr>
          <w:b w:val="0"/>
        </w:rPr>
        <w:t>По выбранным количественным критериям гипотезы подтверждены. Решение обеспечивает интерактивный отклик в warm-cache, приемлемую пропускную способность и измеряемую сетевую нагрузку в cold-cache без использования заглушечных оценок.</w:t>
      </w:r>
    </w:p>
    <w:p>
      <w:pPr>
        <w:pStyle w:val="Heading2"/>
        <w:jc w:val="left"/>
      </w:pPr>
      <w:r>
        <w:t>2.8 Сравнение по критериям 1, 2 и 6</w:t>
      </w:r>
    </w:p>
    <w:p>
      <w:pPr>
        <w:jc w:val="both"/>
      </w:pPr>
      <w:r>
        <w:t>Сравнение выполнено по трем количественным критериям: (1) TTFR — время до первого валидного результата, (2) количество пользовательских шагов до результата, (6) кроссплатформенность (число поддерживаемых ОС). Для разработанного решения TTFR измерен экспериментально. Для аналогов TTFR и количество шагов приведены как экспертная оценка типового сценария по официальной документации и принятой последовательности действий пользователя.</w:t>
      </w:r>
    </w:p>
    <w:p>
      <w:pPr>
        <w:jc w:val="center"/>
      </w:pPr>
      <w:r>
        <w:rPr>
          <w:b/>
        </w:rPr>
        <w:t>Таблица 2.5 — Сравнение конкурентов по критериям 1, 2, 6 и поддержке STL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Решение</w:t>
            </w:r>
          </w:p>
        </w:tc>
        <w:tc>
          <w:tcPr>
            <w:tcW w:type="dxa" w:w="1728"/>
          </w:tcPr>
          <w:p>
            <w:r>
              <w:t>TTFR (мин)</w:t>
            </w:r>
          </w:p>
        </w:tc>
        <w:tc>
          <w:tcPr>
            <w:tcW w:type="dxa" w:w="1728"/>
          </w:tcPr>
          <w:p>
            <w:r>
              <w:t>Шагов до результата, шт</w:t>
            </w:r>
          </w:p>
        </w:tc>
        <w:tc>
          <w:tcPr>
            <w:tcW w:type="dxa" w:w="1728"/>
          </w:tcPr>
          <w:p>
            <w:r>
              <w:t>Кроссплатформенность, ОС</w:t>
            </w:r>
          </w:p>
        </w:tc>
        <w:tc>
          <w:tcPr>
            <w:tcW w:type="dxa" w:w="1728"/>
          </w:tcPr>
          <w:p>
            <w:r>
              <w:t>Нативная поддержка STL</w:t>
            </w:r>
          </w:p>
        </w:tc>
      </w:tr>
      <w:tr>
        <w:tc>
          <w:tcPr>
            <w:tcW w:type="dxa" w:w="1728"/>
          </w:tcPr>
          <w:p>
            <w:r>
              <w:t>Разработанное решение (Telegram-бот)</w:t>
            </w:r>
          </w:p>
        </w:tc>
        <w:tc>
          <w:tcPr>
            <w:tcW w:type="dxa" w:w="1728"/>
          </w:tcPr>
          <w:p>
            <w:r>
              <w:t>0.0048 (warm) / 0.1905 (cold)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 (Windows, Linux, macOS)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</w:tr>
      <w:tr>
        <w:tc>
          <w:tcPr>
            <w:tcW w:type="dxa" w:w="1728"/>
          </w:tcPr>
          <w:p>
            <w:r>
              <w:t>QGIS</w:t>
            </w:r>
          </w:p>
        </w:tc>
        <w:tc>
          <w:tcPr>
            <w:tcW w:type="dxa" w:w="1728"/>
          </w:tcPr>
          <w:p>
            <w:r>
              <w:t>3–7 (оценка)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GRASS GIS</w:t>
            </w:r>
          </w:p>
        </w:tc>
        <w:tc>
          <w:tcPr>
            <w:tcW w:type="dxa" w:w="1728"/>
          </w:tcPr>
          <w:p>
            <w:r>
              <w:t>4–9 (оценка)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WhiteboxTools</w:t>
            </w:r>
          </w:p>
        </w:tc>
        <w:tc>
          <w:tcPr>
            <w:tcW w:type="dxa" w:w="1728"/>
          </w:tcPr>
          <w:p>
            <w:r>
              <w:t>3–8 (оценка)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xDEM</w:t>
            </w:r>
          </w:p>
        </w:tc>
        <w:tc>
          <w:tcPr>
            <w:tcW w:type="dxa" w:w="1728"/>
          </w:tcPr>
          <w:p>
            <w:r>
              <w:t>2–6 (оценка)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OpenTopography</w:t>
            </w:r>
          </w:p>
        </w:tc>
        <w:tc>
          <w:tcPr>
            <w:tcW w:type="dxa" w:w="1728"/>
          </w:tcPr>
          <w:p>
            <w:r>
              <w:t>2–4 (оценка)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 (Windows, macOS)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</w:tbl>
    <w:p>
      <w:pPr>
        <w:jc w:val="both"/>
      </w:pPr>
      <w:r>
        <w:t>Из таблицы следует, что разработанное решение имеет минимальный TTFR и минимальное число пользовательских шагов в целевом сценарии. По кроссплатформенности решение находится на уровне большинства конкурентов (3 ОС). Дополнительным прикладным преимуществом является нативная генерация STL с основанием, отсутствующая у рассмотренных аналогов в базовой поставке.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