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2. Исследование свойств решения</w:t>
      </w:r>
    </w:p>
    <w:p>
      <w:pPr>
        <w:jc w:val="both"/>
      </w:pPr>
      <w:r>
        <w:t>Цель раздела — исследовать качественные и количественные свойства разработанного программного решения и противопоставить полученные результаты аналогам. Исследование выполнено в формате численного эксперимента с фиксированной методикой и воспроизводимым набором входных данных.</w:t>
      </w:r>
    </w:p>
    <w:p>
      <w:pPr>
        <w:pStyle w:val="Heading2"/>
        <w:jc w:val="left"/>
      </w:pPr>
      <w:r>
        <w:t>2.1 Свойства, выбранные для исследования</w:t>
      </w:r>
    </w:p>
    <w:p>
      <w:pPr>
        <w:jc w:val="both"/>
      </w:pPr>
      <w:r>
        <w:t>Для программного решения выбраны четыре группы свойств: (1) быстродействие, (2) расход ресурсов, (3) надежность, (4) точность алгоритмической реализации в целевом пользовательском сценарии через операционные метрики. В качестве основных количественных критериев приняты T_map, T_stl_std, T_stl_hq, Q и NET_in.</w:t>
      </w:r>
    </w:p>
    <w:p>
      <w:pPr>
        <w:jc w:val="center"/>
      </w:pPr>
      <w:r>
        <w:rPr>
          <w:b/>
        </w:rPr>
        <w:t>Таблица 2.1 — Количественные критерии исследования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Критерий</w:t>
            </w:r>
          </w:p>
        </w:tc>
        <w:tc>
          <w:tcPr>
            <w:tcW w:type="dxa" w:w="2160"/>
          </w:tcPr>
          <w:p>
            <w:r>
              <w:t>Обозначение</w:t>
            </w:r>
          </w:p>
        </w:tc>
        <w:tc>
          <w:tcPr>
            <w:tcW w:type="dxa" w:w="2160"/>
          </w:tcPr>
          <w:p>
            <w:r>
              <w:t>Единица</w:t>
            </w:r>
          </w:p>
        </w:tc>
        <w:tc>
          <w:tcPr>
            <w:tcW w:type="dxa" w:w="2160"/>
          </w:tcPr>
          <w:p>
            <w:r>
              <w:t>Смысл</w:t>
            </w:r>
          </w:p>
        </w:tc>
      </w:tr>
      <w:tr>
        <w:tc>
          <w:tcPr>
            <w:tcW w:type="dxa" w:w="2160"/>
          </w:tcPr>
          <w:p>
            <w:r>
              <w:t>Время отклика карты</w:t>
            </w:r>
          </w:p>
        </w:tc>
        <w:tc>
          <w:tcPr>
            <w:tcW w:type="dxa" w:w="2160"/>
          </w:tcPr>
          <w:p>
            <w:r>
              <w:t>T_map</w:t>
            </w:r>
          </w:p>
        </w:tc>
        <w:tc>
          <w:tcPr>
            <w:tcW w:type="dxa" w:w="2160"/>
          </w:tcPr>
          <w:p>
            <w:r>
              <w:t>сек</w:t>
            </w:r>
          </w:p>
        </w:tc>
        <w:tc>
          <w:tcPr>
            <w:tcW w:type="dxa" w:w="2160"/>
          </w:tcPr>
          <w:p>
            <w:r>
              <w:t>От получения корректного запроса до готового PNG</w:t>
            </w:r>
          </w:p>
        </w:tc>
      </w:tr>
      <w:tr>
        <w:tc>
          <w:tcPr>
            <w:tcW w:type="dxa" w:w="2160"/>
          </w:tcPr>
          <w:p>
            <w:r>
              <w:t>Время отклика STL (standard)</w:t>
            </w:r>
          </w:p>
        </w:tc>
        <w:tc>
          <w:tcPr>
            <w:tcW w:type="dxa" w:w="2160"/>
          </w:tcPr>
          <w:p>
            <w:r>
              <w:t>T_stl_std</w:t>
            </w:r>
          </w:p>
        </w:tc>
        <w:tc>
          <w:tcPr>
            <w:tcW w:type="dxa" w:w="2160"/>
          </w:tcPr>
          <w:p>
            <w:r>
              <w:t>сек</w:t>
            </w:r>
          </w:p>
        </w:tc>
        <w:tc>
          <w:tcPr>
            <w:tcW w:type="dxa" w:w="2160"/>
          </w:tcPr>
          <w:p>
            <w:r>
              <w:t>От запроса до готового STL standard</w:t>
            </w:r>
          </w:p>
        </w:tc>
      </w:tr>
      <w:tr>
        <w:tc>
          <w:tcPr>
            <w:tcW w:type="dxa" w:w="2160"/>
          </w:tcPr>
          <w:p>
            <w:r>
              <w:t>Время отклика STL (high-quality)</w:t>
            </w:r>
          </w:p>
        </w:tc>
        <w:tc>
          <w:tcPr>
            <w:tcW w:type="dxa" w:w="2160"/>
          </w:tcPr>
          <w:p>
            <w:r>
              <w:t>T_stl_hq</w:t>
            </w:r>
          </w:p>
        </w:tc>
        <w:tc>
          <w:tcPr>
            <w:tcW w:type="dxa" w:w="2160"/>
          </w:tcPr>
          <w:p>
            <w:r>
              <w:t>сек</w:t>
            </w:r>
          </w:p>
        </w:tc>
        <w:tc>
          <w:tcPr>
            <w:tcW w:type="dxa" w:w="2160"/>
          </w:tcPr>
          <w:p>
            <w:r>
              <w:t>От запроса до готового STL high-quality</w:t>
            </w:r>
          </w:p>
        </w:tc>
      </w:tr>
      <w:tr>
        <w:tc>
          <w:tcPr>
            <w:tcW w:type="dxa" w:w="2160"/>
          </w:tcPr>
          <w:p>
            <w:r>
              <w:t>Пропускная способность</w:t>
            </w:r>
          </w:p>
        </w:tc>
        <w:tc>
          <w:tcPr>
            <w:tcW w:type="dxa" w:w="2160"/>
          </w:tcPr>
          <w:p>
            <w:r>
              <w:t>Q = N/Δt</w:t>
            </w:r>
          </w:p>
        </w:tc>
        <w:tc>
          <w:tcPr>
            <w:tcW w:type="dxa" w:w="2160"/>
          </w:tcPr>
          <w:p>
            <w:r>
              <w:t>запросов/мин</w:t>
            </w:r>
          </w:p>
        </w:tc>
        <w:tc>
          <w:tcPr>
            <w:tcW w:type="dxa" w:w="2160"/>
          </w:tcPr>
          <w:p>
            <w:r>
              <w:t>Количество успешно обработанных запросов в минуту</w:t>
            </w:r>
          </w:p>
        </w:tc>
      </w:tr>
      <w:tr>
        <w:tc>
          <w:tcPr>
            <w:tcW w:type="dxa" w:w="2160"/>
          </w:tcPr>
          <w:p>
            <w:r>
              <w:t>Сетевая нагрузка cold-cache</w:t>
            </w:r>
          </w:p>
        </w:tc>
        <w:tc>
          <w:tcPr>
            <w:tcW w:type="dxa" w:w="2160"/>
          </w:tcPr>
          <w:p>
            <w:r>
              <w:t>NET_in</w:t>
            </w:r>
          </w:p>
        </w:tc>
        <w:tc>
          <w:tcPr>
            <w:tcW w:type="dxa" w:w="2160"/>
          </w:tcPr>
          <w:p>
            <w:r>
              <w:t>МБ/запрос</w:t>
            </w:r>
          </w:p>
        </w:tc>
        <w:tc>
          <w:tcPr>
            <w:tcW w:type="dxa" w:w="2160"/>
          </w:tcPr>
          <w:p>
            <w:r>
              <w:t>Объем DEM, скачиваемого из API без кэша</w:t>
            </w:r>
          </w:p>
        </w:tc>
      </w:tr>
    </w:tbl>
    <w:p>
      <w:pPr>
        <w:pStyle w:val="Heading2"/>
        <w:jc w:val="left"/>
      </w:pPr>
      <w:r>
        <w:t>2.2 Описание эксперимента</w:t>
      </w:r>
    </w:p>
    <w:p>
      <w:pPr>
        <w:jc w:val="both"/>
      </w:pPr>
      <w:r>
        <w:t>Сценарий эксперимента включает три размера области: small (0.04°x0.04°), medium (0.12°x0.12°), large (0.20°x0.20°). Область задается двумя углами. Для warm-cache выполняется 4 прогона каждого сценария, первый прогон исключается как прогревочный. Для cold-cache замеряется сетевая нагрузка запроса DEM.</w:t>
      </w:r>
    </w:p>
    <w:p>
      <w:pPr>
        <w:jc w:val="both"/>
      </w:pPr>
      <w:r>
        <w:t>Входные данные: координаты области в районе Москвы, источник DEM: OpenTopography (SRTMGL1; fallback доступен в системе).</w:t>
      </w:r>
    </w:p>
    <w:p>
      <w:pPr>
        <w:jc w:val="both"/>
      </w:pPr>
      <w:r>
        <w:t>Подтверждаемая гипотеза: разработанное решение обеспечивает интерактивный отклик в warm-cache, предсказуемый рост времени с увеличением объема данных и измеряемую, ограниченную сетевую нагрузку в cold-cache.</w:t>
      </w:r>
    </w:p>
    <w:p>
      <w:pPr>
        <w:pStyle w:val="Heading2"/>
        <w:jc w:val="left"/>
      </w:pPr>
      <w:r>
        <w:t>2.3 Методика измерения</w:t>
      </w:r>
    </w:p>
    <w:p>
      <w:pPr>
        <w:jc w:val="both"/>
      </w:pPr>
      <w:r>
        <w:t>Измерения проведены на локальной рабочей станции (macOS, Python 3.11+). Временные метрики измерялись высокоточным таймером Python. Сетевая нагрузка вычислялась как размер HTTP-ответа GeoTIFF в МБ при запросе к OpenTopography API. Пропускная способность рассчитывалась по формуле Q = 60 / T, где T — среднее время обработки одного запроса соответствующего режима.</w:t>
      </w:r>
    </w:p>
    <w:p>
      <w:pPr>
        <w:jc w:val="both"/>
      </w:pPr>
      <w:r>
        <w:t>Используемые программные средства: requests, numpy, scipy, matplotlib, rasterio, aiogram.</w:t>
      </w:r>
    </w:p>
    <w:p>
      <w:pPr>
        <w:pStyle w:val="Heading2"/>
        <w:jc w:val="left"/>
      </w:pPr>
      <w:r>
        <w:t>2.4 Результаты эксперимента</w:t>
      </w:r>
    </w:p>
    <w:p>
      <w:pPr>
        <w:jc w:val="center"/>
      </w:pPr>
      <w:r>
        <w:rPr>
          <w:b/>
        </w:rPr>
        <w:t>Таблица 2.2 — Время отклика в режиме warm-cache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Объем данных</w:t>
            </w:r>
          </w:p>
        </w:tc>
        <w:tc>
          <w:tcPr>
            <w:tcW w:type="dxa" w:w="1440"/>
          </w:tcPr>
          <w:p>
            <w:r>
              <w:t>Размер DEM</w:t>
            </w:r>
          </w:p>
        </w:tc>
        <w:tc>
          <w:tcPr>
            <w:tcW w:type="dxa" w:w="1440"/>
          </w:tcPr>
          <w:p>
            <w:r>
              <w:t>T_map, с</w:t>
            </w:r>
          </w:p>
        </w:tc>
        <w:tc>
          <w:tcPr>
            <w:tcW w:type="dxa" w:w="1440"/>
          </w:tcPr>
          <w:p>
            <w:r>
              <w:t>T_stl_std, с</w:t>
            </w:r>
          </w:p>
        </w:tc>
        <w:tc>
          <w:tcPr>
            <w:tcW w:type="dxa" w:w="1440"/>
          </w:tcPr>
          <w:p>
            <w:r>
              <w:t>T_stl_hq, с</w:t>
            </w:r>
          </w:p>
        </w:tc>
        <w:tc>
          <w:tcPr>
            <w:tcW w:type="dxa" w:w="1440"/>
          </w:tcPr>
          <w:p>
            <w:r>
              <w:t>Комментарий</w:t>
            </w:r>
          </w:p>
        </w:tc>
      </w:tr>
      <w:tr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144x144</w:t>
            </w:r>
          </w:p>
        </w:tc>
        <w:tc>
          <w:tcPr>
            <w:tcW w:type="dxa" w:w="1440"/>
          </w:tcPr>
          <w:p>
            <w:r>
              <w:t>0.214</w:t>
            </w:r>
          </w:p>
        </w:tc>
        <w:tc>
          <w:tcPr>
            <w:tcW w:type="dxa" w:w="1440"/>
          </w:tcPr>
          <w:p>
            <w:r>
              <w:t>0.203</w:t>
            </w:r>
          </w:p>
        </w:tc>
        <w:tc>
          <w:tcPr>
            <w:tcW w:type="dxa" w:w="1440"/>
          </w:tcPr>
          <w:p>
            <w:r>
              <w:t>0.422</w:t>
            </w:r>
          </w:p>
        </w:tc>
        <w:tc>
          <w:tcPr>
            <w:tcW w:type="dxa" w:w="1440"/>
          </w:tcPr>
          <w:p>
            <w:r>
              <w:t>Интерактивный отклик</w:t>
            </w:r>
          </w:p>
        </w:tc>
      </w:tr>
      <w:tr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432x432</w:t>
            </w:r>
          </w:p>
        </w:tc>
        <w:tc>
          <w:tcPr>
            <w:tcW w:type="dxa" w:w="1440"/>
          </w:tcPr>
          <w:p>
            <w:r>
              <w:t>0.342</w:t>
            </w:r>
          </w:p>
        </w:tc>
        <w:tc>
          <w:tcPr>
            <w:tcW w:type="dxa" w:w="1440"/>
          </w:tcPr>
          <w:p>
            <w:r>
              <w:t>0.274</w:t>
            </w:r>
          </w:p>
        </w:tc>
        <w:tc>
          <w:tcPr>
            <w:tcW w:type="dxa" w:w="1440"/>
          </w:tcPr>
          <w:p>
            <w:r>
              <w:t>0.464</w:t>
            </w:r>
          </w:p>
        </w:tc>
        <w:tc>
          <w:tcPr>
            <w:tcW w:type="dxa" w:w="1440"/>
          </w:tcPr>
          <w:p>
            <w:r>
              <w:t>Интерактивный отклик</w:t>
            </w:r>
          </w:p>
        </w:tc>
      </w:tr>
      <w:tr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720x720</w:t>
            </w:r>
          </w:p>
        </w:tc>
        <w:tc>
          <w:tcPr>
            <w:tcW w:type="dxa" w:w="1440"/>
          </w:tcPr>
          <w:p>
            <w:r>
              <w:t>0.381</w:t>
            </w:r>
          </w:p>
        </w:tc>
        <w:tc>
          <w:tcPr>
            <w:tcW w:type="dxa" w:w="1440"/>
          </w:tcPr>
          <w:p>
            <w:r>
              <w:t>0.315</w:t>
            </w:r>
          </w:p>
        </w:tc>
        <w:tc>
          <w:tcPr>
            <w:tcW w:type="dxa" w:w="1440"/>
          </w:tcPr>
          <w:p>
            <w:r>
              <w:t>0.486</w:t>
            </w:r>
          </w:p>
        </w:tc>
        <w:tc>
          <w:tcPr>
            <w:tcW w:type="dxa" w:w="1440"/>
          </w:tcPr>
          <w:p>
            <w:r>
              <w:t>Интерактивный отклик</w:t>
            </w:r>
          </w:p>
        </w:tc>
      </w:tr>
    </w:tbl>
    <w:p>
      <w:pPr>
        <w:jc w:val="center"/>
      </w:pPr>
      <w:r>
        <w:rPr>
          <w:b/>
        </w:rPr>
        <w:t>Таблица 2.3 — Пропускная способность по режимам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Режим</w:t>
            </w:r>
          </w:p>
        </w:tc>
        <w:tc>
          <w:tcPr>
            <w:tcW w:type="dxa" w:w="2160"/>
          </w:tcPr>
          <w:p>
            <w:r>
              <w:t>Среднее время, с</w:t>
            </w:r>
          </w:p>
        </w:tc>
        <w:tc>
          <w:tcPr>
            <w:tcW w:type="dxa" w:w="2160"/>
          </w:tcPr>
          <w:p>
            <w:r>
              <w:t>Q, запросов/мин</w:t>
            </w:r>
          </w:p>
        </w:tc>
        <w:tc>
          <w:tcPr>
            <w:tcW w:type="dxa" w:w="2160"/>
          </w:tcPr>
          <w:p>
            <w:r>
              <w:t>Зависимость</w:t>
            </w:r>
          </w:p>
        </w:tc>
      </w:tr>
      <w:tr>
        <w:tc>
          <w:tcPr>
            <w:tcW w:type="dxa" w:w="2160"/>
          </w:tcPr>
          <w:p>
            <w:r>
              <w:t>/map</w:t>
            </w:r>
          </w:p>
        </w:tc>
        <w:tc>
          <w:tcPr>
            <w:tcW w:type="dxa" w:w="2160"/>
          </w:tcPr>
          <w:p>
            <w:r>
              <w:t>0.312</w:t>
            </w:r>
          </w:p>
        </w:tc>
        <w:tc>
          <w:tcPr>
            <w:tcW w:type="dxa" w:w="2160"/>
          </w:tcPr>
          <w:p>
            <w:r>
              <w:t>204.57</w:t>
            </w:r>
          </w:p>
        </w:tc>
        <w:tc>
          <w:tcPr>
            <w:tcW w:type="dxa" w:w="2160"/>
          </w:tcPr>
          <w:p>
            <w:r>
              <w:t>Обратно пропорциональна времени обработки</w:t>
            </w:r>
          </w:p>
        </w:tc>
      </w:tr>
      <w:tr>
        <w:tc>
          <w:tcPr>
            <w:tcW w:type="dxa" w:w="2160"/>
          </w:tcPr>
          <w:p>
            <w:r>
              <w:t>/stl standard</w:t>
            </w:r>
          </w:p>
        </w:tc>
        <w:tc>
          <w:tcPr>
            <w:tcW w:type="dxa" w:w="2160"/>
          </w:tcPr>
          <w:p>
            <w:r>
              <w:t>0.264</w:t>
            </w:r>
          </w:p>
        </w:tc>
        <w:tc>
          <w:tcPr>
            <w:tcW w:type="dxa" w:w="2160"/>
          </w:tcPr>
          <w:p>
            <w:r>
              <w:t>235.33</w:t>
            </w:r>
          </w:p>
        </w:tc>
        <w:tc>
          <w:tcPr>
            <w:tcW w:type="dxa" w:w="2160"/>
          </w:tcPr>
          <w:p>
            <w:r>
              <w:t>Наибольшая Q среди STL-режимов</w:t>
            </w:r>
          </w:p>
        </w:tc>
      </w:tr>
      <w:tr>
        <w:tc>
          <w:tcPr>
            <w:tcW w:type="dxa" w:w="2160"/>
          </w:tcPr>
          <w:p>
            <w:r>
              <w:t>/stl high-quality</w:t>
            </w:r>
          </w:p>
        </w:tc>
        <w:tc>
          <w:tcPr>
            <w:tcW w:type="dxa" w:w="2160"/>
          </w:tcPr>
          <w:p>
            <w:r>
              <w:t>0.457</w:t>
            </w:r>
          </w:p>
        </w:tc>
        <w:tc>
          <w:tcPr>
            <w:tcW w:type="dxa" w:w="2160"/>
          </w:tcPr>
          <w:p>
            <w:r>
              <w:t>131.64</w:t>
            </w:r>
          </w:p>
        </w:tc>
        <w:tc>
          <w:tcPr>
            <w:tcW w:type="dxa" w:w="2160"/>
          </w:tcPr>
          <w:p>
            <w:r>
              <w:t>Снижение Q из-за более тяжелой геометрии</w:t>
            </w:r>
          </w:p>
        </w:tc>
      </w:tr>
    </w:tbl>
    <w:p>
      <w:pPr>
        <w:jc w:val="center"/>
      </w:pPr>
      <w:r>
        <w:rPr>
          <w:b/>
        </w:rPr>
        <w:t>Таблица 2.4 — Сетевая нагрузка (cold-cache)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Объем данных</w:t>
            </w:r>
          </w:p>
        </w:tc>
        <w:tc>
          <w:tcPr>
            <w:tcW w:type="dxa" w:w="2160"/>
          </w:tcPr>
          <w:p>
            <w:r>
              <w:t>Размер DEM</w:t>
            </w:r>
          </w:p>
        </w:tc>
        <w:tc>
          <w:tcPr>
            <w:tcW w:type="dxa" w:w="2160"/>
          </w:tcPr>
          <w:p>
            <w:r>
              <w:t>NET_in, МБ/запрос</w:t>
            </w:r>
          </w:p>
        </w:tc>
        <w:tc>
          <w:tcPr>
            <w:tcW w:type="dxa" w:w="2160"/>
          </w:tcPr>
          <w:p>
            <w:r>
              <w:t>Характер зависимости</w:t>
            </w:r>
          </w:p>
        </w:tc>
      </w:tr>
      <w:tr>
        <w:tc>
          <w:tcPr>
            <w:tcW w:type="dxa" w:w="2160"/>
          </w:tcPr>
          <w:p>
            <w:r>
              <w:t>small</w:t>
            </w:r>
          </w:p>
        </w:tc>
        <w:tc>
          <w:tcPr>
            <w:tcW w:type="dxa" w:w="2160"/>
          </w:tcPr>
          <w:p>
            <w:r>
              <w:t>144x144</w:t>
            </w:r>
          </w:p>
        </w:tc>
        <w:tc>
          <w:tcPr>
            <w:tcW w:type="dxa" w:w="2160"/>
          </w:tcPr>
          <w:p>
            <w:r>
              <w:t>0.013</w:t>
            </w:r>
          </w:p>
        </w:tc>
        <w:tc>
          <w:tcPr>
            <w:tcW w:type="dxa" w:w="2160"/>
          </w:tcPr>
          <w:p>
            <w:r>
              <w:t>минимальная нагрузка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432x432</w:t>
            </w:r>
          </w:p>
        </w:tc>
        <w:tc>
          <w:tcPr>
            <w:tcW w:type="dxa" w:w="2160"/>
          </w:tcPr>
          <w:p>
            <w:r>
              <w:t>0.094</w:t>
            </w:r>
          </w:p>
        </w:tc>
        <w:tc>
          <w:tcPr>
            <w:tcW w:type="dxa" w:w="2160"/>
          </w:tcPr>
          <w:p>
            <w:r>
              <w:t>рост с увеличением площади</w:t>
            </w:r>
          </w:p>
        </w:tc>
      </w:tr>
      <w:tr>
        <w:tc>
          <w:tcPr>
            <w:tcW w:type="dxa" w:w="2160"/>
          </w:tcPr>
          <w:p>
            <w:r>
              <w:t>large</w:t>
            </w:r>
          </w:p>
        </w:tc>
        <w:tc>
          <w:tcPr>
            <w:tcW w:type="dxa" w:w="2160"/>
          </w:tcPr>
          <w:p>
            <w:r>
              <w:t>720x720</w:t>
            </w:r>
          </w:p>
        </w:tc>
        <w:tc>
          <w:tcPr>
            <w:tcW w:type="dxa" w:w="2160"/>
          </w:tcPr>
          <w:p>
            <w:r>
              <w:t>0.254</w:t>
            </w:r>
          </w:p>
        </w:tc>
        <w:tc>
          <w:tcPr>
            <w:tcW w:type="dxa" w:w="2160"/>
          </w:tcPr>
          <w:p>
            <w:r>
              <w:t>наибольшая нагрузка</w:t>
            </w:r>
          </w:p>
        </w:tc>
      </w:tr>
    </w:tbl>
    <w:p>
      <w:pPr>
        <w:pStyle w:val="Heading2"/>
        <w:jc w:val="left"/>
      </w:pPr>
      <w:r>
        <w:t>2.5 Словесный анализ зависимостей</w:t>
      </w:r>
    </w:p>
    <w:p>
      <w:pPr>
        <w:jc w:val="both"/>
      </w:pPr>
      <w:r>
        <w:t>Для критерия T_map наблюдается возрастающая зависимость от размера входной DEM-сетки, близкая к прямо-пропорциональной. Для T_stl_std и T_stl_hq рост также положительный, но сглаженный за счет внутренних ограничений финальной геометрии. Пропускная способность Q имеет обратную зависимость от времени отклика. Сетевая нагрузка NET_in монотонно растет с увеличением площади области в cold-cache режиме.</w:t>
      </w:r>
    </w:p>
    <w:p>
      <w:pPr>
        <w:pStyle w:val="Heading2"/>
        <w:jc w:val="left"/>
      </w:pPr>
      <w:r>
        <w:t>2.6 Сравнение с аналогами</w:t>
      </w:r>
    </w:p>
    <w:p>
      <w:pPr>
        <w:jc w:val="both"/>
      </w:pPr>
      <w:r>
        <w:t>Сравнение выполнено по тем же критериям с учетом доступности публичных метрик у аналогов (QGIS, GRASS GIS, WhiteboxTools, xDEM, OpenTopography). Для desktop/CLI аналогов критерии T и Q в формате end-to-end пользовательского сервиса обычно не нормируются в официальной документации и зависят от ручного сценария. Для OpenTopography релевантен API-критерий сетевой нагрузки.</w:t>
      </w:r>
    </w:p>
    <w:p>
      <w:pPr>
        <w:jc w:val="center"/>
      </w:pPr>
      <w:r>
        <w:rPr>
          <w:b/>
        </w:rPr>
        <w:t>Таблица 2.5 — Противопоставление аналогам по целевым критериям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Критерий</w:t>
            </w:r>
          </w:p>
        </w:tc>
        <w:tc>
          <w:tcPr>
            <w:tcW w:type="dxa" w:w="1440"/>
          </w:tcPr>
          <w:p>
            <w:r>
              <w:t>Разработанное решение</w:t>
            </w:r>
          </w:p>
        </w:tc>
        <w:tc>
          <w:tcPr>
            <w:tcW w:type="dxa" w:w="1440"/>
          </w:tcPr>
          <w:p>
            <w:r>
              <w:t>QGIS</w:t>
            </w:r>
          </w:p>
        </w:tc>
        <w:tc>
          <w:tcPr>
            <w:tcW w:type="dxa" w:w="1440"/>
          </w:tcPr>
          <w:p>
            <w:r>
              <w:t>GRASS GIS</w:t>
            </w:r>
          </w:p>
        </w:tc>
        <w:tc>
          <w:tcPr>
            <w:tcW w:type="dxa" w:w="1440"/>
          </w:tcPr>
          <w:p>
            <w:r>
              <w:t>WhiteboxTools</w:t>
            </w:r>
          </w:p>
        </w:tc>
        <w:tc>
          <w:tcPr>
            <w:tcW w:type="dxa" w:w="1440"/>
          </w:tcPr>
          <w:p>
            <w:r>
              <w:t>xDEM/OpenTopography</w:t>
            </w:r>
          </w:p>
        </w:tc>
      </w:tr>
      <w:tr>
        <w:tc>
          <w:tcPr>
            <w:tcW w:type="dxa" w:w="1440"/>
          </w:tcPr>
          <w:p>
            <w:r>
              <w:t>T_map</w:t>
            </w:r>
          </w:p>
        </w:tc>
        <w:tc>
          <w:tcPr>
            <w:tcW w:type="dxa" w:w="1440"/>
          </w:tcPr>
          <w:p>
            <w:r>
              <w:t>0.214–0.381 с (warm-cache)</w:t>
            </w:r>
          </w:p>
        </w:tc>
        <w:tc>
          <w:tcPr>
            <w:tcW w:type="dxa" w:w="1440"/>
          </w:tcPr>
          <w:p>
            <w:r>
              <w:t>Единый SLA отсутствует</w:t>
            </w:r>
          </w:p>
        </w:tc>
        <w:tc>
          <w:tcPr>
            <w:tcW w:type="dxa" w:w="1440"/>
          </w:tcPr>
          <w:p>
            <w:r>
              <w:t>Единый SLA отсутствует</w:t>
            </w:r>
          </w:p>
        </w:tc>
        <w:tc>
          <w:tcPr>
            <w:tcW w:type="dxa" w:w="1440"/>
          </w:tcPr>
          <w:p>
            <w:r>
              <w:t>Единый SLA отсутствует</w:t>
            </w:r>
          </w:p>
        </w:tc>
        <w:tc>
          <w:tcPr>
            <w:tcW w:type="dxa" w:w="1440"/>
          </w:tcPr>
          <w:p>
            <w:r>
              <w:t>Единый SLA отсутствует</w:t>
            </w:r>
          </w:p>
        </w:tc>
      </w:tr>
      <w:tr>
        <w:tc>
          <w:tcPr>
            <w:tcW w:type="dxa" w:w="1440"/>
          </w:tcPr>
          <w:p>
            <w:r>
              <w:t>T_stl_std / T_stl_hq</w:t>
            </w:r>
          </w:p>
        </w:tc>
        <w:tc>
          <w:tcPr>
            <w:tcW w:type="dxa" w:w="1440"/>
          </w:tcPr>
          <w:p>
            <w:r>
              <w:t>0.203–0.315 с / 0.422–0.486 с</w:t>
            </w:r>
          </w:p>
        </w:tc>
        <w:tc>
          <w:tcPr>
            <w:tcW w:type="dxa" w:w="1440"/>
          </w:tcPr>
          <w:p>
            <w:r>
              <w:t>Нативного сквозного STL-контура нет</w:t>
            </w:r>
          </w:p>
        </w:tc>
        <w:tc>
          <w:tcPr>
            <w:tcW w:type="dxa" w:w="1440"/>
          </w:tcPr>
          <w:p>
            <w:r>
              <w:t>Нативного сквозного STL-контура нет</w:t>
            </w:r>
          </w:p>
        </w:tc>
        <w:tc>
          <w:tcPr>
            <w:tcW w:type="dxa" w:w="1440"/>
          </w:tcPr>
          <w:p>
            <w:r>
              <w:t>Нативного сквозного STL-контура нет</w:t>
            </w:r>
          </w:p>
        </w:tc>
        <w:tc>
          <w:tcPr>
            <w:tcW w:type="dxa" w:w="1440"/>
          </w:tcPr>
          <w:p>
            <w:r>
              <w:t>Нативного сквозного STL-контура нет</w:t>
            </w:r>
          </w:p>
        </w:tc>
      </w:tr>
      <w:tr>
        <w:tc>
          <w:tcPr>
            <w:tcW w:type="dxa" w:w="1440"/>
          </w:tcPr>
          <w:p>
            <w:r>
              <w:t>Q</w:t>
            </w:r>
          </w:p>
        </w:tc>
        <w:tc>
          <w:tcPr>
            <w:tcW w:type="dxa" w:w="1440"/>
          </w:tcPr>
          <w:p>
            <w:r>
              <w:t>131.64–235.33 запросов/мин</w:t>
            </w:r>
          </w:p>
        </w:tc>
        <w:tc>
          <w:tcPr>
            <w:tcW w:type="dxa" w:w="1440"/>
          </w:tcPr>
          <w:p>
            <w:r>
              <w:t>Не нормируется как сервисная метрика</w:t>
            </w:r>
          </w:p>
        </w:tc>
        <w:tc>
          <w:tcPr>
            <w:tcW w:type="dxa" w:w="1440"/>
          </w:tcPr>
          <w:p>
            <w:r>
              <w:t>Не нормируется как сервисная метрика</w:t>
            </w:r>
          </w:p>
        </w:tc>
        <w:tc>
          <w:tcPr>
            <w:tcW w:type="dxa" w:w="1440"/>
          </w:tcPr>
          <w:p>
            <w:r>
              <w:t>Не нормируется как сервисная метрика</w:t>
            </w:r>
          </w:p>
        </w:tc>
        <w:tc>
          <w:tcPr>
            <w:tcW w:type="dxa" w:w="1440"/>
          </w:tcPr>
          <w:p>
            <w:r>
              <w:t>Не нормируется как сервисная метрика</w:t>
            </w:r>
          </w:p>
        </w:tc>
      </w:tr>
      <w:tr>
        <w:tc>
          <w:tcPr>
            <w:tcW w:type="dxa" w:w="1440"/>
          </w:tcPr>
          <w:p>
            <w:r>
              <w:t>NET_in</w:t>
            </w:r>
          </w:p>
        </w:tc>
        <w:tc>
          <w:tcPr>
            <w:tcW w:type="dxa" w:w="1440"/>
          </w:tcPr>
          <w:p>
            <w:r>
              <w:t>0.013–0.254 МБ/запрос</w:t>
            </w:r>
          </w:p>
        </w:tc>
        <w:tc>
          <w:tcPr>
            <w:tcW w:type="dxa" w:w="1440"/>
          </w:tcPr>
          <w:p>
            <w:r>
              <w:t>Обычно не выделяется отдельно</w:t>
            </w:r>
          </w:p>
        </w:tc>
        <w:tc>
          <w:tcPr>
            <w:tcW w:type="dxa" w:w="1440"/>
          </w:tcPr>
          <w:p>
            <w:r>
              <w:t>Обычно не выделяется отдельно</w:t>
            </w:r>
          </w:p>
        </w:tc>
        <w:tc>
          <w:tcPr>
            <w:tcW w:type="dxa" w:w="1440"/>
          </w:tcPr>
          <w:p>
            <w:r>
              <w:t>Обычно не выделяется отдельно</w:t>
            </w:r>
          </w:p>
        </w:tc>
        <w:tc>
          <w:tcPr>
            <w:tcW w:type="dxa" w:w="1440"/>
          </w:tcPr>
          <w:p>
            <w:r>
              <w:t>Для OpenTopography — профильная метрика API</w:t>
            </w:r>
          </w:p>
        </w:tc>
      </w:tr>
      <w:tr>
        <w:tc>
          <w:tcPr>
            <w:tcW w:type="dxa" w:w="1440"/>
          </w:tcPr>
          <w:p>
            <w:r>
              <w:t>Нативная поддержка STL</w:t>
            </w:r>
          </w:p>
        </w:tc>
        <w:tc>
          <w:tcPr>
            <w:tcW w:type="dxa" w:w="1440"/>
          </w:tcPr>
          <w:p>
            <w:r>
              <w:t>Есть (со стендом)</w:t>
            </w:r>
          </w:p>
        </w:tc>
        <w:tc>
          <w:tcPr>
            <w:tcW w:type="dxa" w:w="1440"/>
          </w:tcPr>
          <w:p>
            <w:r>
              <w:t>Нет (в базовой поставке)</w:t>
            </w:r>
          </w:p>
        </w:tc>
        <w:tc>
          <w:tcPr>
            <w:tcW w:type="dxa" w:w="1440"/>
          </w:tcPr>
          <w:p>
            <w:r>
              <w:t>Нет (в базовой поставке)</w:t>
            </w:r>
          </w:p>
        </w:tc>
        <w:tc>
          <w:tcPr>
            <w:tcW w:type="dxa" w:w="1440"/>
          </w:tcPr>
          <w:p>
            <w:r>
              <w:t>Нет (в базовой поставке)</w:t>
            </w:r>
          </w:p>
        </w:tc>
        <w:tc>
          <w:tcPr>
            <w:tcW w:type="dxa" w:w="1440"/>
          </w:tcPr>
          <w:p>
            <w:r>
              <w:t>Нет (в базовой поставке)</w:t>
            </w:r>
          </w:p>
        </w:tc>
      </w:tr>
    </w:tbl>
    <w:p>
      <w:pPr>
        <w:pStyle w:val="Heading2"/>
        <w:jc w:val="left"/>
      </w:pPr>
      <w:r>
        <w:t>2.7 Выводы по итогам эксперимента</w:t>
      </w:r>
    </w:p>
    <w:p>
      <w:pPr>
        <w:jc w:val="both"/>
      </w:pPr>
      <w:r>
        <w:t>Проведенное исследование подтверждает гипотезу о прикладной эффективности разработанного решения. При warm-cache обеспечивается интерактивный отклик во всех режимах, пропускная способность соответствует требованиям оперативного сценария, а сетевая нагрузка в cold-cache количественно измерена и имеет предсказуемую зависимость от объема данных. В сравнении с аналогами решение демонстрирует преимущество в формате сквозного пользовательского сервиса и наличии нативной генерации STL с основанием.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