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Категории обьектов 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проекта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онцептуальн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ое проектирование</w:t>
      </w: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определить основные обьекты задачи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Техническ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ое</w:t>
      </w: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проектирование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определяет детали обьектов, включая их свойства и поведение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Основные принципы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проектирования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гибкость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реюзабельность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поддерживаемость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ое проектирование</w:t>
      </w: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CRC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Resposibility — обязанности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Collaborators — 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тип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Тип данных, который не встроен в язык и определяется програмистом. Это группировка связанной информации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Цель обьектно-ориентированного программирования: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Сделать абстрактный тип данных более легким к написанию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Построить систему вокруг абстрактных типов данных, называемых классами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Представить возможность для абстрактных типов данных расширять друг друга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Абстракция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идея упрощения концепта в проблемной области. Она разбивает задачу  на упрощенное описание , которое игнорирует несущественные детали и подчеркивает основные, необходимые для концепции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Rule of least astonishment.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Абстракция должна следовать правилу наименьшего удивления. Это правило предполагает, что основные атрибуты и поведение должны быть описаны без сюрпризов и без каких-либо определений, выходящих за рамки необходимых. Это отсекает нерелевантные характеристики как часть абстракции и помогает убедиться, что абстракция имеет смысл для целей концепции.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содержит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атрибуты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и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собаки, </w:t>
      </w:r>
      <w:bookmarkStart w:id="1" w:name="__DdeLink__105_795386356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атрибуты</w:t>
      </w:r>
      <w:bookmarkEnd w:id="1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имя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порода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возраст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цвет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Абстракция собаки, 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есть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спать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бегать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прыгать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Application>LibreOffice/5.1.6.2$Linux_X86_64 LibreOffice_project/10m0$Build-2</Application>
  <Pages>2</Pages>
  <Words>402</Words>
  <Characters>2711</Characters>
  <CharactersWithSpaces>3067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2018-09-06T09:08:17Z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