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>АНАЛИЗ ТРЕБОВАНИЙ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Одни из методик определения обьектов — проанализировать требования. Например: 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FF0000"/>
          <w:sz w:val="24"/>
          <w:szCs w:val="24"/>
        </w:rPr>
        <w:t>user story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nouns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Я, как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онлайн-покупатель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, хочу добавить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товар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в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корзину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, что бы я мог купить его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Имена существительные  — будут 3 обьекта системы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verbs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Я, как онлайн-покупатель, хочу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добавить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товар в корзину, что бы я мог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купить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его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Глаголы в данном случае отвечают операциям корзины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Так же требования могут помочь определить отношения между обьектами,  в данном случае обычно 1 покупатель ассоциируется с 1 корзиной, корзина может  содержать множество единиц товара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>Категории обьектов проекта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Обьекты сущностей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—</w:t>
      </w: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отвечают обьектам реального мира, например юзер, или дом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Обьект контроля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— обьект, который координирует другие обьекты, в тоже время оставляя их слабо связанными. Отичный паттерн — Mediator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Обьект границы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— граничат между системами. Например обьект, который запрашивает информацию в нете; или обьект, который выводит информацию для юзера или забирает его инпут;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 xml:space="preserve">Концептуальное проектирование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определить основные обьекты задачи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>Техническое проектирование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(более углубленный, после концептуального) — определяет детали обьектов, включая их свойства и поведение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Основные принципы проектирования: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гибкость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реюзабельность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поддерживаемость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>Концептуальное проектирование — CRC</w:t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CRC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— карточка Class, Responsibility, Collaborators</w:t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Class — сам класс, пишется вверху каты</w:t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Resposibility — обязанности класса, пишутся под классом справа</w:t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Collaborators — другие классы, с которыми класс взаимодействует что бы выполнять свои обязанности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Пример: банковский автомат. Приходит юзер, вставляет карточку, автомат просит ввести ПИН-код, после чего юзер может на выбор: снять деньги, посмотреть баланс или …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tbl>
      <w:tblPr>
        <w:tblW w:w="10466" w:type="dxa"/>
        <w:jc w:val="left"/>
        <w:tblInd w:w="4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5233"/>
        <w:gridCol w:w="5232"/>
      </w:tblGrid>
      <w:tr>
        <w:trPr/>
        <w:tc>
          <w:tcPr>
            <w:tcW w:w="10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Пользователь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Resposibilities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вставить карточку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выбрать операцию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Collaborators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 xml:space="preserve">- </w:t>
            </w:r>
            <w:bookmarkStart w:id="0" w:name="__DdeLink__858_209163829"/>
            <w:bookmarkEnd w:id="0"/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Банковский автомат</w:t>
            </w:r>
          </w:p>
        </w:tc>
      </w:tr>
    </w:tbl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tbl>
      <w:tblPr>
        <w:tblW w:w="10466" w:type="dxa"/>
        <w:jc w:val="left"/>
        <w:tblInd w:w="4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5233"/>
        <w:gridCol w:w="5232"/>
      </w:tblGrid>
      <w:tr>
        <w:trPr/>
        <w:tc>
          <w:tcPr>
            <w:tcW w:w="10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Банковский автомат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Resposibilities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аутентифицировать юзера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отобразить опции выбора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снятие и запихивание наличных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проверка баланса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Collaborators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Пользователь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Абстрактный тип данных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Тип данных, который не встроен в язык и определяется програмистом. Это группировка связанной информации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Цель обьектно-ориентированного программирования: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Сделать абстрактный тип данных более легким к написанию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Построить систему вокруг абстрактных типов данных, называемых классами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Представить возможность для абстрактных типов данных расширять друг друга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>ЧЕТЫРЕ ПРИНЦИПА ПРОЕКТИРОВАНИЯ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/>
          <w:b/>
          <w:bCs/>
          <w:color w:val="FF0000"/>
          <w:sz w:val="24"/>
          <w:szCs w:val="24"/>
        </w:rPr>
      </w:pPr>
      <w:r>
        <w:rPr>
          <w:rFonts w:cs="Tahoma" w:ascii="Tahoma" w:hAnsi="Tahoma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/>
          <w:bCs/>
          <w:color w:val="ED1C24"/>
          <w:sz w:val="24"/>
          <w:szCs w:val="24"/>
        </w:rPr>
        <w:t>Абстракция (abstraction)</w:t>
      </w: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— идея упрощения концепта в проблемной области. Она разбивает задачу  на упрощенное описание , которое игнорирует несущественные детали и подчеркивает основные, необходимые для концепции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Rule of least astonishment.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Абстракция должна следовать правилу наименьшего удивления. Это правило предполагает, что основные атрибуты и поведение должны быть описаны без сюрпризов и без каких-либо определений, выходящих за рамки необходимых. Это отсекает нерелевантные характеристики как часть абстракции и помогает убедиться, что абстракция имеет смысл для целей концепции.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Абстракция содержит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атрибуты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и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поведение: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Абстракция собаки, </w:t>
      </w:r>
      <w:bookmarkStart w:id="1" w:name="__DdeLink__105_795386356"/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атрибуты</w:t>
      </w:r>
      <w:bookmarkEnd w:id="1"/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имя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порода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возраст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цвет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Абстракция собаки, поведение: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есть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спать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бегать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прыгать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ED1C24"/>
        </w:rPr>
      </w:pPr>
      <w:r>
        <w:rPr>
          <w:rFonts w:cs="Tahoma" w:ascii="Tahoma" w:hAnsi="Tahoma"/>
          <w:b/>
          <w:bCs/>
          <w:color w:val="ED1C24"/>
          <w:sz w:val="24"/>
          <w:szCs w:val="24"/>
        </w:rPr>
        <w:t>Инкапсуляция (encapsulation)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Данные и функции, которые ими управляют обьединяются в 1 обьект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Данные и функции обьекта могут быть открытыми и доступными из других классов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данные и функции могут быть ограничены для использования только внутри обьекта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Инкапсуляция создает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абстрактный барьер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, который не позволяет ее разрушать.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Черный ящик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— клиент не знает, что происходит внутри класса, он пользуется лишь его интерфейсом и получает на выходе данные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ED1C24"/>
        </w:rPr>
      </w:pPr>
      <w:r>
        <w:rPr>
          <w:rFonts w:cs="Tahoma" w:ascii="Tahoma" w:hAnsi="Tahoma"/>
          <w:b/>
          <w:bCs/>
          <w:color w:val="ED1C24"/>
          <w:sz w:val="24"/>
          <w:szCs w:val="24"/>
        </w:rPr>
        <w:t>Декомпозиция (decomposition)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ED1C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Декомпозиция разделяет большую вещь составляющие, как и наоборот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ED1C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Составляющие могут быть фиксированными или динамическими (изменяющимися)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ED1C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Время жизни целого объекта и составляющих может отличаться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Так же может быть вложенность составлящих или они могут находится одновременно в нескольких составляющих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В декомпозиции присутствует 3 типа отношений: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ассоциация (осведомленность) —  обьект использует другой обьект. Один обьект получает ссылку на другого, но не управляет временем его жизни.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Пример — посетитель и отель. Посетитель может взаимодействовать с отелем, а отель может взаимодействовать с множеством посетителей. Loose partnership — свободное партнерство, никак не связаны между собой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аггрегация (делегирование) — один обьект является частью другого. Пример — авиаперевозчик пользуется услугами команды в качестве специалистов по обслуживанию самолета. Weak partnership — слабо связаны между собой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композиция (аггрегация) — целое не может существовать без частей, и когда целое уничтожается, части  также уничтожаются. Получить доступ к частям можно только через целое. Пример — дом с комнатой. Комната не может существовать без дома. Strong partnership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/>
          <w:bCs/>
          <w:color w:val="ED1C24"/>
          <w:sz w:val="24"/>
          <w:szCs w:val="24"/>
        </w:rPr>
        <w:t>Обобщение</w:t>
      </w: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(generalization) — выделение из методов общих операций и вынос их в отдельные функции. Помогает уменьшить избыточность. Перекликается с принципом DRY. 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В понятиях классов — вывести общий родительский класс. Например класс собаки и кота можно наследовать от класса ЖИВОТНОЕ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FF0000"/>
          <w:sz w:val="24"/>
          <w:szCs w:val="24"/>
        </w:rPr>
        <w:t>COUPLING AND COHESION (сопряжение и связность)</w:t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Coupling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— насколько модуль сопряжен с другими модулями (внешняя связь с другими модулями)</w:t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Tightly coupled — все классы связаны между собой не через интерфейсы, а через включения и прочее, реюзабельность минимальна</w:t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Loosely coupled — у модуля четко определенный интерфейс, слабое сопряжение с другими модулями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Degree</w:t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Количество соединений между одним модулем и другими модулями. Degree нужно держать небольшим, как и coupling. Например, модулю понадобится подключить к другому модулю через несколько параметров или узкому (narrow) интерфейсу, degree будет небольшим, а сопряжение свободным (loose coupling)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Ease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Насколько очевидны соединения между одним модулем и другими (например неявная передача параметров или использование глобальных параметров). Как и сопряжение, соединения необходимо поддерживать простыми что бы не было необходимости знать реализацию остальных модулей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Flexibility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Показывает, насколько заменяемы другие модули для данного модуля.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Модули внутри модуля должны легко заменяться на другие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Cohesion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— насколько сфокусирован модуль (внутренняя связь между классами) Ясность обязанностей модуля</w:t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High cohesion — модуль или класс имеет одну четкую цель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Low cohesion — модуль распылен, обязанности не определены четко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Разделение модулей для увеличения cohesion ведет к увеличению degree из-за того, что модулю приходится чаще общаться с другими модулями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И наоборот, соединение модулей в один большой уменьшает coupling, но ведет так же к уменьшению cohesion — цель модуля становится менее ясной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/>
          <w:b/>
          <w:bCs/>
          <w:color w:val="FF0000"/>
          <w:sz w:val="24"/>
          <w:szCs w:val="24"/>
        </w:rPr>
      </w:pPr>
      <w:r>
        <w:rPr>
          <w:rFonts w:cs="Tahoma" w:ascii="Tahoma" w:hAnsi="Tahoma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Separation of </w:t>
      </w:r>
      <w:bookmarkStart w:id="2" w:name="__DdeLink__1153_2594577628"/>
      <w:r>
        <w:rPr>
          <w:rFonts w:cs="Tahoma" w:ascii="Tahoma" w:hAnsi="Tahoma"/>
          <w:b/>
          <w:bCs/>
          <w:color w:val="000000"/>
          <w:sz w:val="24"/>
          <w:szCs w:val="24"/>
        </w:rPr>
        <w:t>concerns</w:t>
      </w:r>
      <w:bookmarkEnd w:id="2"/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 (разделение обязанностей)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Concern — все, что касается обеспечения решения проблемы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Если класс Собаки может есть, должен быть класс Владельца, который бы кормил эту собаку. 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Information hiding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Скрывать реализацию, показывать интерфейсы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Conceptual integrity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Команда должна следовать одним принципам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sz w:val="22"/>
      <w:szCs w:val="22"/>
      <w:lang w:val="ru-RU" w:eastAsia="en-US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Style13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4">
    <w:name w:val="Верхний колонтитул Знак"/>
    <w:basedOn w:val="DefaultParagraphFont"/>
    <w:qFormat/>
    <w:rPr/>
  </w:style>
  <w:style w:type="character" w:styleId="Style15">
    <w:name w:val="Нижний колонтитул Знак"/>
    <w:basedOn w:val="DefaultParagraphFont"/>
    <w:qFormat/>
    <w:rPr/>
  </w:style>
  <w:style w:type="character" w:styleId="Code">
    <w:name w:val="Code Знак"/>
    <w:basedOn w:val="DefaultParagraphFont"/>
    <w:qFormat/>
    <w:rPr>
      <w:rFonts w:ascii="Consolas" w:hAnsi="Consolas" w:cs="Consolas"/>
      <w:b/>
      <w:color w:val="17365D"/>
      <w:lang w:val="en-US"/>
    </w:rPr>
  </w:style>
  <w:style w:type="character" w:styleId="Style16">
    <w:name w:val="Абзац списка Знак"/>
    <w:basedOn w:val="DefaultParagraphFont"/>
    <w:qFormat/>
    <w:rPr/>
  </w:style>
  <w:style w:type="character" w:styleId="Text">
    <w:name w:val="Text Знак"/>
    <w:basedOn w:val="Style16"/>
    <w:qFormat/>
    <w:rPr>
      <w:rFonts w:ascii="Tahoma" w:hAnsi="Tahoma" w:cs="Tahoma"/>
      <w:color w:val="231F20"/>
      <w:sz w:val="24"/>
      <w:szCs w:val="24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rFonts w:ascii="Tahoma" w:hAnsi="Tahoma"/>
      <w:b/>
      <w:color w:val="FF0000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ascii="Tahoma" w:hAnsi="Tahoma"/>
      <w:b w:val="false"/>
      <w:sz w:val="24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ascii="Tahoma" w:hAnsi="Tahoma"/>
      <w:b w:val="false"/>
      <w:sz w:val="24"/>
    </w:rPr>
  </w:style>
  <w:style w:type="character" w:styleId="ListLabel66">
    <w:name w:val="ListLabel 66"/>
    <w:qFormat/>
    <w:rPr>
      <w:rFonts w:ascii="Tahoma" w:hAnsi="Tahoma" w:cs="Tahoma"/>
      <w:b/>
      <w:sz w:val="24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eastAsia="Calibri" w:cs="Tahoma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9">
    <w:name w:val="ListLabel 119"/>
    <w:qFormat/>
    <w:rPr>
      <w:rFonts w:ascii="Tahoma" w:hAnsi="Tahoma" w:cs="Wingdings"/>
      <w:b w:val="false"/>
      <w:sz w:val="24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StrongEmphasis">
    <w:name w:val="Strong Emphasis"/>
    <w:qFormat/>
    <w:rPr>
      <w:b/>
      <w:bCs/>
    </w:rPr>
  </w:style>
  <w:style w:type="character" w:styleId="ListLabel128">
    <w:name w:val="ListLabel 128"/>
    <w:qFormat/>
    <w:rPr>
      <w:rFonts w:ascii="Tahoma" w:hAnsi="Tahoma" w:cs="Wingdings"/>
      <w:b w:val="false"/>
      <w:sz w:val="24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ascii="Tahoma" w:hAnsi="Tahoma"/>
      <w:b w:val="false"/>
      <w:bCs w:val="false"/>
      <w:sz w:val="24"/>
      <w:szCs w:val="24"/>
    </w:rPr>
  </w:style>
  <w:style w:type="character" w:styleId="ListLabel138">
    <w:name w:val="ListLabel 138"/>
    <w:qFormat/>
    <w:rPr>
      <w:rFonts w:ascii="Tahoma" w:hAnsi="Tahoma" w:cs="Wingdings"/>
      <w:b w:val="false"/>
      <w:sz w:val="24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ascii="Tahoma" w:hAnsi="Tahoma"/>
      <w:b w:val="false"/>
      <w:bCs w:val="false"/>
      <w:sz w:val="24"/>
      <w:szCs w:val="24"/>
    </w:rPr>
  </w:style>
  <w:style w:type="character" w:styleId="ListLabel148">
    <w:name w:val="ListLabel 148"/>
    <w:qFormat/>
    <w:rPr>
      <w:rFonts w:ascii="Tahoma" w:hAnsi="Tahoma" w:cs="Wingdings"/>
      <w:b w:val="false"/>
      <w:sz w:val="24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ascii="Tahoma" w:hAnsi="Tahoma"/>
      <w:b w:val="false"/>
      <w:bCs w:val="false"/>
      <w:sz w:val="24"/>
      <w:szCs w:val="24"/>
    </w:rPr>
  </w:style>
  <w:style w:type="character" w:styleId="ListLabel158">
    <w:name w:val="ListLabel 158"/>
    <w:qFormat/>
    <w:rPr>
      <w:rFonts w:ascii="Tahoma" w:hAnsi="Tahoma" w:cs="Wingdings"/>
      <w:b w:val="false"/>
      <w:sz w:val="24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Tahoma" w:hAnsi="Tahoma" w:cs="Wingdings"/>
      <w:b w:val="false"/>
      <w:sz w:val="24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Tahoma" w:hAnsi="Tahoma" w:cs="Wingdings"/>
      <w:b w:val="false"/>
      <w:sz w:val="24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Tahoma" w:hAnsi="Tahoma"/>
      <w:b w:val="false"/>
      <w:bCs w:val="false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ListLabel186">
    <w:name w:val="ListLabel 186"/>
    <w:qFormat/>
    <w:rPr>
      <w:rFonts w:cs="Wingdings"/>
      <w:b w:val="false"/>
      <w:sz w:val="24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ascii="Tahoma" w:hAnsi="Tahoma"/>
      <w:b w:val="false"/>
      <w:bCs w:val="false"/>
      <w:sz w:val="24"/>
      <w:szCs w:val="24"/>
    </w:rPr>
  </w:style>
  <w:style w:type="character" w:styleId="ListLabel214">
    <w:name w:val="ListLabel 214"/>
    <w:qFormat/>
    <w:rPr>
      <w:rFonts w:cs="Wingdings"/>
      <w:b w:val="false"/>
      <w:sz w:val="24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Calibri" w:cs="DejaVu Sans"/>
      <w:color w:val="00000A"/>
      <w:sz w:val="22"/>
      <w:szCs w:val="22"/>
      <w:lang w:val="ru-RU" w:eastAsia="en-US" w:bidi="ar-SA"/>
    </w:rPr>
  </w:style>
  <w:style w:type="paragraph" w:styleId="Code1">
    <w:name w:val="Code"/>
    <w:basedOn w:val="Normal"/>
    <w:qFormat/>
    <w:pPr>
      <w:tabs>
        <w:tab w:val="left" w:pos="2835" w:leader="none"/>
      </w:tabs>
      <w:spacing w:lineRule="auto" w:line="240" w:before="0" w:after="0"/>
      <w:ind w:left="426" w:right="0" w:hanging="0"/>
    </w:pPr>
    <w:rPr>
      <w:rFonts w:ascii="Consolas" w:hAnsi="Consolas" w:cs="Consolas"/>
      <w:b/>
      <w:color w:val="17365D"/>
      <w:lang w:val="en-US"/>
    </w:rPr>
  </w:style>
  <w:style w:type="paragraph" w:styleId="Text1">
    <w:name w:val="Text"/>
    <w:basedOn w:val="ListParagraph"/>
    <w:qFormat/>
    <w:pPr>
      <w:tabs>
        <w:tab w:val="left" w:pos="-1418" w:leader="none"/>
      </w:tabs>
      <w:spacing w:lineRule="auto" w:line="240" w:before="0" w:after="0"/>
      <w:ind w:left="0" w:right="0" w:hanging="0"/>
      <w:contextualSpacing/>
    </w:pPr>
    <w:rPr>
      <w:rFonts w:ascii="Tahoma" w:hAnsi="Tahoma" w:cs="Tahoma"/>
      <w:color w:val="231F20"/>
      <w:sz w:val="24"/>
      <w:szCs w:val="24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5092</TotalTime>
  <Application>LibreOffice/5.1.6.2$Linux_X86_64 LibreOffice_project/10m0$Build-2</Application>
  <Pages>4</Pages>
  <Words>898</Words>
  <CharactersWithSpaces>6018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2016-04-07T07:43:00Z</dcterms:created>
  <dc:creator>bobrenko</dc:creator>
  <dc:description/>
  <dc:language>en-US</dc:language>
  <cp:lastModifiedBy/>
  <dcterms:modified xsi:type="dcterms:W3CDTF">2018-09-08T09:42:24Z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