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3to5y96viy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Active Student Population</w:t>
      </w:r>
      <w:r w:rsidDel="00000000" w:rsidR="00000000" w:rsidRPr="00000000">
        <w:rPr>
          <w:rtl w:val="0"/>
        </w:rPr>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pStyle w:val="Title"/>
        <w:jc w:val="center"/>
        <w:rPr>
          <w:b w:val="1"/>
          <w:bCs w:val="1"/>
          <w:sz w:val="28"/>
          <w:szCs w:val="28"/>
        </w:rPr>
      </w:pPr>
      <w:bookmarkStart w:colFirst="0" w:colLast="0" w:name="_biyb8j42pks8" w:id="1"/>
      <w:bookmarkEnd w:id="1"/>
      <w:r w:rsidDel="00000000" w:rsidR="00000000" w:rsidRPr="00000000">
        <w:rPr>
          <w:b w:val="1"/>
          <w:bCs w:val="1"/>
          <w:sz w:val="28"/>
          <w:szCs w:val="28"/>
          <w:rtl w:val="0"/>
        </w:rPr>
        <w:t xml:space="preserve">Legato Data Conversion and Validation Approach</w:t>
      </w:r>
    </w:p>
    <w:p w:rsidR="00000000" w:rsidDel="00000000" w:rsidP="00000000" w:rsidRDefault="00000000" w:rsidRPr="00000000" w14:paraId="00000004">
      <w:pPr>
        <w:pStyle w:val="Title"/>
        <w:jc w:val="center"/>
        <w:rPr/>
      </w:pPr>
      <w:bookmarkStart w:colFirst="0" w:colLast="0" w:name="_ykjzdc3wwie" w:id="2"/>
      <w:bookmarkEnd w:id="2"/>
      <w:r w:rsidDel="00000000" w:rsidR="00000000" w:rsidRPr="00000000">
        <w:rPr>
          <w:b w:val="1"/>
          <w:bCs w:val="1"/>
          <w:sz w:val="28"/>
          <w:szCs w:val="28"/>
          <w:rtl w:val="0"/>
        </w:rPr>
        <w:t xml:space="preserve">Workday Student for the Active Student Population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06">
            <w:pPr>
              <w:widowControl w:val="0"/>
              <w:spacing w:line="240" w:lineRule="auto"/>
              <w:rPr>
                <w:i w:val="1"/>
                <w:iCs w:val="1"/>
              </w:rPr>
            </w:pPr>
            <w:r w:rsidDel="00000000" w:rsidR="00000000" w:rsidRPr="00000000">
              <w:rPr>
                <w:i w:val="1"/>
                <w:iCs w:val="1"/>
                <w:rtl w:val="0"/>
              </w:rPr>
              <w:t xml:space="preserve">Why Most Data Conversion and Validation Approaches Fall Short</w:t>
            </w:r>
          </w:p>
        </w:tc>
      </w:tr>
      <w:tr>
        <w:trPr>
          <w:cantSplit w:val="0"/>
          <w:tblHeader w:val="0"/>
        </w:trPr>
        <w:tc>
          <w:tcPr/>
          <w:p w:rsidR="00000000" w:rsidDel="00000000" w:rsidP="00000000" w:rsidRDefault="00000000" w:rsidRPr="00000000" w14:paraId="00000007">
            <w:pPr>
              <w:widowControl w:val="0"/>
              <w:spacing w:line="240" w:lineRule="auto"/>
              <w:rPr/>
            </w:pPr>
            <w:r w:rsidDel="00000000" w:rsidR="00000000" w:rsidRPr="00000000">
              <w:rPr>
                <w:rtl w:val="0"/>
              </w:rPr>
              <w:t xml:space="preserve">Most institutions are introduced to data conversion through a straightforward framework. Complete the workbooks, submit the files, review what loads, correct the errors, and repeat until the data moves successfully into Workday. Success is typically measured by load percentages, file formatting compliance, and the resolution of technical errors.</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While this approach sounds reasonable, it creates a significant blind spot. A successful load only confirms that the data met formatting requirements. It does not confirm that the data is correct, complete, or functioning as intended once it interacts with Workday’s configuration and data model. This gap is especially important because some of the most critical outcomes, such as GPA and cumulative credits, are not directly loaded during data conversion. They are calculated based on how multiple data elements and configuration work together. In addition, differences in data definitions between systems mean that data can load successfully while still being misaligned with how Workday interprets and uses it.</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t xml:space="preserve">Institutions often sense this gap and attempt to compensate through spot checks or detailed record-by-record reviews. While well intentioned, this approach is not efficient and does not reliably surface the most critical issues. It requires significant time and effort, places additional strain on already limited resources, and can still miss problems that only become visible when data is evaluated in context. A field may appear correct on its own while still producing an incorrect outcome when combined with other data and configuration.</w:t>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This is why many institutions reach testing and discover that the real issue was never whether the data loaded. The issue is that the system is not producing the correct academic outcomes. GPAs may be incorrect, credits may not align, and reports may not reconcile. At that point, teams are left trying to determine whether the root cause lies in the data, the configuration, or the interaction between the two, often without a clear or efficient way to isolate the problem.</w:t>
            </w:r>
          </w:p>
        </w:tc>
      </w:tr>
    </w:tbl>
    <w:p w:rsidR="00000000" w:rsidDel="00000000" w:rsidP="00000000" w:rsidRDefault="00000000" w:rsidRPr="00000000" w14:paraId="0000000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0F">
            <w:pPr>
              <w:widowControl w:val="0"/>
              <w:spacing w:line="240" w:lineRule="auto"/>
              <w:rPr>
                <w:i w:val="1"/>
                <w:iCs w:val="1"/>
              </w:rPr>
            </w:pPr>
            <w:r w:rsidDel="00000000" w:rsidR="00000000" w:rsidRPr="00000000">
              <w:rPr>
                <w:i w:val="1"/>
                <w:iCs w:val="1"/>
                <w:rtl w:val="0"/>
              </w:rPr>
              <w:t xml:space="preserve">Why Legato Approaches this Differently</w:t>
            </w:r>
          </w:p>
        </w:tc>
      </w:tr>
      <w:tr>
        <w:trPr>
          <w:cantSplit w:val="0"/>
          <w:tblHeader w:val="0"/>
        </w:trPr>
        <w:tc>
          <w:tcPr/>
          <w:p w:rsidR="00000000" w:rsidDel="00000000" w:rsidP="00000000" w:rsidRDefault="00000000" w:rsidRPr="00000000" w14:paraId="00000010">
            <w:pPr>
              <w:widowControl w:val="0"/>
              <w:spacing w:line="240" w:lineRule="auto"/>
              <w:rPr/>
            </w:pPr>
            <w:r w:rsidDel="00000000" w:rsidR="00000000" w:rsidRPr="00000000">
              <w:rPr>
                <w:rtl w:val="0"/>
              </w:rPr>
              <w:t xml:space="preserve">This gap exists because implementation partners and institutions do not own the same responsibilities. Implementation partners are responsible for configuring Workday, loading data, and ensuring that files meet technical requirements. They are not responsible for validating academic outcomes, confirming that the institution can operate successfully after go live, or building an institution-specific strategy for how data should be prioritized, tested, and validated.</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Because of that division of responsibility, implementation partners understandably invest in best practices that support the work they own. They focus on consistency, repeatability, and technical efficiency. They build better tools for moving data and for accelerating tenant build activity. They do not usually spend the same time developing best practices for the areas that remain the customer’s responsibility, especially data validation, prioritization, and operational readiness.</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That is where Legato has built its expertise. We have worked side by side with institutions through data conversion, testing, go live, and post-go-live stabilization. We have seen where schools struggle, where teams lose time, where rework grows, and where risks to reporting and operations begin to emerge. More importantly, we have seen that there is another way to approach this work. It is possible to be more efficient and more effective, but it requires schools to think differently about what data conversion success actually means.</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Legato’s view is that data conversion should not be judged primarily by whether data is loaded. It should be judged by whether the right academic outcomes are produced. This is where the math equation analogy becomes helpful. In a math equation, the final answer tells you whether the parts came together correctly. In Workday Student, the most important early answers are cumulative GPA, institutional credits, and cumulative credits. If those are correct, then much of the underlying data, translation logic, and configuration are likely working together as intended. If those are not correct, then the institution has an early warning sign that something needs attention.</w:t>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t xml:space="preserve">This outcomes-based approach is both more efficient and more effective than either relying on load percentages or starting with detailed record-by-record checks. It gives schools a way to focus first on what matters most, catch issues earlier, and isolate problems more quickly. It also reflects the reality that students, faculty, leadership, and regulators are not concerned with whether a file technically loaded. They care whether the academic record is correct.</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t xml:space="preserve">Legato’s approach does not replace the implementation partner’s framework. It builds on it. The partner provides the technical structure for configuration and data movement. Legato helps the institution strengthen the areas that remain its responsibility. That includes deciding what to prioritize, determining how to validate results, documenting key data definitions and translations, and preparing the institution to operate successfully once the system is live.</w:t>
            </w:r>
          </w:p>
        </w:tc>
      </w:tr>
    </w:tbl>
    <w:p w:rsidR="00000000" w:rsidDel="00000000" w:rsidP="00000000" w:rsidRDefault="00000000" w:rsidRPr="00000000" w14:paraId="0000001B">
      <w:pPr>
        <w:spacing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1C">
            <w:pPr>
              <w:widowControl w:val="0"/>
              <w:spacing w:line="240" w:lineRule="auto"/>
              <w:rPr>
                <w:i w:val="1"/>
                <w:iCs w:val="1"/>
              </w:rPr>
            </w:pPr>
            <w:r w:rsidDel="00000000" w:rsidR="00000000" w:rsidRPr="00000000">
              <w:rPr>
                <w:i w:val="1"/>
                <w:iCs w:val="1"/>
                <w:rtl w:val="0"/>
              </w:rPr>
              <w:t xml:space="preserve">Workday Loves Guardrails</w:t>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One of the most important concepts for schools to understand is that Workday loves guardrails. Workday is designed to reduce unnecessary variation, standardize data, improve reporting consistency, and make the system more manageable over time. That is a strength of the platform. It creates a cleaner environment after go live and supports stronger long-term operations.</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t xml:space="preserve">The challenge is that those same guardrails can create friction during data conversion. Legacy systems often allowed more flexibility. A course may have been offered for a nonstandard number of credits for a single student. A repeat rule may have been adjusted for one situation. A section may have been delivered differently than the standard course setup. Those were not always mistakes. In many cases, they were intentional exceptions made by the institution.</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Workday does not typically accommodate those exceptions in the same way. As a result, schools cannot assume that they can simply move data over as it existed before. They have to understand how Workday’s guardrails function, how the legacy data behaved, and what must be adapted so the correct academic outcome is still achieved.</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t xml:space="preserve">Take a simple example. A course may usually be worth three credits, but one student may have taken it for four. If Workday is configured to allow only three credits for that course, the registration for that student will fail. The solution is not to insist that the old data should fit as is. The solution is to understand the full range of how the course was actually used and determine how Workday should represent that range so the registration can load and the academic record remains correct.</w:t>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t xml:space="preserve">This is why schools need a strategy, not just a workbook. They need to determine what variation Workday truly needs to hold, what should be simplified, what should be translated, and what information may be better retained elsewhere. In some cases, details that are useful for reference but not necessary for active operations may be better stored in a data warehouse, notes, or another supporting source. The goal is not to force Workday to hold every nuance from the past. The goal is to make sure Workday holds what is needed to support accurate academic history and sustainable future operations.</w:t>
            </w:r>
          </w:p>
        </w:tc>
      </w:tr>
    </w:tbl>
    <w:p w:rsidR="00000000" w:rsidDel="00000000" w:rsidP="00000000" w:rsidRDefault="00000000" w:rsidRPr="00000000" w14:paraId="00000026">
      <w:pPr>
        <w:spacing w:line="240" w:lineRule="auto"/>
        <w:rPr>
          <w:sz w:val="24"/>
          <w:szCs w:val="24"/>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28">
            <w:pPr>
              <w:widowControl w:val="0"/>
              <w:spacing w:line="240" w:lineRule="auto"/>
              <w:rPr>
                <w:i w:val="1"/>
                <w:iCs w:val="1"/>
              </w:rPr>
            </w:pPr>
            <w:r w:rsidDel="00000000" w:rsidR="00000000" w:rsidRPr="00000000">
              <w:rPr>
                <w:i w:val="1"/>
                <w:iCs w:val="1"/>
                <w:rtl w:val="0"/>
              </w:rPr>
              <w:t xml:space="preserve">Not All Data Workbooks are Equal</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A second major shift in thinking is recognizing that not all data workbooks are equal. Many data conversion efforts treat workbooks as though they all deserve the same level of urgency. In practice, they do not. Some workbooks are large and complex, but the information they contain can be corrected later with limited operational disruption. Other workbooks drive critical academic outcomes and become extremely difficult to fix once records are live in the system. If schools treat both categories the same, they risk spending too much energy on lower-impact items while the highest-risk issues remain unresolved.</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Legato recommends prioritizing the data that has the greatest downstream impact and is the hardest to correct after go live. That begins with cumulative GPA, institutional credits, cumulative credits, transfer credit, programs of study, academic standing, and selected financial aid related items. These areas affect reporting, compliance, dashboards, transcript accuracy, and the institution’s overall confidence in the tenant.</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t xml:space="preserve">One of the more difficult but necessary parts of data conversion is recognizing that not all data can be perfected at the same time. Institutions are often working under fixed timelines and limited capacity, yet there can be pressure to treat every workbook as equally urgent. In practice, this approach spreads effort too thin and increases the risk that the most critical data is not fully resolved.</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A more effective approach is to define what a minimum viable product looks like for go live. This does not mean lowering standards. It means making informed decisions about which data must be correct on day one because it directly impacts institutional operations, and which data can be completed or refined afterward without significant risk.</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This is where Legato recommends prioritizing the workbooks that drive academic outcomes. Programs of study, courses, course sections, registrations, and transfer credit all contribute to how the academic record is built. These elements directly affect cumulative GPA, institutional credits, and a student’s academic standing within the system. When these areas are incorrect, the impact extends beyond the student record into financial aid, student finance, compliance reporting, and institutional reporting. These are not issues that can be easily corrected after go live. They often require significant manual effort, complex adjustments, and in some cases may introduce compliance risk.</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By contrast, other areas of data, while still important, do not carry the same level of downstream impact. Student personal information is a good example. It is often one of the largest and most complex workbooks, and it can take considerable effort to fully cleanse and standardize. However, the operational risk associated with this data is different. As long as a student has the minimum required information to exist in the system, such as a name and a single piece of contact information, there are opportunities to complete or refine additional details later.</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Students can update addresses. Institutions can run follow-up processes to improve data quality. These are manageable activities that can be incorporated into post-go-live operations. This is very different from correcting academic outcomes. A student cannot update their own GPA, and correcting it after go live requires a deep understanding of how that GPA was calculated, how the data was translated, and how configuration is applied. It is time-intensive, difficult to scale, and can have implications for multiple downstream processes.</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This is where institutions are often faced with hard choices. Implementation partner methodologies may present workbooks in a sequence that suggests equal importance, or that prioritizes starting at the top of a list rather than based on impact. Without an internal strategy to assess risk, teams may spend significant time resolving lower-impact data issues while higher-impact areas remain unstable.</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Legato’s approach is to help institutions step back and make those tradeoffs intentionally. By focusing first on the data that is most difficult to correct and most critical to operations, institutions can reduce long-term risk and create a more stable foundation for testing and go live. This does not eliminate the need to complete other workbooks. It simply ensures that effort is aligned with impact.</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In practice, this approach also improves efficiency. When core academic data is accurate, institutions are able to validate reports, test integrations, and confirm business processes with confidence. When it is not, teams often find themselves unable to trust what they are seeing, which slows progress and creates rework across multiple areas.</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Defining a minimum viable product in this way allows institutions to move forward with clarity. It creates a shared understanding of what must be true at go live and what can be addressed through ongoing operational processes. Most importantly, it shifts the focus from trying to make everything perfect at once to ensuring that the most important things are correct when they matter most.</w:t>
            </w:r>
          </w:p>
        </w:tc>
      </w:tr>
    </w:tbl>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40">
            <w:pPr>
              <w:widowControl w:val="0"/>
              <w:spacing w:line="240" w:lineRule="auto"/>
              <w:rPr>
                <w:i w:val="1"/>
                <w:iCs w:val="1"/>
              </w:rPr>
            </w:pPr>
            <w:r w:rsidDel="00000000" w:rsidR="00000000" w:rsidRPr="00000000">
              <w:rPr>
                <w:i w:val="1"/>
                <w:iCs w:val="1"/>
                <w:rtl w:val="0"/>
              </w:rPr>
              <w:t xml:space="preserve">Why an outcomes-based validation approach works better</w:t>
            </w:r>
          </w:p>
        </w:tc>
      </w:tr>
      <w:tr>
        <w:trPr>
          <w:cantSplit w:val="0"/>
          <w:tblHeader w:val="0"/>
        </w:trPr>
        <w:tc>
          <w:tcPr/>
          <w:p w:rsidR="00000000" w:rsidDel="00000000" w:rsidP="00000000" w:rsidRDefault="00000000" w:rsidRPr="00000000" w14:paraId="00000041">
            <w:pPr>
              <w:widowControl w:val="0"/>
              <w:spacing w:line="240" w:lineRule="auto"/>
              <w:rPr/>
            </w:pPr>
            <w:r w:rsidDel="00000000" w:rsidR="00000000" w:rsidRPr="00000000">
              <w:rPr>
                <w:rtl w:val="0"/>
              </w:rPr>
              <w:t xml:space="preserve">The strength of an outcomes-based validation approach is that it gives the institution a disciplined starting point. Rather than beginning with thousands of detailed checks, schools can start by asking whether the most important outcomes are correct. If GPA and credits align, then much of the underlying work is likely sound. If they do not, then the institution has a clear signal that it needs to investigate further.</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From there, detailed validation still matters, but it is used more strategically. The raw components beneath those outcomes can then be reviewed to isolate where the problem occurred. Courses, sections, registrations, transfer credit, and configuration can all be examined in a more targeted way. That creates a far more efficient process than either relying on load percentages or trying to begin with detailed checks everywhere at once.</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This is one of the reasons Legato believes schools can create a more structured and predictable go-live experience. A chaotic go live is not inevitable. Many of the challenges institutions encounter stem from prioritizing the wrong things, validating too late in the process, or relying too heavily on file load success as a measure of readiness. With a more practical and outcome-focused approach, schools can identify critical issues earlier, make better use of their implementation partner, and enter testing with greater confidence in what is actually working.</w:t>
            </w:r>
          </w:p>
        </w:tc>
      </w:tr>
    </w:tbl>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48">
            <w:pPr>
              <w:widowControl w:val="0"/>
              <w:spacing w:line="240" w:lineRule="auto"/>
              <w:rPr>
                <w:i w:val="1"/>
                <w:iCs w:val="1"/>
              </w:rPr>
            </w:pPr>
            <w:r w:rsidDel="00000000" w:rsidR="00000000" w:rsidRPr="00000000">
              <w:rPr>
                <w:i w:val="1"/>
                <w:iCs w:val="1"/>
                <w:rtl w:val="0"/>
              </w:rPr>
              <w:t xml:space="preserve">Identifying Exceptions Before You Convert Anything</w:t>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Before filling out workbooks or writing extraction logic, institutions need to step back and understand where their data will not naturally fit into Workday. This is one of the most overlooked steps in data conversion.</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Most teams begin by asking: Where does this field go?</w:t>
            </w:r>
          </w:p>
          <w:p w:rsidR="00000000" w:rsidDel="00000000" w:rsidP="00000000" w:rsidRDefault="00000000" w:rsidRPr="00000000" w14:paraId="0000004C">
            <w:pPr>
              <w:widowControl w:val="0"/>
              <w:spacing w:line="240" w:lineRule="auto"/>
              <w:rPr/>
            </w:pPr>
            <w:r w:rsidDel="00000000" w:rsidR="00000000" w:rsidRPr="00000000">
              <w:rPr>
                <w:rtl w:val="0"/>
              </w:rPr>
              <w:t xml:space="preserve">A better starting point is: Where will this data break?</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Legacy systems allowed flexibility in ways that Workday does not, and those differences are not always obvious until something fails to load or produces the wrong outcome. There are a few consistent areas where this tends to happen. </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pStyle w:val="Heading3"/>
              <w:keepNext w:val="0"/>
              <w:keepLines w:val="0"/>
              <w:widowControl w:val="0"/>
              <w:spacing w:after="0" w:before="0" w:line="240" w:lineRule="auto"/>
              <w:rPr>
                <w:b w:val="1"/>
                <w:bCs w:val="1"/>
                <w:color w:val="000000"/>
                <w:sz w:val="22"/>
                <w:szCs w:val="22"/>
              </w:rPr>
            </w:pPr>
            <w:bookmarkStart w:colFirst="0" w:colLast="0" w:name="_hx7m0d6gbtmc" w:id="3"/>
            <w:bookmarkEnd w:id="3"/>
            <w:r w:rsidDel="00000000" w:rsidR="00000000" w:rsidRPr="00000000">
              <w:rPr>
                <w:b w:val="1"/>
                <w:bCs w:val="1"/>
                <w:color w:val="000000"/>
                <w:sz w:val="22"/>
                <w:szCs w:val="22"/>
                <w:rtl w:val="0"/>
              </w:rPr>
              <w:t xml:space="preserve">Repeat Rules</w:t>
            </w:r>
          </w:p>
          <w:p w:rsidR="00000000" w:rsidDel="00000000" w:rsidP="00000000" w:rsidRDefault="00000000" w:rsidRPr="00000000" w14:paraId="00000051">
            <w:pPr>
              <w:widowControl w:val="0"/>
              <w:spacing w:line="240" w:lineRule="auto"/>
              <w:rPr/>
            </w:pPr>
            <w:r w:rsidDel="00000000" w:rsidR="00000000" w:rsidRPr="00000000">
              <w:rPr>
                <w:rtl w:val="0"/>
              </w:rPr>
              <w:t xml:space="preserve">Legacy systems often allowed one-off decisions about whether a repeated course should count in GPA or credits. In Banner, this frequently appears as a manual include or exclude.</w:t>
            </w:r>
          </w:p>
          <w:p w:rsidR="00000000" w:rsidDel="00000000" w:rsidP="00000000" w:rsidRDefault="00000000" w:rsidRPr="00000000" w14:paraId="00000052">
            <w:pPr>
              <w:widowControl w:val="0"/>
              <w:spacing w:line="240" w:lineRule="auto"/>
              <w:rPr/>
            </w:pPr>
            <w:r w:rsidDel="00000000" w:rsidR="00000000" w:rsidRPr="00000000">
              <w:rPr>
                <w:rtl w:val="0"/>
              </w:rPr>
              <w:t xml:space="preserve">Workday does not support that same type of individual override within academic history. If these cases are not identified early, GPA calculations will not match expectations after conversion.</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pStyle w:val="Heading3"/>
              <w:keepNext w:val="0"/>
              <w:keepLines w:val="0"/>
              <w:widowControl w:val="0"/>
              <w:spacing w:after="0" w:before="0" w:line="240" w:lineRule="auto"/>
              <w:rPr>
                <w:b w:val="1"/>
                <w:bCs w:val="1"/>
                <w:color w:val="000000"/>
                <w:sz w:val="22"/>
                <w:szCs w:val="22"/>
              </w:rPr>
            </w:pPr>
            <w:bookmarkStart w:colFirst="0" w:colLast="0" w:name="_ayr86e19f1qg" w:id="4"/>
            <w:bookmarkEnd w:id="4"/>
            <w:r w:rsidDel="00000000" w:rsidR="00000000" w:rsidRPr="00000000">
              <w:rPr>
                <w:b w:val="1"/>
                <w:bCs w:val="1"/>
                <w:color w:val="000000"/>
                <w:sz w:val="22"/>
                <w:szCs w:val="22"/>
                <w:rtl w:val="0"/>
              </w:rPr>
              <w:t xml:space="preserve">Course Credit Variability</w:t>
            </w:r>
          </w:p>
          <w:p w:rsidR="00000000" w:rsidDel="00000000" w:rsidP="00000000" w:rsidRDefault="00000000" w:rsidRPr="00000000" w14:paraId="00000055">
            <w:pPr>
              <w:widowControl w:val="0"/>
              <w:spacing w:line="240" w:lineRule="auto"/>
              <w:rPr/>
            </w:pPr>
            <w:r w:rsidDel="00000000" w:rsidR="00000000" w:rsidRPr="00000000">
              <w:rPr>
                <w:rtl w:val="0"/>
              </w:rPr>
              <w:t xml:space="preserve">A course may typically be offered for one number of credits, but exceptions may exist where a student completed it for a different amount.</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Even if that only happened once, Workday still needs to accommodate that variation or the registration will fail or calculate incorrectly.</w:t>
            </w:r>
          </w:p>
          <w:p w:rsidR="00000000" w:rsidDel="00000000" w:rsidP="00000000" w:rsidRDefault="00000000" w:rsidRPr="00000000" w14:paraId="00000058">
            <w:pPr>
              <w:pStyle w:val="Heading3"/>
              <w:keepNext w:val="0"/>
              <w:keepLines w:val="0"/>
              <w:widowControl w:val="0"/>
              <w:spacing w:after="0" w:before="0" w:line="240" w:lineRule="auto"/>
              <w:rPr>
                <w:b w:val="1"/>
                <w:bCs w:val="1"/>
                <w:color w:val="000000"/>
                <w:sz w:val="22"/>
                <w:szCs w:val="22"/>
              </w:rPr>
            </w:pPr>
            <w:bookmarkStart w:colFirst="0" w:colLast="0" w:name="_xf1hvqa5o6mz" w:id="5"/>
            <w:bookmarkEnd w:id="5"/>
            <w:r w:rsidDel="00000000" w:rsidR="00000000" w:rsidRPr="00000000">
              <w:rPr>
                <w:b w:val="1"/>
                <w:bCs w:val="1"/>
                <w:color w:val="000000"/>
                <w:sz w:val="22"/>
                <w:szCs w:val="22"/>
                <w:rtl w:val="0"/>
              </w:rPr>
              <w:t xml:space="preserve">Instructional Format Differences</w:t>
            </w:r>
          </w:p>
          <w:p w:rsidR="00000000" w:rsidDel="00000000" w:rsidP="00000000" w:rsidRDefault="00000000" w:rsidRPr="00000000" w14:paraId="00000059">
            <w:pPr>
              <w:widowControl w:val="0"/>
              <w:spacing w:line="240" w:lineRule="auto"/>
              <w:rPr/>
            </w:pPr>
            <w:r w:rsidDel="00000000" w:rsidR="00000000" w:rsidRPr="00000000">
              <w:rPr>
                <w:rtl w:val="0"/>
              </w:rPr>
              <w:t xml:space="preserve">A course may have been delivered in different ways over time or for specific situations. For example, a lecture course may have been completed as an internship or independent study.</w:t>
            </w:r>
          </w:p>
          <w:p w:rsidR="00000000" w:rsidDel="00000000" w:rsidP="00000000" w:rsidRDefault="00000000" w:rsidRPr="00000000" w14:paraId="0000005A">
            <w:pPr>
              <w:widowControl w:val="0"/>
              <w:spacing w:line="240" w:lineRule="auto"/>
              <w:rPr/>
            </w:pPr>
            <w:r w:rsidDel="00000000" w:rsidR="00000000" w:rsidRPr="00000000">
              <w:rPr>
                <w:rtl w:val="0"/>
              </w:rPr>
              <w:t xml:space="preserve">Workday expects alignment between course definition and section structure. Mismatches here create both load issues and long-term maintenance problems.</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pStyle w:val="Heading3"/>
              <w:keepNext w:val="0"/>
              <w:keepLines w:val="0"/>
              <w:widowControl w:val="0"/>
              <w:spacing w:after="0" w:before="0" w:line="240" w:lineRule="auto"/>
              <w:rPr/>
            </w:pPr>
            <w:bookmarkStart w:colFirst="0" w:colLast="0" w:name="_ipa42km3brbi" w:id="6"/>
            <w:bookmarkEnd w:id="6"/>
            <w:r w:rsidDel="00000000" w:rsidR="00000000" w:rsidRPr="00000000">
              <w:rPr>
                <w:b w:val="1"/>
                <w:bCs w:val="1"/>
                <w:color w:val="000000"/>
                <w:sz w:val="22"/>
                <w:szCs w:val="22"/>
                <w:rtl w:val="0"/>
              </w:rPr>
              <w:t xml:space="preserve">Grading Basis</w:t>
            </w: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If a course is typically offered as graded, but exceptions were made to allow students to audit the course, the data must be adapted during conversion. All grading basis types reflected in the registration data must be supported by the associated course and course section. If they are not, Workday will enforce its guardrails and prevent those registrations from loading.</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pStyle w:val="Heading3"/>
              <w:keepNext w:val="0"/>
              <w:keepLines w:val="0"/>
              <w:widowControl w:val="0"/>
              <w:spacing w:after="0" w:before="0" w:line="240" w:lineRule="auto"/>
              <w:rPr>
                <w:b w:val="1"/>
                <w:bCs w:val="1"/>
                <w:color w:val="000000"/>
                <w:sz w:val="22"/>
                <w:szCs w:val="22"/>
              </w:rPr>
            </w:pPr>
            <w:bookmarkStart w:colFirst="0" w:colLast="0" w:name="_r82rcaspj6b0" w:id="7"/>
            <w:bookmarkEnd w:id="7"/>
            <w:r w:rsidDel="00000000" w:rsidR="00000000" w:rsidRPr="00000000">
              <w:rPr>
                <w:b w:val="1"/>
                <w:bCs w:val="1"/>
                <w:color w:val="000000"/>
                <w:sz w:val="22"/>
                <w:szCs w:val="22"/>
                <w:rtl w:val="0"/>
              </w:rPr>
              <w:t xml:space="preserve">Additional Items:</w:t>
            </w:r>
          </w:p>
          <w:p w:rsidR="00000000" w:rsidDel="00000000" w:rsidP="00000000" w:rsidRDefault="00000000" w:rsidRPr="00000000" w14:paraId="00000060">
            <w:pPr>
              <w:widowControl w:val="0"/>
              <w:spacing w:line="240" w:lineRule="auto"/>
              <w:rPr/>
            </w:pPr>
            <w:r w:rsidDel="00000000" w:rsidR="00000000" w:rsidRPr="00000000">
              <w:rPr>
                <w:rtl w:val="0"/>
              </w:rPr>
              <w:t xml:space="preserve">Legacy systems often contain more variation in:</w:t>
            </w:r>
          </w:p>
          <w:p w:rsidR="00000000" w:rsidDel="00000000" w:rsidP="00000000" w:rsidRDefault="00000000" w:rsidRPr="00000000" w14:paraId="00000061">
            <w:pPr>
              <w:widowControl w:val="0"/>
              <w:numPr>
                <w:ilvl w:val="0"/>
                <w:numId w:val="4"/>
              </w:numPr>
              <w:spacing w:line="240" w:lineRule="auto"/>
              <w:ind w:left="720" w:hanging="360"/>
            </w:pPr>
            <w:r w:rsidDel="00000000" w:rsidR="00000000" w:rsidRPr="00000000">
              <w:rPr>
                <w:rtl w:val="0"/>
              </w:rPr>
              <w:t xml:space="preserve">delivery modes</w:t>
            </w:r>
          </w:p>
          <w:p w:rsidR="00000000" w:rsidDel="00000000" w:rsidP="00000000" w:rsidRDefault="00000000" w:rsidRPr="00000000" w14:paraId="00000062">
            <w:pPr>
              <w:widowControl w:val="0"/>
              <w:numPr>
                <w:ilvl w:val="0"/>
                <w:numId w:val="4"/>
              </w:numPr>
              <w:spacing w:line="240" w:lineRule="auto"/>
              <w:ind w:left="720" w:hanging="360"/>
            </w:pPr>
            <w:r w:rsidDel="00000000" w:rsidR="00000000" w:rsidRPr="00000000">
              <w:rPr>
                <w:rtl w:val="0"/>
              </w:rPr>
              <w:t xml:space="preserve">course naming conventions</w:t>
            </w:r>
          </w:p>
          <w:p w:rsidR="00000000" w:rsidDel="00000000" w:rsidP="00000000" w:rsidRDefault="00000000" w:rsidRPr="00000000" w14:paraId="00000063">
            <w:pPr>
              <w:widowControl w:val="0"/>
              <w:numPr>
                <w:ilvl w:val="0"/>
                <w:numId w:val="4"/>
              </w:numPr>
              <w:spacing w:line="240" w:lineRule="auto"/>
              <w:ind w:left="720" w:hanging="360"/>
            </w:pPr>
            <w:r w:rsidDel="00000000" w:rsidR="00000000" w:rsidRPr="00000000">
              <w:rPr>
                <w:rtl w:val="0"/>
              </w:rPr>
              <w:t xml:space="preserve">course attributes or tags</w:t>
            </w:r>
          </w:p>
          <w:p w:rsidR="00000000" w:rsidDel="00000000" w:rsidP="00000000" w:rsidRDefault="00000000" w:rsidRPr="00000000" w14:paraId="00000064">
            <w:pPr>
              <w:widowControl w:val="0"/>
              <w:numPr>
                <w:ilvl w:val="0"/>
                <w:numId w:val="4"/>
              </w:numPr>
              <w:spacing w:line="240" w:lineRule="auto"/>
              <w:ind w:left="720" w:hanging="360"/>
            </w:pPr>
            <w:r w:rsidDel="00000000" w:rsidR="00000000" w:rsidRPr="00000000">
              <w:rPr>
                <w:rtl w:val="0"/>
              </w:rPr>
              <w:t xml:space="preserve">descriptions</w:t>
              <w:br w:type="textWrapping"/>
            </w:r>
          </w:p>
          <w:p w:rsidR="00000000" w:rsidDel="00000000" w:rsidP="00000000" w:rsidRDefault="00000000" w:rsidRPr="00000000" w14:paraId="00000065">
            <w:pPr>
              <w:widowControl w:val="0"/>
              <w:spacing w:line="240" w:lineRule="auto"/>
              <w:rPr/>
            </w:pPr>
            <w:r w:rsidDel="00000000" w:rsidR="00000000" w:rsidRPr="00000000">
              <w:rPr>
                <w:rtl w:val="0"/>
              </w:rPr>
              <w:t xml:space="preserve">This transition to Workday is an opportunity to standardizes these values. This requires decisions about how legacy values will translate into a smaller, more controlled set.</w:t>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t xml:space="preserve">Spending time upfront identifying these patterns allows institutions to define how data will be translated rather than discovering the same issues repeatedly during loading. It shifts the work from reactive troubleshooting to intentional design, which ultimately saves time and reduces confusion later in the process.</w:t>
            </w:r>
          </w:p>
        </w:tc>
      </w:tr>
    </w:tbl>
    <w:p w:rsidR="00000000" w:rsidDel="00000000" w:rsidP="00000000" w:rsidRDefault="00000000" w:rsidRPr="00000000" w14:paraId="00000068">
      <w:pPr>
        <w:spacing w:line="240" w:lineRule="auto"/>
        <w:rPr>
          <w:sz w:val="24"/>
          <w:szCs w:val="24"/>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6A">
            <w:pPr>
              <w:widowControl w:val="0"/>
              <w:spacing w:line="240" w:lineRule="auto"/>
              <w:rPr>
                <w:i w:val="1"/>
                <w:iCs w:val="1"/>
              </w:rPr>
            </w:pPr>
            <w:r w:rsidDel="00000000" w:rsidR="00000000" w:rsidRPr="00000000">
              <w:rPr>
                <w:i w:val="1"/>
                <w:iCs w:val="1"/>
                <w:rtl w:val="0"/>
              </w:rPr>
              <w:t xml:space="preserve">Aligning Functional and Technical Understanding</w:t>
            </w:r>
          </w:p>
        </w:tc>
      </w:tr>
      <w:tr>
        <w:trPr>
          <w:cantSplit w:val="0"/>
          <w:tblHeader w:val="0"/>
        </w:trPr>
        <w:tc>
          <w:tcPr/>
          <w:p w:rsidR="00000000" w:rsidDel="00000000" w:rsidP="00000000" w:rsidRDefault="00000000" w:rsidRPr="00000000" w14:paraId="0000006B">
            <w:pPr>
              <w:widowControl w:val="0"/>
              <w:spacing w:line="240" w:lineRule="auto"/>
              <w:rPr/>
            </w:pPr>
            <w:r w:rsidDel="00000000" w:rsidR="00000000" w:rsidRPr="00000000">
              <w:rPr>
                <w:rtl w:val="0"/>
              </w:rPr>
              <w:t xml:space="preserve">If these areas are not identified early:</w:t>
            </w:r>
          </w:p>
          <w:p w:rsidR="00000000" w:rsidDel="00000000" w:rsidP="00000000" w:rsidRDefault="00000000" w:rsidRPr="00000000" w14:paraId="0000006C">
            <w:pPr>
              <w:widowControl w:val="0"/>
              <w:numPr>
                <w:ilvl w:val="0"/>
                <w:numId w:val="6"/>
              </w:numPr>
              <w:spacing w:line="240" w:lineRule="auto"/>
              <w:ind w:left="720" w:hanging="360"/>
            </w:pPr>
            <w:r w:rsidDel="00000000" w:rsidR="00000000" w:rsidRPr="00000000">
              <w:rPr>
                <w:rtl w:val="0"/>
              </w:rPr>
              <w:t xml:space="preserve">teams will repeatedly encounter the same issues during loads</w:t>
            </w:r>
          </w:p>
          <w:p w:rsidR="00000000" w:rsidDel="00000000" w:rsidP="00000000" w:rsidRDefault="00000000" w:rsidRPr="00000000" w14:paraId="0000006D">
            <w:pPr>
              <w:widowControl w:val="0"/>
              <w:numPr>
                <w:ilvl w:val="0"/>
                <w:numId w:val="6"/>
              </w:numPr>
              <w:spacing w:line="240" w:lineRule="auto"/>
              <w:ind w:left="720" w:hanging="360"/>
            </w:pPr>
            <w:r w:rsidDel="00000000" w:rsidR="00000000" w:rsidRPr="00000000">
              <w:rPr>
                <w:rtl w:val="0"/>
              </w:rPr>
              <w:t xml:space="preserve">fixes will be reactive rather than intentional</w:t>
            </w:r>
          </w:p>
          <w:p w:rsidR="00000000" w:rsidDel="00000000" w:rsidP="00000000" w:rsidRDefault="00000000" w:rsidRPr="00000000" w14:paraId="0000006E">
            <w:pPr>
              <w:widowControl w:val="0"/>
              <w:numPr>
                <w:ilvl w:val="0"/>
                <w:numId w:val="6"/>
              </w:numPr>
              <w:spacing w:line="240" w:lineRule="auto"/>
              <w:ind w:left="720" w:hanging="360"/>
            </w:pPr>
            <w:r w:rsidDel="00000000" w:rsidR="00000000" w:rsidRPr="00000000">
              <w:rPr>
                <w:rtl w:val="0"/>
              </w:rPr>
              <w:t xml:space="preserve">translation logic will be inconsistent</w:t>
            </w:r>
          </w:p>
          <w:p w:rsidR="00000000" w:rsidDel="00000000" w:rsidP="00000000" w:rsidRDefault="00000000" w:rsidRPr="00000000" w14:paraId="0000006F">
            <w:pPr>
              <w:widowControl w:val="0"/>
              <w:numPr>
                <w:ilvl w:val="0"/>
                <w:numId w:val="6"/>
              </w:numPr>
              <w:spacing w:line="240" w:lineRule="auto"/>
              <w:ind w:left="720" w:hanging="360"/>
            </w:pPr>
            <w:r w:rsidDel="00000000" w:rsidR="00000000" w:rsidRPr="00000000">
              <w:rPr>
                <w:rtl w:val="0"/>
              </w:rPr>
              <w:t xml:space="preserve">validation will become more difficult</w:t>
              <w:br w:type="textWrapping"/>
            </w:r>
          </w:p>
          <w:p w:rsidR="00000000" w:rsidDel="00000000" w:rsidP="00000000" w:rsidRDefault="00000000" w:rsidRPr="00000000" w14:paraId="00000070">
            <w:pPr>
              <w:widowControl w:val="0"/>
              <w:spacing w:line="240" w:lineRule="auto"/>
              <w:rPr/>
            </w:pPr>
            <w:r w:rsidDel="00000000" w:rsidR="00000000" w:rsidRPr="00000000">
              <w:rPr>
                <w:rtl w:val="0"/>
              </w:rPr>
              <w:t xml:space="preserve">By identifying these patterns first, institutions can:</w:t>
            </w:r>
          </w:p>
          <w:p w:rsidR="00000000" w:rsidDel="00000000" w:rsidP="00000000" w:rsidRDefault="00000000" w:rsidRPr="00000000" w14:paraId="00000071">
            <w:pPr>
              <w:widowControl w:val="0"/>
              <w:numPr>
                <w:ilvl w:val="0"/>
                <w:numId w:val="2"/>
              </w:numPr>
              <w:spacing w:line="240" w:lineRule="auto"/>
              <w:ind w:left="720" w:hanging="360"/>
            </w:pPr>
            <w:r w:rsidDel="00000000" w:rsidR="00000000" w:rsidRPr="00000000">
              <w:rPr>
                <w:rtl w:val="0"/>
              </w:rPr>
              <w:t xml:space="preserve">define consistent translation rules</w:t>
            </w:r>
          </w:p>
          <w:p w:rsidR="00000000" w:rsidDel="00000000" w:rsidP="00000000" w:rsidRDefault="00000000" w:rsidRPr="00000000" w14:paraId="00000072">
            <w:pPr>
              <w:widowControl w:val="0"/>
              <w:numPr>
                <w:ilvl w:val="0"/>
                <w:numId w:val="2"/>
              </w:numPr>
              <w:spacing w:line="240" w:lineRule="auto"/>
              <w:ind w:left="720" w:hanging="360"/>
            </w:pPr>
            <w:r w:rsidDel="00000000" w:rsidR="00000000" w:rsidRPr="00000000">
              <w:rPr>
                <w:rtl w:val="0"/>
              </w:rPr>
              <w:t xml:space="preserve">reduce rework</w:t>
            </w:r>
          </w:p>
          <w:p w:rsidR="00000000" w:rsidDel="00000000" w:rsidP="00000000" w:rsidRDefault="00000000" w:rsidRPr="00000000" w14:paraId="00000073">
            <w:pPr>
              <w:widowControl w:val="0"/>
              <w:numPr>
                <w:ilvl w:val="0"/>
                <w:numId w:val="2"/>
              </w:numPr>
              <w:spacing w:line="240" w:lineRule="auto"/>
              <w:ind w:left="720" w:hanging="360"/>
            </w:pPr>
            <w:r w:rsidDel="00000000" w:rsidR="00000000" w:rsidRPr="00000000">
              <w:rPr>
                <w:rtl w:val="0"/>
              </w:rPr>
              <w:t xml:space="preserve">move faster in later stages</w:t>
            </w:r>
          </w:p>
          <w:p w:rsidR="00000000" w:rsidDel="00000000" w:rsidP="00000000" w:rsidRDefault="00000000" w:rsidRPr="00000000" w14:paraId="00000074">
            <w:pPr>
              <w:widowControl w:val="0"/>
              <w:numPr>
                <w:ilvl w:val="0"/>
                <w:numId w:val="2"/>
              </w:numPr>
              <w:spacing w:line="240" w:lineRule="auto"/>
              <w:ind w:left="720" w:hanging="360"/>
            </w:pPr>
            <w:r w:rsidDel="00000000" w:rsidR="00000000" w:rsidRPr="00000000">
              <w:rPr>
                <w:rtl w:val="0"/>
              </w:rPr>
              <w:t xml:space="preserve">avoid confusion during validation</w:t>
              <w:br w:type="textWrapping"/>
            </w:r>
          </w:p>
          <w:p w:rsidR="00000000" w:rsidDel="00000000" w:rsidP="00000000" w:rsidRDefault="00000000" w:rsidRPr="00000000" w14:paraId="00000075">
            <w:pPr>
              <w:widowControl w:val="0"/>
              <w:spacing w:line="240" w:lineRule="auto"/>
              <w:rPr/>
            </w:pPr>
            <w:r w:rsidDel="00000000" w:rsidR="00000000" w:rsidRPr="00000000">
              <w:rPr>
                <w:rtl w:val="0"/>
              </w:rPr>
              <w:t xml:space="preserve">This is the point where data conversion becomes strategic instead of mechanical.</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Once exception areas are identified, the next step is to establish clear definitions for the data. This is not about documenting field names. It is about ensuring that everyone involved understands what the data represents and how it behaves in both systems.</w:t>
            </w:r>
          </w:p>
          <w:p w:rsidR="00000000" w:rsidDel="00000000" w:rsidP="00000000" w:rsidRDefault="00000000" w:rsidRPr="00000000" w14:paraId="00000078">
            <w:pPr>
              <w:widowControl w:val="0"/>
              <w:spacing w:line="240" w:lineRule="auto"/>
              <w:rPr/>
            </w:pPr>
            <w:r w:rsidDel="00000000" w:rsidR="00000000" w:rsidRPr="00000000">
              <w:rPr>
                <w:rtl w:val="0"/>
              </w:rPr>
              <w:t xml:space="preserve">It is very common for fields to share the same name across systems while functioning differently. A field that appears straightforward may have underlying logic or dependencies that are not immediately visible. Without a shared understanding, teams can make reasonable assumptions that lead to incorrect extraction, incorrect configuration, or incorrect validation.</w:t>
            </w:r>
          </w:p>
          <w:p w:rsidR="00000000" w:rsidDel="00000000" w:rsidP="00000000" w:rsidRDefault="00000000" w:rsidRPr="00000000" w14:paraId="00000079">
            <w:pPr>
              <w:widowControl w:val="0"/>
              <w:spacing w:line="240" w:lineRule="auto"/>
              <w:rPr/>
            </w:pPr>
            <w:r w:rsidDel="00000000" w:rsidR="00000000" w:rsidRPr="00000000">
              <w:rPr>
                <w:rtl w:val="0"/>
              </w:rPr>
              <w:t xml:space="preserve">Strong data definitions should bridge both functional and technical perspectives. Functional users need to understand how data will appear and behave in Workday, while technical teams need to understand where the data comes from and how it must be structured. Both groups also need to understand how translation decisions were made, especially in areas where the data does not move one-to-one.</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This is not work that can be done effectively by a single team. Technical teams may know the legacy system well, but they are not always aware of how policies were applied in practice. Functional teams understand the policies, but they may not know where the data lives or how it is extracted. When these groups work together, the result is a more accurate and complete understanding of how data should be translated.</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 xml:space="preserve">It is equally important to maintain communication as decisions are made. Configuration changes can affect how data needs to be extracted or validated. If those changes are not shared across teams, it creates gaps that are difficult to reconcile later. Establishing clear feedback loops ensures that adjustments are reflected consistently across extraction, configuration, and validation.</w:t>
            </w:r>
          </w:p>
          <w:p w:rsidR="00000000" w:rsidDel="00000000" w:rsidP="00000000" w:rsidRDefault="00000000" w:rsidRPr="00000000" w14:paraId="0000007E">
            <w:pPr>
              <w:widowControl w:val="0"/>
              <w:spacing w:line="240" w:lineRule="auto"/>
              <w:rPr/>
            </w:pPr>
            <w:r w:rsidDel="00000000" w:rsidR="00000000" w:rsidRPr="00000000">
              <w:rPr>
                <w:rtl w:val="0"/>
              </w:rPr>
            </w:r>
          </w:p>
        </w:tc>
      </w:tr>
    </w:tbl>
    <w:p w:rsidR="00000000" w:rsidDel="00000000" w:rsidP="00000000" w:rsidRDefault="00000000" w:rsidRPr="00000000" w14:paraId="0000007F">
      <w:pPr>
        <w:spacing w:line="240" w:lineRule="auto"/>
        <w:rPr>
          <w:sz w:val="24"/>
          <w:szCs w:val="24"/>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81">
            <w:pPr>
              <w:widowControl w:val="0"/>
              <w:spacing w:line="240" w:lineRule="auto"/>
              <w:rPr>
                <w:i w:val="1"/>
                <w:iCs w:val="1"/>
              </w:rPr>
            </w:pPr>
            <w:r w:rsidDel="00000000" w:rsidR="00000000" w:rsidRPr="00000000">
              <w:rPr>
                <w:i w:val="1"/>
                <w:iCs w:val="1"/>
                <w:rtl w:val="0"/>
              </w:rPr>
              <w:t xml:space="preserve">Defining What Your Data Actually Means</w:t>
            </w:r>
          </w:p>
        </w:tc>
      </w:tr>
      <w:tr>
        <w:trPr>
          <w:cantSplit w:val="0"/>
          <w:tblHeader w:val="0"/>
        </w:trPr>
        <w:tc>
          <w:tcPr/>
          <w:p w:rsidR="00000000" w:rsidDel="00000000" w:rsidP="00000000" w:rsidRDefault="00000000" w:rsidRPr="00000000" w14:paraId="00000082">
            <w:pPr>
              <w:widowControl w:val="0"/>
              <w:spacing w:line="240" w:lineRule="auto"/>
              <w:rPr/>
            </w:pPr>
            <w:r w:rsidDel="00000000" w:rsidR="00000000" w:rsidRPr="00000000">
              <w:rPr>
                <w:rtl w:val="0"/>
              </w:rPr>
              <w:t xml:space="preserve">Once exception areas are identified, the next step is defining what the data actually means. This goes beyond field names or labels. It requires a clear understanding of what the data represents, how it behaves, and how it is used within both the legacy system and Workday. This is a point where many projects begin to struggle.</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Fields that appear identical between systems often function very differently. The same label may represent different logic, different rules, or different assumptions. Without a shared understanding, teams can make reasonable but incorrect interpretations, which then carry through extraction, configuration, reporting, and validation.</w:t>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When definitions are not aligned, the impact is widespread. Technical teams may extract from the wrong fields or apply incorrect logic. Functional teams may assume the system will behave in ways that it does not. Reporting teams may build calculations on misunderstood data. Validation efforts may produce results that are difficult to interpret or reconcile. These issues are not isolated. They compound across workstreams and become more difficult to untangle as the project progresses.</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For each field or concept, institutions should document a complete definition that brings together both functional and technical perspectives. This includes a plain language explanation that functional users can understand, as well as a clear description of how the field behaves in Workday. It should capture how the data was used in the legacy system, where it originates technically, and where it will reside in Workday. It should also identify whether translation is required and whether configuration plays a role in how the outcome is produced. What is often missed is the broader value of this work.</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Data definitions should not be created solely for the purpose of completing data conversion. When approached intentionally, they become one of the most valuable assets in the implementation. This is where Legato introduces the concept of using data conversion as an efficiency multiplier.</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Data conversion is the first time teams take a deep look at how data is structured, interpreted, and used. It is where shifts in meaning are discovered, where translation decisions are made, and where differences between systems become clear. Rather than allowing that knowledge to remain within a single workstream, it should be captured and shared in a way that benefits the entire project.</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 xml:space="preserve">These definitions can be used by reporting teams to ensure calculations and outputs align with institutional expectations. They provide functional teams with clarity on how processes will behave in Workday. They give change management teams the context needed to explain what is changing and why. They also create a consistent foundation for validation, reducing confusion when results differ from expectations.</w:t>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t xml:space="preserve">This is a shift away from siloed workstreams toward a more connected, collaborative model. Workday does not operate in silos, and implementation work should not either. When data definitions are treated as a shared resource, the work done in one area strengthens multiple others.</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By taking this approach, institutions are not adding more work. They are maximizing the value of work that is already required. Effort spent defining data once can support data conversion, reporting, operations, and adoption. This reduces duplication, improves alignment, and creates a more efficient path through the implementation.</w:t>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t xml:space="preserve">In this way, defining what the data means becomes more than a task within data conversion. It becomes a foundation for how the institution will understand and use its data moving forward.</w:t>
            </w:r>
          </w:p>
        </w:tc>
      </w:tr>
    </w:tbl>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97">
            <w:pPr>
              <w:widowControl w:val="0"/>
              <w:spacing w:line="240" w:lineRule="auto"/>
              <w:rPr>
                <w:i w:val="1"/>
                <w:iCs w:val="1"/>
              </w:rPr>
            </w:pPr>
            <w:r w:rsidDel="00000000" w:rsidR="00000000" w:rsidRPr="00000000">
              <w:rPr>
                <w:i w:val="1"/>
                <w:iCs w:val="1"/>
                <w:rtl w:val="0"/>
              </w:rPr>
              <w:t xml:space="preserve">Teamwork is Essential</w:t>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tl w:val="0"/>
              </w:rPr>
              <w:t xml:space="preserve">Technical teams cannot do this work independently. Even if they understand the legacy system deeply, they do not live in the day-to-day operations where policies and exceptions are applied. They may not know why something was done, only that it exists.</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Functional teams also cannot do this alone. They may understand the policy, but not where the data lives, how it is extracted, or how Workday expects it to behave.</w:t>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t xml:space="preserve">Technical teams need to understand:</w:t>
            </w:r>
          </w:p>
          <w:p w:rsidR="00000000" w:rsidDel="00000000" w:rsidP="00000000" w:rsidRDefault="00000000" w:rsidRPr="00000000" w14:paraId="0000009D">
            <w:pPr>
              <w:widowControl w:val="0"/>
              <w:numPr>
                <w:ilvl w:val="0"/>
                <w:numId w:val="3"/>
              </w:numPr>
              <w:spacing w:line="240" w:lineRule="auto"/>
              <w:ind w:left="720" w:hanging="360"/>
            </w:pPr>
            <w:r w:rsidDel="00000000" w:rsidR="00000000" w:rsidRPr="00000000">
              <w:rPr>
                <w:rtl w:val="0"/>
              </w:rPr>
              <w:t xml:space="preserve">the purpose of the data</w:t>
            </w:r>
          </w:p>
          <w:p w:rsidR="00000000" w:rsidDel="00000000" w:rsidP="00000000" w:rsidRDefault="00000000" w:rsidRPr="00000000" w14:paraId="0000009E">
            <w:pPr>
              <w:widowControl w:val="0"/>
              <w:numPr>
                <w:ilvl w:val="0"/>
                <w:numId w:val="3"/>
              </w:numPr>
              <w:spacing w:line="240" w:lineRule="auto"/>
              <w:ind w:left="720" w:hanging="360"/>
            </w:pPr>
            <w:r w:rsidDel="00000000" w:rsidR="00000000" w:rsidRPr="00000000">
              <w:rPr>
                <w:rtl w:val="0"/>
              </w:rPr>
              <w:t xml:space="preserve">how it is used operationally</w:t>
            </w:r>
          </w:p>
          <w:p w:rsidR="00000000" w:rsidDel="00000000" w:rsidP="00000000" w:rsidRDefault="00000000" w:rsidRPr="00000000" w14:paraId="0000009F">
            <w:pPr>
              <w:widowControl w:val="0"/>
              <w:numPr>
                <w:ilvl w:val="0"/>
                <w:numId w:val="3"/>
              </w:numPr>
              <w:spacing w:line="240" w:lineRule="auto"/>
              <w:ind w:left="720" w:hanging="360"/>
            </w:pPr>
            <w:r w:rsidDel="00000000" w:rsidR="00000000" w:rsidRPr="00000000">
              <w:rPr>
                <w:rtl w:val="0"/>
              </w:rPr>
              <w:t xml:space="preserve">what the correct outcome should be</w:t>
              <w:br w:type="textWrapping"/>
            </w:r>
          </w:p>
          <w:p w:rsidR="00000000" w:rsidDel="00000000" w:rsidP="00000000" w:rsidRDefault="00000000" w:rsidRPr="00000000" w14:paraId="000000A0">
            <w:pPr>
              <w:widowControl w:val="0"/>
              <w:spacing w:line="240" w:lineRule="auto"/>
              <w:rPr/>
            </w:pPr>
            <w:r w:rsidDel="00000000" w:rsidR="00000000" w:rsidRPr="00000000">
              <w:rPr>
                <w:rtl w:val="0"/>
              </w:rPr>
              <w:t xml:space="preserve">Functional teams need to understand:</w:t>
            </w:r>
          </w:p>
          <w:p w:rsidR="00000000" w:rsidDel="00000000" w:rsidP="00000000" w:rsidRDefault="00000000" w:rsidRPr="00000000" w14:paraId="000000A1">
            <w:pPr>
              <w:widowControl w:val="0"/>
              <w:numPr>
                <w:ilvl w:val="0"/>
                <w:numId w:val="1"/>
              </w:numPr>
              <w:spacing w:line="240" w:lineRule="auto"/>
              <w:ind w:left="720" w:hanging="360"/>
            </w:pPr>
            <w:r w:rsidDel="00000000" w:rsidR="00000000" w:rsidRPr="00000000">
              <w:rPr>
                <w:rtl w:val="0"/>
              </w:rPr>
              <w:t xml:space="preserve">where data is stored</w:t>
            </w:r>
          </w:p>
          <w:p w:rsidR="00000000" w:rsidDel="00000000" w:rsidP="00000000" w:rsidRDefault="00000000" w:rsidRPr="00000000" w14:paraId="000000A2">
            <w:pPr>
              <w:widowControl w:val="0"/>
              <w:numPr>
                <w:ilvl w:val="0"/>
                <w:numId w:val="1"/>
              </w:numPr>
              <w:spacing w:line="240" w:lineRule="auto"/>
              <w:ind w:left="720" w:hanging="360"/>
            </w:pPr>
            <w:r w:rsidDel="00000000" w:rsidR="00000000" w:rsidRPr="00000000">
              <w:rPr>
                <w:rtl w:val="0"/>
              </w:rPr>
              <w:t xml:space="preserve">how it is extracted</w:t>
            </w:r>
          </w:p>
          <w:p w:rsidR="00000000" w:rsidDel="00000000" w:rsidP="00000000" w:rsidRDefault="00000000" w:rsidRPr="00000000" w14:paraId="000000A3">
            <w:pPr>
              <w:widowControl w:val="0"/>
              <w:numPr>
                <w:ilvl w:val="0"/>
                <w:numId w:val="1"/>
              </w:numPr>
              <w:spacing w:line="240" w:lineRule="auto"/>
              <w:ind w:left="720" w:hanging="360"/>
            </w:pPr>
            <w:r w:rsidDel="00000000" w:rsidR="00000000" w:rsidRPr="00000000">
              <w:rPr>
                <w:rtl w:val="0"/>
              </w:rPr>
              <w:t xml:space="preserve">how it will be structured in Workday</w:t>
              <w:br w:type="textWrapping"/>
            </w:r>
          </w:p>
          <w:p w:rsidR="00000000" w:rsidDel="00000000" w:rsidP="00000000" w:rsidRDefault="00000000" w:rsidRPr="00000000" w14:paraId="000000A4">
            <w:pPr>
              <w:widowControl w:val="0"/>
              <w:spacing w:line="240" w:lineRule="auto"/>
              <w:rPr/>
            </w:pPr>
            <w:r w:rsidDel="00000000" w:rsidR="00000000" w:rsidRPr="00000000">
              <w:rPr>
                <w:rtl w:val="0"/>
              </w:rPr>
              <w:t xml:space="preserve">When both groups work together, translation becomes intentional instead of reactive.</w:t>
            </w:r>
          </w:p>
        </w:tc>
      </w:tr>
    </w:tbl>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A7">
            <w:pPr>
              <w:widowControl w:val="0"/>
              <w:spacing w:line="240" w:lineRule="auto"/>
              <w:rPr>
                <w:i w:val="1"/>
                <w:iCs w:val="1"/>
              </w:rPr>
            </w:pPr>
            <w:r w:rsidDel="00000000" w:rsidR="00000000" w:rsidRPr="00000000">
              <w:rPr>
                <w:i w:val="1"/>
                <w:iCs w:val="1"/>
                <w:rtl w:val="0"/>
              </w:rPr>
              <w:t xml:space="preserve">Compliance and Reporting Shape What Must Be Converted</w:t>
            </w:r>
          </w:p>
        </w:tc>
      </w:tr>
      <w:tr>
        <w:trPr>
          <w:cantSplit w:val="0"/>
          <w:tblHeader w:val="0"/>
        </w:trPr>
        <w:tc>
          <w:tcPr/>
          <w:p w:rsidR="00000000" w:rsidDel="00000000" w:rsidP="00000000" w:rsidRDefault="00000000" w:rsidRPr="00000000" w14:paraId="000000A8">
            <w:pPr>
              <w:widowControl w:val="0"/>
              <w:spacing w:line="240" w:lineRule="auto"/>
              <w:rPr/>
            </w:pPr>
            <w:r w:rsidDel="00000000" w:rsidR="00000000" w:rsidRPr="00000000">
              <w:rPr>
                <w:rtl w:val="0"/>
              </w:rPr>
              <w:t xml:space="preserve">Data conversion is not only a technical exercise. It is also driven by reporting and compliance requirements that the institution must meet after go live. These requirements should be considered early, not as a final check.</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Offices such as the registrar, institutional research, and financial aid all have reporting obligations that depend on specific data elements being present and accurate. If those needs are not incorporated into the data conversion strategy, the institution may find that required data is missing or incomplete once reporting begins.</w:t>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t xml:space="preserve">Programs of study provide a clear example. It can be tempting to simplify and only load a student’s current program, especially when trying to reduce complexity. However, typically National Student Clearinghouse Enrollment reporting requires tracking changes over time, including minors or other adjustments, so that information needs to be included during conversion. It is much more difficult to reconstruct later or extremely time consuming to resolve thousands of errors in a National Student Clearinghouse submission.</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t xml:space="preserve">This is an area where institutions cannot assume that the implementation partner will define the requirements. While partners understand how to configure Workday, they do not operate the institution’s reporting environment after go live. They may not know which reports are critical or what level of detail is required. Many technical data conversion leads are now aware of higher education institutions compliance reporting requirements and what each one needs from a data conversion perspective.</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By bringing compliance and reporting considerations into the data conversion process early, institutions can ensure that they are not only loading data successfully, but also preparing for accurate and complete reporting once the system is live.</w:t>
            </w:r>
          </w:p>
        </w:tc>
      </w:tr>
    </w:tbl>
    <w:p w:rsidR="00000000" w:rsidDel="00000000" w:rsidP="00000000" w:rsidRDefault="00000000" w:rsidRPr="00000000" w14:paraId="000000B1">
      <w:pPr>
        <w:spacing w:line="240" w:lineRule="auto"/>
        <w:rPr>
          <w:sz w:val="24"/>
          <w:szCs w:val="24"/>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B3">
            <w:pPr>
              <w:widowControl w:val="0"/>
              <w:spacing w:line="240" w:lineRule="auto"/>
              <w:rPr>
                <w:i w:val="1"/>
                <w:iCs w:val="1"/>
              </w:rPr>
            </w:pPr>
            <w:r w:rsidDel="00000000" w:rsidR="00000000" w:rsidRPr="00000000">
              <w:rPr>
                <w:i w:val="1"/>
                <w:iCs w:val="1"/>
                <w:rtl w:val="0"/>
              </w:rPr>
              <w:t xml:space="preserve">Validation Starts Before Data Is Loaded</w:t>
            </w:r>
          </w:p>
        </w:tc>
      </w:tr>
      <w:tr>
        <w:trPr>
          <w:cantSplit w:val="0"/>
          <w:tblHeader w:val="0"/>
        </w:trPr>
        <w:tc>
          <w:tcPr/>
          <w:p w:rsidR="00000000" w:rsidDel="00000000" w:rsidP="00000000" w:rsidRDefault="00000000" w:rsidRPr="00000000" w14:paraId="000000B4">
            <w:pPr>
              <w:widowControl w:val="0"/>
              <w:spacing w:line="240" w:lineRule="auto"/>
              <w:rPr/>
            </w:pPr>
            <w:r w:rsidDel="00000000" w:rsidR="00000000" w:rsidRPr="00000000">
              <w:rPr>
                <w:rtl w:val="0"/>
              </w:rPr>
              <w:t xml:space="preserve">Validation should not begin once data is loaded into Workday. By that point, issues are already more difficult to isolate and correct. Instead, validation should begin as data is being prepared.</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t xml:space="preserve">One of the most important principles is to separate extraction from validation. The extract itself should not be used as the validation source. Instead, institutions should rely on an independent report from a trusted source such as a data warehouse or reporting tool. This creates a point of comparison that helps identify discrepancies between how data is pulled and how it is understood operationally.</w:t>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Timing also plays a critical role. Student data is constantly changing, so comparisons must be made using data from the same point in time. If an extract is taken on one day and compared to a report run later, differences may reflect normal activity rather than conversion issues. Running reports at the same time as the extract, or using a source that can reproduce data as of a specific date, helps ensure that comparisons are accurate.</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Establishing this approach early provides a strong foundation for validation later in the process. It ensures that when data is loaded into Workday, there is already a clear expectation of what the results should look like.</w:t>
            </w:r>
          </w:p>
        </w:tc>
      </w:tr>
    </w:tbl>
    <w:p w:rsidR="00000000" w:rsidDel="00000000" w:rsidP="00000000" w:rsidRDefault="00000000" w:rsidRPr="00000000" w14:paraId="000000BB">
      <w:pPr>
        <w:spacing w:line="240" w:lineRule="auto"/>
        <w:rPr>
          <w:sz w:val="24"/>
          <w:szCs w:val="24"/>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BD">
            <w:pPr>
              <w:widowControl w:val="0"/>
              <w:spacing w:line="240" w:lineRule="auto"/>
              <w:rPr>
                <w:i w:val="1"/>
                <w:iCs w:val="1"/>
              </w:rPr>
            </w:pPr>
            <w:r w:rsidDel="00000000" w:rsidR="00000000" w:rsidRPr="00000000">
              <w:rPr>
                <w:i w:val="1"/>
                <w:iCs w:val="1"/>
                <w:rtl w:val="0"/>
              </w:rPr>
              <w:t xml:space="preserve">Start With Outcomes, Then Investigate Details</w:t>
            </w:r>
          </w:p>
        </w:tc>
      </w:tr>
      <w:tr>
        <w:trPr>
          <w:cantSplit w:val="0"/>
          <w:tblHeader w:val="0"/>
        </w:trPr>
        <w:tc>
          <w:tcPr/>
          <w:p w:rsidR="00000000" w:rsidDel="00000000" w:rsidP="00000000" w:rsidRDefault="00000000" w:rsidRPr="00000000" w14:paraId="000000BE">
            <w:pPr>
              <w:widowControl w:val="0"/>
              <w:spacing w:line="240" w:lineRule="auto"/>
              <w:rPr/>
            </w:pPr>
            <w:r w:rsidDel="00000000" w:rsidR="00000000" w:rsidRPr="00000000">
              <w:rPr>
                <w:rtl w:val="0"/>
              </w:rPr>
              <w:t xml:space="preserve">Once data is loaded, validation should begin with outcomes rather than individual records. This is where the outcomes-based approach becomes most valuable. The first step is to confirm whether the most important results are correct. This includes cumulative GPA, institutional credits, cumulative credits, and transfer credits where applicable. These are the measures that reflect whether the system is functioning as intended.</w:t>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If these outcomes align with expectations, it is a strong indication that the data and configuration are working together correctly. If they do not, it provides an immediate signal that something needs to be investigated.</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Programs of study should also be reviewed early, as they are central to the academic record. In many cases, Workday’s delivered reporting structure is not sufficient for validation because it does not reflect the institution’s prioritization of programs. Additional report development is often needed to present the data in a way that allows for accurate comparison.</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t xml:space="preserve">It is important to recognize that differences do not always indicate errors. In many cases, data has been intentionally translated or restructured. Names may change, values may be combined or separated, and additional fields may be used to store information differently. Maintaining a clear crosswalk of these decisions allows validators to distinguish between expected differences and actual issues.</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t xml:space="preserve">If outcomes are not correct, the next step is to review the underlying components. For GPA, this means examining courses, sections, and registrations. For credits, it includes both institutional and transfer data. By working through these components in sequence, teams can identify where discrepancies begin.</w:t>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t xml:space="preserve">In many cases, resolving issues requires adjustments to both data and configuration. This is a normal part of the process. The goal is to continue refining until the outcomes match expectations. At that point, the system is not just loaded, but working as intended.</w:t>
            </w:r>
          </w:p>
        </w:tc>
      </w:tr>
    </w:tbl>
    <w:p w:rsidR="00000000" w:rsidDel="00000000" w:rsidP="00000000" w:rsidRDefault="00000000" w:rsidRPr="00000000" w14:paraId="000000C9">
      <w:pPr>
        <w:spacing w:line="240" w:lineRule="auto"/>
        <w:rPr>
          <w:sz w:val="24"/>
          <w:szCs w:val="24"/>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CB">
            <w:pPr>
              <w:widowControl w:val="0"/>
              <w:spacing w:line="240" w:lineRule="auto"/>
              <w:rPr>
                <w:i w:val="1"/>
                <w:iCs w:val="1"/>
              </w:rPr>
            </w:pPr>
            <w:r w:rsidDel="00000000" w:rsidR="00000000" w:rsidRPr="00000000">
              <w:rPr>
                <w:i w:val="1"/>
                <w:iCs w:val="1"/>
                <w:rtl w:val="0"/>
              </w:rPr>
              <w:t xml:space="preserve">Building Confidence Through Tenant Progression</w:t>
            </w:r>
          </w:p>
        </w:tc>
      </w:tr>
      <w:tr>
        <w:trPr>
          <w:cantSplit w:val="0"/>
          <w:tblHeader w:val="0"/>
        </w:trPr>
        <w:tc>
          <w:tcPr/>
          <w:p w:rsidR="00000000" w:rsidDel="00000000" w:rsidP="00000000" w:rsidRDefault="00000000" w:rsidRPr="00000000" w14:paraId="000000CC">
            <w:pPr>
              <w:widowControl w:val="0"/>
              <w:spacing w:line="240" w:lineRule="auto"/>
              <w:rPr/>
            </w:pPr>
            <w:r w:rsidDel="00000000" w:rsidR="00000000" w:rsidRPr="00000000">
              <w:rPr>
                <w:rtl w:val="0"/>
              </w:rPr>
              <w:t xml:space="preserve">Data conversion in Workday Student does not happen in a single step. It progresses through a series of environments, each designed to move the institution closer to a complete and reliable production load. While implementation partners define these environments within their methodology, it is important for institutions to understand how tenant builds function within that process.</w:t>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t xml:space="preserve">Unlike many systems where teams promote changes incrementally into production, Workday uses a more structured approach. The system is built, tested, refined, and then rebuilt multiple times before go live. These rebuilds occur within a series of practice environments known as Implementation Tenants.</w:t>
            </w:r>
          </w:p>
          <w:p w:rsidR="00000000" w:rsidDel="00000000" w:rsidP="00000000" w:rsidRDefault="00000000" w:rsidRPr="00000000" w14:paraId="000000CF">
            <w:pPr>
              <w:widowControl w:val="0"/>
              <w:spacing w:line="240" w:lineRule="auto"/>
              <w:rPr/>
            </w:pPr>
            <w:r w:rsidDel="00000000" w:rsidR="00000000" w:rsidRPr="00000000">
              <w:rPr>
                <w:rtl w:val="0"/>
              </w:rPr>
            </w:r>
          </w:p>
          <w:p w:rsidR="00000000" w:rsidDel="00000000" w:rsidP="00000000" w:rsidRDefault="00000000" w:rsidRPr="00000000" w14:paraId="000000D0">
            <w:pPr>
              <w:widowControl w:val="0"/>
              <w:spacing w:line="240" w:lineRule="auto"/>
              <w:rPr/>
            </w:pPr>
            <w:r w:rsidDel="00000000" w:rsidR="00000000" w:rsidRPr="00000000">
              <w:rPr>
                <w:rtl w:val="0"/>
              </w:rPr>
              <w:t xml:space="preserve">Each Implementation Tenant brings together configuration, security, reports, and data into a single environment that closely represents what will eventually move into production. Rather than continuously layering changes, teams use these tenants to test whether their design decisions and data translations are working as intended within Workday’s data model.</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This approach is especially important for data conversion. Because data is not transferred one-to-one but must be translated, each tenant serves as a checkpoint to evaluate whether that translation is accurate. It provides a structured opportunity to confirm that data not only loads, but behaves correctly when combined with configuration and produces the expected outcomes.</w:t>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widowControl w:val="0"/>
              <w:spacing w:line="240" w:lineRule="auto"/>
              <w:rPr/>
            </w:pPr>
            <w:r w:rsidDel="00000000" w:rsidR="00000000" w:rsidRPr="00000000">
              <w:rPr>
                <w:rtl w:val="0"/>
              </w:rPr>
              <w:t xml:space="preserve">As part of this process, configuration that was tested but is no longer needed or did not work as intended is typically marked as “Do Not Use” and excluded from future builds. Each subsequent tenant then reflects a more refined version of the system, incorporating lessons learned from previous iterations.</w:t>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t xml:space="preserve">At a high level, tenant progression follows a consistent pattern:</w:t>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numPr>
                <w:ilvl w:val="0"/>
                <w:numId w:val="5"/>
              </w:numPr>
              <w:spacing w:line="240" w:lineRule="auto"/>
              <w:ind w:left="720" w:hanging="360"/>
            </w:pPr>
            <w:r w:rsidDel="00000000" w:rsidR="00000000" w:rsidRPr="00000000">
              <w:rPr>
                <w:rtl w:val="0"/>
              </w:rPr>
              <w:t xml:space="preserve">An initial tenant where a smaller set of data is introduced, often referred to as the foundation tenant, allowing teams to begin understanding how data behaves in Workday</w:t>
            </w:r>
          </w:p>
          <w:p w:rsidR="00000000" w:rsidDel="00000000" w:rsidP="00000000" w:rsidRDefault="00000000" w:rsidRPr="00000000" w14:paraId="000000D9">
            <w:pPr>
              <w:widowControl w:val="0"/>
              <w:numPr>
                <w:ilvl w:val="0"/>
                <w:numId w:val="5"/>
              </w:numPr>
              <w:spacing w:line="240" w:lineRule="auto"/>
              <w:ind w:left="720" w:hanging="360"/>
            </w:pPr>
            <w:r w:rsidDel="00000000" w:rsidR="00000000" w:rsidRPr="00000000">
              <w:rPr>
                <w:rtl w:val="0"/>
              </w:rPr>
              <w:t xml:space="preserve">A configuration-focused tenant where data volume increases and interactions between data and configuration become more complex</w:t>
            </w:r>
          </w:p>
          <w:p w:rsidR="00000000" w:rsidDel="00000000" w:rsidP="00000000" w:rsidRDefault="00000000" w:rsidRPr="00000000" w14:paraId="000000DA">
            <w:pPr>
              <w:widowControl w:val="0"/>
              <w:numPr>
                <w:ilvl w:val="0"/>
                <w:numId w:val="5"/>
              </w:numPr>
              <w:spacing w:line="240" w:lineRule="auto"/>
              <w:ind w:left="720" w:hanging="360"/>
            </w:pPr>
            <w:r w:rsidDel="00000000" w:rsidR="00000000" w:rsidRPr="00000000">
              <w:rPr>
                <w:rtl w:val="0"/>
              </w:rPr>
              <w:t xml:space="preserve">An end-to-end testing environment where the system is evaluated holistically using realistic scenarios</w:t>
            </w:r>
          </w:p>
          <w:p w:rsidR="00000000" w:rsidDel="00000000" w:rsidP="00000000" w:rsidRDefault="00000000" w:rsidRPr="00000000" w14:paraId="000000DB">
            <w:pPr>
              <w:widowControl w:val="0"/>
              <w:numPr>
                <w:ilvl w:val="0"/>
                <w:numId w:val="5"/>
              </w:numPr>
              <w:spacing w:line="240" w:lineRule="auto"/>
              <w:ind w:left="720" w:hanging="360"/>
            </w:pPr>
            <w:r w:rsidDel="00000000" w:rsidR="00000000" w:rsidRPr="00000000">
              <w:rPr>
                <w:rtl w:val="0"/>
              </w:rPr>
              <w:t xml:space="preserve">Final validation environments that prepare the institution for production and confirm readiness for go live</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Across each of these stages, the purpose of a tenant build is not simply to move data forward. It is to build confidence. Each tenant should answer a different question about whether the system is working as intended, ultimately ensuring that by the time production is built, the institution can rely on both the data and the configuration to support real operations.</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pPr>
            <w:r w:rsidDel="00000000" w:rsidR="00000000" w:rsidRPr="00000000">
              <w:rPr>
                <w:rtl w:val="0"/>
              </w:rPr>
              <w:t xml:space="preserve">Between each of these tenant builds, institutions work within data conversion environments to refine their approach. These environments are used to improve extraction logic, validate data definitions, and adjust how data is translated into Workday’s model before it is carried forward into the next tenant build.</w:t>
            </w:r>
          </w:p>
          <w:p w:rsidR="00000000" w:rsidDel="00000000" w:rsidP="00000000" w:rsidRDefault="00000000" w:rsidRPr="00000000" w14:paraId="000000E0">
            <w:pPr>
              <w:widowControl w:val="0"/>
              <w:spacing w:line="240" w:lineRule="auto"/>
              <w:rPr/>
            </w:pPr>
            <w:r w:rsidDel="00000000" w:rsidR="00000000" w:rsidRPr="00000000">
              <w:rPr>
                <w:rtl w:val="0"/>
              </w:rPr>
            </w:r>
          </w:p>
          <w:p w:rsidR="00000000" w:rsidDel="00000000" w:rsidP="00000000" w:rsidRDefault="00000000" w:rsidRPr="00000000" w14:paraId="000000E1">
            <w:pPr>
              <w:widowControl w:val="0"/>
              <w:spacing w:line="240" w:lineRule="auto"/>
              <w:rPr/>
            </w:pPr>
            <w:r w:rsidDel="00000000" w:rsidR="00000000" w:rsidRPr="00000000">
              <w:rPr>
                <w:rtl w:val="0"/>
              </w:rPr>
              <w:t xml:space="preserve">Before focusing on the major tenant builds, it is important to understand the role of data conversion tenants. These environments are used to practice loading workbooks and refining how data is extracted and translated. They are often reset multiple times, which makes them well suited for iteration and learning.</w:t>
            </w:r>
          </w:p>
          <w:p w:rsidR="00000000" w:rsidDel="00000000" w:rsidP="00000000" w:rsidRDefault="00000000" w:rsidRPr="00000000" w14:paraId="000000E2">
            <w:pPr>
              <w:widowControl w:val="0"/>
              <w:spacing w:line="240" w:lineRule="auto"/>
              <w:rPr/>
            </w:pPr>
            <w:r w:rsidDel="00000000" w:rsidR="00000000" w:rsidRPr="00000000">
              <w:rPr>
                <w:rtl w:val="0"/>
              </w:rPr>
            </w:r>
          </w:p>
          <w:p w:rsidR="00000000" w:rsidDel="00000000" w:rsidP="00000000" w:rsidRDefault="00000000" w:rsidRPr="00000000" w14:paraId="000000E3">
            <w:pPr>
              <w:widowControl w:val="0"/>
              <w:spacing w:line="240" w:lineRule="auto"/>
              <w:rPr/>
            </w:pPr>
            <w:r w:rsidDel="00000000" w:rsidR="00000000" w:rsidRPr="00000000">
              <w:rPr>
                <w:rtl w:val="0"/>
              </w:rPr>
              <w:t xml:space="preserve">Implementation partners typically emphasize load success within these tenants, often measured by the percentage of records that were accepted. While this provides some visibility into file structure and formatting, it does not indicate whether the data is correct or whether it will produce the right outcomes once configuration is applied.</w:t>
            </w:r>
          </w:p>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t xml:space="preserve">A more effective use of these environments is to treat them as a place to refine processes. Institutions can begin with a smaller subset of students and their associated data, allowing teams to focus on understanding how translation decisions affect outcomes. This approach makes it easier to identify patterns, resolve issues, and establish a repeatable method before increasing volume. As confidence grows, additional data can be introduced in a controlled way, reducing the risk of widespread issues and repeated rework.</w:t>
            </w:r>
          </w:p>
        </w:tc>
      </w:tr>
    </w:tbl>
    <w:p w:rsidR="00000000" w:rsidDel="00000000" w:rsidP="00000000" w:rsidRDefault="00000000" w:rsidRPr="00000000" w14:paraId="000000E6">
      <w:pPr>
        <w:spacing w:line="240" w:lineRule="auto"/>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E7">
            <w:pPr>
              <w:widowControl w:val="0"/>
              <w:spacing w:line="240" w:lineRule="auto"/>
              <w:rPr>
                <w:i w:val="1"/>
                <w:iCs w:val="1"/>
              </w:rPr>
            </w:pPr>
            <w:r w:rsidDel="00000000" w:rsidR="00000000" w:rsidRPr="00000000">
              <w:rPr>
                <w:i w:val="1"/>
                <w:iCs w:val="1"/>
                <w:rtl w:val="0"/>
              </w:rPr>
              <w:t xml:space="preserve">The Foundation Tenant</w:t>
            </w:r>
          </w:p>
        </w:tc>
      </w:tr>
      <w:tr>
        <w:trPr>
          <w:cantSplit w:val="0"/>
          <w:tblHeader w:val="0"/>
        </w:trPr>
        <w:tc>
          <w:tcPr/>
          <w:p w:rsidR="00000000" w:rsidDel="00000000" w:rsidP="00000000" w:rsidRDefault="00000000" w:rsidRPr="00000000" w14:paraId="000000E8">
            <w:pPr>
              <w:widowControl w:val="0"/>
              <w:spacing w:line="240" w:lineRule="auto"/>
              <w:rPr/>
            </w:pPr>
            <w:r w:rsidDel="00000000" w:rsidR="00000000" w:rsidRPr="00000000">
              <w:rPr>
                <w:rtl w:val="0"/>
              </w:rPr>
              <w:t xml:space="preserve">The foundation tenant is typically the first environment where institutions interact with their own data in Workday. Its purpose is not to support a full data load, but to provide a controlled setting where teams can begin to understand how their data behaves within the Workday data model.</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At this stage, a relatively small number of records is sufficient. For most institutions, a few hundred students provide more than enough coverage to begin testing and validation. The emphasis should be placed on selecting records that represent a range of scenarios, rather than attempting to load large volumes of data prematurely.</w:t>
            </w:r>
          </w:p>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t xml:space="preserve">Using real student data is critical in this environment. It allows teams to compare outcomes directly to the legacy system and to identify where translation or configuration adjustments may be required. This is also the point where teams begin to see how Workday’s structure differs from their legacy system, particularly in areas where data does not translate one-to-one.</w:t>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Validation should begin immediately after data is loaded. Rather than attempting to validate every record, institutions should focus on identifying which academic records are producing correct outcomes. Cumulative GPA, credits, and programs of study provide strong indicators of whether the underlying data and configuration are aligned. Records that validate successfully can then be used as a trusted subset for further testing, while those that do not can be isolated for investigation.</w:t>
            </w:r>
          </w:p>
          <w:p w:rsidR="00000000" w:rsidDel="00000000" w:rsidP="00000000" w:rsidRDefault="00000000" w:rsidRPr="00000000" w14:paraId="000000EF">
            <w:pPr>
              <w:widowControl w:val="0"/>
              <w:spacing w:line="240" w:lineRule="auto"/>
              <w:rPr/>
            </w:pPr>
            <w:r w:rsidDel="00000000" w:rsidR="00000000" w:rsidRPr="00000000">
              <w:rPr>
                <w:rtl w:val="0"/>
              </w:rPr>
            </w:r>
          </w:p>
          <w:p w:rsidR="00000000" w:rsidDel="00000000" w:rsidP="00000000" w:rsidRDefault="00000000" w:rsidRPr="00000000" w14:paraId="000000F0">
            <w:pPr>
              <w:widowControl w:val="0"/>
              <w:spacing w:line="240" w:lineRule="auto"/>
              <w:rPr>
                <w:u w:val="single"/>
              </w:rPr>
            </w:pPr>
            <w:r w:rsidDel="00000000" w:rsidR="00000000" w:rsidRPr="00000000">
              <w:rPr>
                <w:u w:val="single"/>
                <w:rtl w:val="0"/>
              </w:rPr>
              <w:t xml:space="preserve">Using Validated Data to Support Testing and Reporting</w:t>
            </w:r>
          </w:p>
          <w:p w:rsidR="00000000" w:rsidDel="00000000" w:rsidP="00000000" w:rsidRDefault="00000000" w:rsidRPr="00000000" w14:paraId="000000F1">
            <w:pPr>
              <w:widowControl w:val="0"/>
              <w:spacing w:line="240" w:lineRule="auto"/>
              <w:rPr/>
            </w:pPr>
            <w:r w:rsidDel="00000000" w:rsidR="00000000" w:rsidRPr="00000000">
              <w:rPr>
                <w:rtl w:val="0"/>
              </w:rPr>
              <w:t xml:space="preserve">Separating validated records from those that still require investigation is a critical step in maintaining clarity throughout the process. When accurate and inaccurate data are mixed together, it becomes difficult to determine whether issues encountered during testing are caused by data, configuration, or the testing process itself.</w:t>
            </w:r>
          </w:p>
          <w:p w:rsidR="00000000" w:rsidDel="00000000" w:rsidP="00000000" w:rsidRDefault="00000000" w:rsidRPr="00000000" w14:paraId="000000F2">
            <w:pPr>
              <w:widowControl w:val="0"/>
              <w:spacing w:line="240" w:lineRule="auto"/>
              <w:rPr/>
            </w:pPr>
            <w:r w:rsidDel="00000000" w:rsidR="00000000" w:rsidRPr="00000000">
              <w:rPr>
                <w:rtl w:val="0"/>
              </w:rPr>
              <w:t xml:space="preserve">One effective approach is to create a temporary student cohort within Workday that includes only validated academic records. This cohort can then be used consistently across testing and reporting activities. Because the student cohort field is widely accessible across Workday Student business objects, it provides a practical way to filter reports and focus only on data that is known to be correct.</w:t>
            </w:r>
          </w:p>
          <w:p w:rsidR="00000000" w:rsidDel="00000000" w:rsidP="00000000" w:rsidRDefault="00000000" w:rsidRPr="00000000" w14:paraId="000000F3">
            <w:pPr>
              <w:widowControl w:val="0"/>
              <w:spacing w:line="240" w:lineRule="auto"/>
              <w:rPr/>
            </w:pPr>
            <w:r w:rsidDel="00000000" w:rsidR="00000000" w:rsidRPr="00000000">
              <w:rPr>
                <w:rtl w:val="0"/>
              </w:rPr>
              <w:t xml:space="preserve">This approach is particularly valuable when validating reports. Instead of relying on visual inspection or assumptions, teams can compare report results against a subset of data where expected outcomes are already established. This allows for more precise validation and helps ensure that reporting logic is aligned with institutional expectations.</w:t>
            </w:r>
          </w:p>
          <w:p w:rsidR="00000000" w:rsidDel="00000000" w:rsidP="00000000" w:rsidRDefault="00000000" w:rsidRPr="00000000" w14:paraId="000000F4">
            <w:pPr>
              <w:widowControl w:val="0"/>
              <w:spacing w:line="240" w:lineRule="auto"/>
              <w:rPr/>
            </w:pPr>
            <w:r w:rsidDel="00000000" w:rsidR="00000000" w:rsidRPr="00000000">
              <w:rPr>
                <w:rtl w:val="0"/>
              </w:rPr>
            </w:r>
          </w:p>
        </w:tc>
      </w:tr>
    </w:tbl>
    <w:p w:rsidR="00000000" w:rsidDel="00000000" w:rsidP="00000000" w:rsidRDefault="00000000" w:rsidRPr="00000000" w14:paraId="000000F5">
      <w:pPr>
        <w:spacing w:line="240" w:lineRule="auto"/>
        <w:rPr>
          <w:sz w:val="24"/>
          <w:szCs w:val="24"/>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0F7">
            <w:pPr>
              <w:widowControl w:val="0"/>
              <w:spacing w:line="240" w:lineRule="auto"/>
              <w:rPr>
                <w:i w:val="1"/>
                <w:iCs w:val="1"/>
              </w:rPr>
            </w:pPr>
            <w:r w:rsidDel="00000000" w:rsidR="00000000" w:rsidRPr="00000000">
              <w:rPr>
                <w:i w:val="1"/>
                <w:iCs w:val="1"/>
                <w:rtl w:val="0"/>
              </w:rPr>
              <w:t xml:space="preserve">The Configuration Tenant</w:t>
            </w:r>
          </w:p>
        </w:tc>
      </w:tr>
      <w:tr>
        <w:trPr>
          <w:cantSplit w:val="0"/>
          <w:tblHeader w:val="0"/>
        </w:trPr>
        <w:tc>
          <w:tcPr/>
          <w:p w:rsidR="00000000" w:rsidDel="00000000" w:rsidP="00000000" w:rsidRDefault="00000000" w:rsidRPr="00000000" w14:paraId="000000F8">
            <w:pPr>
              <w:widowControl w:val="0"/>
              <w:spacing w:line="240" w:lineRule="auto"/>
              <w:rPr/>
            </w:pPr>
            <w:r w:rsidDel="00000000" w:rsidR="00000000" w:rsidRPr="00000000">
              <w:rPr>
                <w:rtl w:val="0"/>
              </w:rPr>
              <w:t xml:space="preserve">As the project progresses, institutions move into a configuration-focused tenant where data volume increases and the interaction between data and configuration becomes more complex. This stage is where many institutions begin to feel pressure to complete all data workbooks, but it is important to remain focused on what matters most.</w:t>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t xml:space="preserve">The highest priority should be given to data that directly impacts academic outcomes. Programs of study, courses, course sections, registrations, and transfer credit form the foundation of the academic record and drive calculations such as GPA and cumulative credits. Ensuring that these areas are functioning correctly at scale is essential for a successful implementation.</w:t>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t xml:space="preserve">Other data elements, such as student personal information, are still important but do not carry the same level of downstream risk. While these workbooks may be large and visible, inaccuracies in this area are generally easier to correct and have less impact on core system functionality. As a result, they can often be sequenced later without affecting the institution’s ability to validate critical outcomes.</w:t>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This stage should be approached as a continuation of the iterative process established earlier. As data volume increases, institutions should expect to refine both data and configuration. Validation should continue to focus on outcomes first, with detailed investigation following only when discrepancies are identified.</w:t>
            </w:r>
          </w:p>
        </w:tc>
      </w:tr>
    </w:tbl>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101">
            <w:pPr>
              <w:widowControl w:val="0"/>
              <w:spacing w:line="240" w:lineRule="auto"/>
              <w:rPr>
                <w:i w:val="1"/>
                <w:iCs w:val="1"/>
              </w:rPr>
            </w:pPr>
            <w:r w:rsidDel="00000000" w:rsidR="00000000" w:rsidRPr="00000000">
              <w:rPr>
                <w:i w:val="1"/>
                <w:iCs w:val="1"/>
                <w:rtl w:val="0"/>
              </w:rPr>
              <w:t xml:space="preserve">End-to-End Testing</w:t>
            </w:r>
          </w:p>
        </w:tc>
      </w:tr>
      <w:tr>
        <w:trPr>
          <w:cantSplit w:val="0"/>
          <w:tblHeader w:val="0"/>
        </w:trPr>
        <w:tc>
          <w:tcPr/>
          <w:p w:rsidR="00000000" w:rsidDel="00000000" w:rsidP="00000000" w:rsidRDefault="00000000" w:rsidRPr="00000000" w14:paraId="00000102">
            <w:pPr>
              <w:widowControl w:val="0"/>
              <w:spacing w:line="240" w:lineRule="auto"/>
              <w:rPr/>
            </w:pPr>
            <w:r w:rsidDel="00000000" w:rsidR="00000000" w:rsidRPr="00000000">
              <w:rPr>
                <w:rtl w:val="0"/>
              </w:rPr>
              <w:t xml:space="preserve">End-to-end testing represents a transition from validating individual components to confirming that the system operates correctly as an integrated whole. At this stage, the tenant should closely resemble what will be used in production, both in terms of data and configuration.</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For end-to-end testing to be effective, core academic outcomes must already be stable. If GPA, credits, or program structures are still incorrect, it becomes difficult to determine whether issues encountered during testing are related to system design or underlying data problems. This uncertainty can significantly slow progress and reduce confidence in testing results.</w:t>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Once core data is reliable, institutions can begin to layer in additional elements that were intentionally deferred earlier in the process. This may include more complete student personal information or other lower-priority data. By sequencing this work later, institutions can ensure that their primary focus remains on validating the areas that are most difficult to correct after go live.</w:t>
            </w:r>
          </w:p>
        </w:tc>
      </w:tr>
    </w:tbl>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109">
            <w:pPr>
              <w:widowControl w:val="0"/>
              <w:spacing w:line="240" w:lineRule="auto"/>
              <w:rPr>
                <w:i w:val="1"/>
                <w:iCs w:val="1"/>
              </w:rPr>
            </w:pPr>
            <w:r w:rsidDel="00000000" w:rsidR="00000000" w:rsidRPr="00000000">
              <w:rPr>
                <w:i w:val="1"/>
                <w:iCs w:val="1"/>
                <w:rtl w:val="0"/>
              </w:rPr>
              <w:t xml:space="preserve">Final Validation and Preparation for Production</w:t>
            </w:r>
          </w:p>
        </w:tc>
      </w:tr>
      <w:tr>
        <w:trPr>
          <w:cantSplit w:val="0"/>
          <w:tblHeader w:val="0"/>
        </w:trPr>
        <w:tc>
          <w:tcPr/>
          <w:p w:rsidR="00000000" w:rsidDel="00000000" w:rsidP="00000000" w:rsidRDefault="00000000" w:rsidRPr="00000000" w14:paraId="0000010A">
            <w:pPr>
              <w:widowControl w:val="0"/>
              <w:spacing w:line="240" w:lineRule="auto"/>
              <w:rPr/>
            </w:pPr>
            <w:r w:rsidDel="00000000" w:rsidR="00000000" w:rsidRPr="00000000">
              <w:rPr>
                <w:rtl w:val="0"/>
              </w:rPr>
              <w:t xml:space="preserve">Following end-to-end testing, institutions may work within additional environments such as regression tenants or mock semester builds. The structure and purpose of these environments can vary, but they generally serve as final validation opportunities before production.</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These tenants should be used to confirm that the system remains stable under realistic conditions and that previously validated outcomes continue to hold. They are not intended for major redesign or large-scale data changes, but rather for building confidence that the system is ready for go live.</w:t>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t xml:space="preserve">As institutions approach the production build, they may also be provided with a practice or preview version of the production tenant. The level of flexibility within this environment varies, but it is an important opportunity to verify that data appears as expected and to identify any final discrepancies.</w:t>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t xml:space="preserve">Throughout the entire tenant progression, it is important to maintain a consistent focus on outcomes. The objective is not to move data from one system to another, but to ensure that the data supports the institution’s operations once the system is live.</w:t>
            </w:r>
          </w:p>
          <w:p w:rsidR="00000000" w:rsidDel="00000000" w:rsidP="00000000" w:rsidRDefault="00000000" w:rsidRPr="00000000" w14:paraId="00000111">
            <w:pPr>
              <w:widowControl w:val="0"/>
              <w:spacing w:line="240" w:lineRule="auto"/>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t xml:space="preserve">By starting with smaller, accurate data sets, validating outcomes early, and increasing volume in a controlled manner, institutions can develop a process that is both more efficient and more reliable. This approach reduces confusion, minimizes rework, and allows teams to focus their efforts where they have the greatest impact.</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t xml:space="preserve">Ultimately, success in data conversion is not defined by how much data is loaded, but by how confidently the institution can rely on that data to support students, faculty, and staff in their day-to-day work.</w:t>
            </w:r>
          </w:p>
        </w:tc>
      </w:tr>
    </w:tbl>
    <w:p w:rsidR="00000000" w:rsidDel="00000000" w:rsidP="00000000" w:rsidRDefault="00000000" w:rsidRPr="00000000" w14:paraId="00000115">
      <w:pPr>
        <w:spacing w:line="240" w:lineRule="auto"/>
        <w:rPr>
          <w:sz w:val="24"/>
          <w:szCs w:val="24"/>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117">
            <w:pPr>
              <w:widowControl w:val="0"/>
              <w:spacing w:line="240" w:lineRule="auto"/>
              <w:rPr>
                <w:i w:val="1"/>
                <w:iCs w:val="1"/>
              </w:rPr>
            </w:pPr>
            <w:r w:rsidDel="00000000" w:rsidR="00000000" w:rsidRPr="00000000">
              <w:rPr>
                <w:i w:val="1"/>
                <w:iCs w:val="1"/>
                <w:rtl w:val="0"/>
              </w:rPr>
              <w:t xml:space="preserve">The Legato Data Conversion and Validation Methodology Advantage </w:t>
            </w:r>
          </w:p>
        </w:tc>
      </w:tr>
      <w:tr>
        <w:trPr>
          <w:cantSplit w:val="0"/>
          <w:tblHeader w:val="0"/>
        </w:trPr>
        <w:tc>
          <w:tcPr/>
          <w:p w:rsidR="00000000" w:rsidDel="00000000" w:rsidP="00000000" w:rsidRDefault="00000000" w:rsidRPr="00000000" w14:paraId="00000118">
            <w:pPr>
              <w:widowControl w:val="0"/>
              <w:spacing w:line="240" w:lineRule="auto"/>
              <w:rPr/>
            </w:pPr>
            <w:r w:rsidDel="00000000" w:rsidR="00000000" w:rsidRPr="00000000">
              <w:rPr>
                <w:rtl w:val="0"/>
              </w:rPr>
              <w:t xml:space="preserve">Workday Student implementations are supported by experienced implementation partners who bring structured methodologies, technical expertise, and a consistent approach to configuring the system. That foundation is important and necessary. However, there is a critical portion of the work that does not sit within the partner’s scope of responsibility.</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Data validation, prioritization, translation decisions, and operational readiness ultimately belong to the institution.</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This is where many implementations struggle. Institutions are often guided to focus on completing workbooks and achieving high load percentages, but they are left to determine for themselves whether the data is actually correct and usable. When issues arise, they are frequently discovered late in the process, when they are more difficult and more costly to resolve. Legato’s approach is built specifically around this gap.</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Rather than replacing the implementation partner’s framework, Legato builds on top of it by focusing on the areas that remain the institution’s responsibility. This includes helping teams understand how their data behaves within the Workday model, how to prioritize work based on risk and impact, and how to validate outcomes in a way that reflects real operational use.</w:t>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t xml:space="preserve">This perspective comes from working side by side with institutions through implementations, particularly in the moments where standard approaches fall short. It is grounded in practical experience with how data issues actually surface, how teams respond to them, and what it takes to resolve them effectively.</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The effectiveness of this approach comes from shifting how success is defined and how work is sequenced. By focusing first on outcomes such as GPA, credits, and program structure, institutions are able to identify issues earlier and with greater clarity. Instead of working through large volumes of data without knowing whether it is correct, teams can quickly determine whether the system is producing the right results and then trace issues back to their source.</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By taking an iterative approach and starting with smaller data sets, institutions reduce complexity and avoid repeating the same issues across thousands of records. This allows teams to refine their process, build confidence, and scale in a controlled way.</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By aligning functional and technical teams around shared data definitions and continuous feedback, institutions create a more cohesive understanding of how data should be translated and validated. This reduces miscommunication and ensures that decisions are consistently applied across extraction, configuration, and reporting.</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By incorporating reporting and compliance requirements early, institutions avoid gaps that would otherwise appear after go live. This ensures that data is not only loaded correctly, but is also usable for the purposes that matter most.</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By separating validated data from data that requires further investigation, teams are able to move forward with testing and reporting while continuing to resolve outstanding issues. This prevents confusion and allows progress to continue without being blocked by incomplete areas. Taken together, these practices create a process that is more efficient, more transparent, and more aligned with how institutions actually operate.</w:t>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t xml:space="preserve">A successful go live is not defined by perfection. It is defined by whether the institution can operate effectively on day one with confidence in its data. Legato’s methodology is designed to support that goal. It acknowledges that not all data carries the same level of risk and that not all work needs to be completed at the same time. By focusing on what is most difficult to correct after go live, institutions can reduce long-term risk while making the process more manageable.</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This approach also creates a clearer path for ongoing improvement. Because data definitions, translation decisions, and validation methods are documented and understood, institutions are better positioned to maintain and evolve their system after implementation.</w:t>
            </w:r>
          </w:p>
        </w:tc>
      </w:tr>
    </w:tbl>
    <w:p w:rsidR="00000000" w:rsidDel="00000000" w:rsidP="00000000" w:rsidRDefault="00000000" w:rsidRPr="00000000" w14:paraId="0000012F">
      <w:pPr>
        <w:spacing w:line="240" w:lineRule="auto"/>
        <w:rPr>
          <w:sz w:val="24"/>
          <w:szCs w:val="24"/>
        </w:rPr>
      </w:pPr>
      <w:r w:rsidDel="00000000" w:rsidR="00000000" w:rsidRPr="00000000">
        <w:rPr>
          <w:rtl w:val="0"/>
        </w:rPr>
      </w:r>
    </w:p>
    <w:p w:rsidR="00000000" w:rsidDel="00000000" w:rsidP="00000000" w:rsidRDefault="00000000" w:rsidRPr="00000000" w14:paraId="00000130">
      <w:pPr>
        <w:spacing w:line="240" w:lineRule="auto"/>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3f3f3" w:val="clear"/>
          </w:tcPr>
          <w:p w:rsidR="00000000" w:rsidDel="00000000" w:rsidP="00000000" w:rsidRDefault="00000000" w:rsidRPr="00000000" w14:paraId="00000131">
            <w:pPr>
              <w:widowControl w:val="0"/>
              <w:spacing w:line="240" w:lineRule="auto"/>
              <w:rPr>
                <w:i w:val="1"/>
                <w:iCs w:val="1"/>
              </w:rPr>
            </w:pPr>
            <w:r w:rsidDel="00000000" w:rsidR="00000000" w:rsidRPr="00000000">
              <w:rPr>
                <w:i w:val="1"/>
                <w:iCs w:val="1"/>
                <w:rtl w:val="0"/>
              </w:rPr>
              <w:t xml:space="preserve">Conclusion</w:t>
            </w:r>
          </w:p>
        </w:tc>
      </w:tr>
      <w:tr>
        <w:trPr>
          <w:cantSplit w:val="0"/>
          <w:tblHeader w:val="0"/>
        </w:trPr>
        <w:tc>
          <w:tcPr/>
          <w:p w:rsidR="00000000" w:rsidDel="00000000" w:rsidP="00000000" w:rsidRDefault="00000000" w:rsidRPr="00000000" w14:paraId="00000132">
            <w:pPr>
              <w:widowControl w:val="0"/>
              <w:spacing w:line="240" w:lineRule="auto"/>
              <w:rPr/>
            </w:pPr>
            <w:r w:rsidDel="00000000" w:rsidR="00000000" w:rsidRPr="00000000">
              <w:rPr>
                <w:rtl w:val="0"/>
              </w:rPr>
              <w:t xml:space="preserve">Data conversion is often treated as a technical milestone within an implementation timeline. In practice, it is one of the most important opportunities an institution has to understand its data, align its teams, and prepare for how the system will be used. When approached thoughtfully, it becomes more than a process of moving data. It becomes a foundation for reporting, decision-making, and daily operations.</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Legato’s role is to guide institutions through this process with a focus on clarity, practicality, and outcomes. By combining structured methodology with real-world experience, institutions are able to move beyond simply loading data and toward building a system they can trust.</w:t>
            </w:r>
          </w:p>
        </w:tc>
      </w:tr>
    </w:tbl>
    <w:p w:rsidR="00000000" w:rsidDel="00000000" w:rsidP="00000000" w:rsidRDefault="00000000" w:rsidRPr="00000000" w14:paraId="00000135">
      <w:pPr>
        <w:rPr>
          <w:sz w:val="24"/>
          <w:szCs w:val="24"/>
        </w:rPr>
        <w:sectPr>
          <w:headerReference r:id="rId6" w:type="default"/>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8" w:type="default"/>
          <w:footerReference r:id="rId9" w:type="default"/>
          <w:type w:val="nextPage"/>
          <w:pgSz w:h="15840" w:w="12240" w:orient="portrait"/>
          <w:pgMar w:bottom="1440" w:top="1440" w:left="1440" w:right="1440" w:header="720" w:footer="720"/>
          <w:pgNumType w:start="1"/>
        </w:sectPr>
      </w:pPr>
      <w:bookmarkStart w:colFirst="0" w:colLast="0" w:name="_22vixvlv8w6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Historical Student Population</w:t>
      </w:r>
      <w:r w:rsidDel="00000000" w:rsidR="00000000" w:rsidRPr="00000000">
        <w:rPr>
          <w:rtl w:val="0"/>
        </w:rPr>
      </w:r>
    </w:p>
    <w:p w:rsidR="00000000" w:rsidDel="00000000" w:rsidP="00000000" w:rsidRDefault="00000000" w:rsidRPr="00000000" w14:paraId="00000137">
      <w:pPr>
        <w:rPr>
          <w:i w:val="1"/>
          <w:iCs w:val="1"/>
        </w:rPr>
      </w:pPr>
      <w:r w:rsidDel="00000000" w:rsidR="00000000" w:rsidRPr="00000000">
        <w:rPr>
          <w:rtl w:val="0"/>
        </w:rPr>
      </w:r>
    </w:p>
    <w:p w:rsidR="00000000" w:rsidDel="00000000" w:rsidP="00000000" w:rsidRDefault="00000000" w:rsidRPr="00000000" w14:paraId="00000138">
      <w:pPr>
        <w:pStyle w:val="Title"/>
        <w:jc w:val="center"/>
        <w:rPr>
          <w:b w:val="1"/>
          <w:bCs w:val="1"/>
          <w:sz w:val="28"/>
          <w:szCs w:val="28"/>
        </w:rPr>
      </w:pPr>
      <w:bookmarkStart w:colFirst="0" w:colLast="0" w:name="_rxyggh70txlo" w:id="9"/>
      <w:bookmarkEnd w:id="9"/>
      <w:r w:rsidDel="00000000" w:rsidR="00000000" w:rsidRPr="00000000">
        <w:rPr>
          <w:b w:val="1"/>
          <w:bCs w:val="1"/>
          <w:sz w:val="28"/>
          <w:szCs w:val="28"/>
          <w:rtl w:val="0"/>
        </w:rPr>
        <w:t xml:space="preserve">Legato Data Conversion and Validation Approach</w:t>
      </w:r>
    </w:p>
    <w:p w:rsidR="00000000" w:rsidDel="00000000" w:rsidP="00000000" w:rsidRDefault="00000000" w:rsidRPr="00000000" w14:paraId="00000139">
      <w:pPr>
        <w:pStyle w:val="Title"/>
        <w:jc w:val="center"/>
        <w:rPr/>
      </w:pPr>
      <w:bookmarkStart w:colFirst="0" w:colLast="0" w:name="_f7uqkahx0pip" w:id="10"/>
      <w:bookmarkEnd w:id="10"/>
      <w:r w:rsidDel="00000000" w:rsidR="00000000" w:rsidRPr="00000000">
        <w:rPr>
          <w:b w:val="1"/>
          <w:bCs w:val="1"/>
          <w:sz w:val="28"/>
          <w:szCs w:val="28"/>
          <w:rtl w:val="0"/>
        </w:rPr>
        <w:t xml:space="preserve">Workday Student for the Historical Student Population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13B">
            <w:pPr>
              <w:widowControl w:val="0"/>
              <w:spacing w:line="24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rtl w:val="0"/>
              </w:rPr>
            </w:r>
          </w:p>
        </w:tc>
      </w:tr>
    </w:tbl>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13F">
            <w:pPr>
              <w:widowControl w:val="0"/>
              <w:spacing w:line="24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40">
            <w:pPr>
              <w:widowControl w:val="0"/>
              <w:spacing w:line="240" w:lineRule="auto"/>
              <w:rPr/>
            </w:pPr>
            <w:r w:rsidDel="00000000" w:rsidR="00000000" w:rsidRPr="00000000">
              <w:rPr>
                <w:rtl w:val="0"/>
              </w:rPr>
            </w:r>
          </w:p>
        </w:tc>
      </w:tr>
    </w:tbl>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sz w:val="20"/>
        <w:szCs w:val="20"/>
      </w:rPr>
    </w:pPr>
    <w:r w:rsidDel="00000000" w:rsidR="00000000" w:rsidRPr="00000000">
      <w:rPr>
        <w:sz w:val="20"/>
        <w:szCs w:val="20"/>
        <w:rtl w:val="0"/>
      </w:rPr>
      <w:t xml:space="preserve">Legato Strategic Consulting 2026</w:t>
    </w:r>
  </w:p>
  <w:p w:rsidR="00000000" w:rsidDel="00000000" w:rsidP="00000000" w:rsidRDefault="00000000" w:rsidRPr="00000000" w14:paraId="00000144">
    <w:pPr>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sz w:val="20"/>
        <w:szCs w:val="20"/>
      </w:rPr>
    </w:pPr>
    <w:r w:rsidDel="00000000" w:rsidR="00000000" w:rsidRPr="00000000">
      <w:rPr>
        <w:sz w:val="20"/>
        <w:szCs w:val="20"/>
        <w:rtl w:val="0"/>
      </w:rPr>
      <w:t xml:space="preserve">Legato Strategic Consulting 2026</w:t>
    </w:r>
  </w:p>
  <w:p w:rsidR="00000000" w:rsidDel="00000000" w:rsidP="00000000" w:rsidRDefault="00000000" w:rsidRPr="00000000" w14:paraId="00000149">
    <w:pPr>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-314324</wp:posOffset>
          </wp:positionV>
          <wp:extent cx="1214438" cy="7286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4438" cy="7286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-314324</wp:posOffset>
          </wp:positionV>
          <wp:extent cx="1214438" cy="72866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4438" cy="7286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