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8.png" ContentType="image/png"/>
  <Override PartName="/word/media/rId42.png" ContentType="image/png"/>
  <Override PartName="/word/media/rId46.png" ContentType="image/png"/>
  <Override PartName="/word/media/rId33.jpg" ContentType="image/jpe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1" w:name="ari-data-terms"/>
    <w:p>
      <w:pPr>
        <w:pStyle w:val="Heading1"/>
      </w:pPr>
      <w:r>
        <w:t xml:space="preserve">Additional 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bCs/>
          <w:b/>
        </w:rPr>
        <w:t xml:space="preserve">individuals</w:t>
      </w:r>
      <w:r>
        <w:t xml:space="preserve"> </w:t>
      </w:r>
      <w:r>
        <w:t xml:space="preserve">and both data controllers and data processors as</w:t>
      </w:r>
      <w:r>
        <w:t xml:space="preserve"> </w:t>
      </w:r>
      <w:r>
        <w:rPr>
          <w:bCs/>
          <w:b/>
        </w:rPr>
        <w:t xml:space="preserve">data holders</w:t>
      </w:r>
      <w:r>
        <w:t xml:space="preserve">, because for this thesis, focusing as it does on the individual perspective, there is no need to draw a distinction between data controllers and data processors.</w:t>
      </w:r>
    </w:p>
    <w:bookmarkEnd w:id="21"/>
    <w:bookmarkStart w:id="22" w:name="ari-sentences"/>
    <w:p>
      <w:pPr>
        <w:pStyle w:val="Heading1"/>
      </w:pPr>
      <w:r>
        <w:t xml:space="preserve">Additional 2: Sentence Ranking - Sentences and Analysis</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22"/>
    <w:bookmarkStart w:id="31" w:name="ari-storyboarding"/>
    <w:p>
      <w:pPr>
        <w:pStyle w:val="Heading1"/>
      </w:pPr>
      <w:r>
        <w:t xml:space="preserve">Additional 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26" w:name="figure-ARI.1"/>
      <w:r>
        <w:drawing>
          <wp:inline>
            <wp:extent cx="5334000" cy="2371915"/>
            <wp:effectExtent b="0" l="0" r="0" t="0"/>
            <wp:docPr descr="Figure ARI.1: Extract of Sample Scenario Storyboarding Exercise walkthrough" title="" id="24" name="Picture"/>
            <a:graphic>
              <a:graphicData uri="http://schemas.openxmlformats.org/drawingml/2006/picture">
                <pic:pic>
                  <pic:nvPicPr>
                    <pic:cNvPr descr="./src/figs/figARI.1-storyboarding-cards.png" id="25" name="Picture"/>
                    <pic:cNvPicPr>
                      <a:picLocks noChangeArrowheads="1" noChangeAspect="1"/>
                    </pic:cNvPicPr>
                  </pic:nvPicPr>
                  <pic:blipFill>
                    <a:blip r:embed="rId23"/>
                    <a:stretch>
                      <a:fillRect/>
                    </a:stretch>
                  </pic:blipFill>
                  <pic:spPr bwMode="auto">
                    <a:xfrm>
                      <a:off x="0" y="0"/>
                      <a:ext cx="5334000" cy="2371915"/>
                    </a:xfrm>
                    <a:prstGeom prst="rect">
                      <a:avLst/>
                    </a:prstGeom>
                    <a:noFill/>
                    <a:ln w="9525">
                      <a:noFill/>
                      <a:headEnd/>
                      <a:tailEnd/>
                    </a:ln>
                  </pic:spPr>
                </pic:pic>
              </a:graphicData>
            </a:graphic>
          </wp:inline>
        </w:drawing>
      </w:r>
      <w:bookmarkEnd w:id="26"/>
    </w:p>
    <w:p>
      <w:pPr>
        <w:pStyle w:val="ImageCaption"/>
      </w:pPr>
      <w:r>
        <w:t xml:space="preserve">Figure ARI.1: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1">
        <w:r>
          <w:rPr>
            <w:rStyle w:val="Hyperlink"/>
          </w:rPr>
          <w:t xml:space="preserve">Figure ARI.1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0" w:name="figure-ARI.2"/>
      <w:r>
        <w:drawing>
          <wp:inline>
            <wp:extent cx="5334000" cy="3773229"/>
            <wp:effectExtent b="0" l="0" r="0" t="0"/>
            <wp:docPr descr="Figure ARI.2: Example Backing Mat for Storyboard Decks (pictured here: backing mat for all three ‘problem’ card decks" title="" id="28" name="Picture"/>
            <a:graphic>
              <a:graphicData uri="http://schemas.openxmlformats.org/drawingml/2006/picture">
                <pic:pic>
                  <pic:nvPicPr>
                    <pic:cNvPr descr="./src/figs/figARI.2-backing-mat.png" id="29" name="Picture"/>
                    <pic:cNvPicPr>
                      <a:picLocks noChangeArrowheads="1" noChangeAspect="1"/>
                    </pic:cNvPicPr>
                  </pic:nvPicPr>
                  <pic:blipFill>
                    <a:blip r:embed="rId27"/>
                    <a:stretch>
                      <a:fillRect/>
                    </a:stretch>
                  </pic:blipFill>
                  <pic:spPr bwMode="auto">
                    <a:xfrm>
                      <a:off x="0" y="0"/>
                      <a:ext cx="5334000" cy="3773229"/>
                    </a:xfrm>
                    <a:prstGeom prst="rect">
                      <a:avLst/>
                    </a:prstGeom>
                    <a:noFill/>
                    <a:ln w="9525">
                      <a:noFill/>
                      <a:headEnd/>
                      <a:tailEnd/>
                    </a:ln>
                  </pic:spPr>
                </pic:pic>
              </a:graphicData>
            </a:graphic>
          </wp:inline>
        </w:drawing>
      </w:r>
      <w:bookmarkEnd w:id="30"/>
    </w:p>
    <w:p>
      <w:pPr>
        <w:pStyle w:val="ImageCaption"/>
      </w:pPr>
      <w:r>
        <w:t xml:space="preserve">Figure ARI.2: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2">
        <w:r>
          <w:rPr>
            <w:rStyle w:val="Hyperlink"/>
          </w:rPr>
          <w:t xml:space="preserve">Figure ARI.2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31"/>
    <w:bookmarkStart w:id="32" w:name="ari-quotes"/>
    <w:p>
      <w:pPr>
        <w:pStyle w:val="Heading1"/>
      </w:pPr>
      <w:r>
        <w:t xml:space="preserve">Additional 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Additional 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32"/>
    <w:bookmarkStart w:id="37" w:name="ari-monitor"/>
    <w:p>
      <w:pPr>
        <w:pStyle w:val="Heading1"/>
      </w:pPr>
      <w:r>
        <w:t xml:space="preserve">Additional 5: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36" w:name="figure-ARI.x"/>
      <w:r>
        <w:drawing>
          <wp:inline>
            <wp:extent cx="5334000" cy="5124097"/>
            <wp:effectExtent b="0" l="0" r="0" t="0"/>
            <wp:docPr descr="Figure ARI.X: Private Data Viewing Monitor with Viewing Glasses" title="" id="34" name="Picture"/>
            <a:graphic>
              <a:graphicData uri="http://schemas.openxmlformats.org/drawingml/2006/picture">
                <pic:pic>
                  <pic:nvPicPr>
                    <pic:cNvPr descr="./src/figs/figF.1-private-viewing-monitor.jpg" id="35" name="Picture"/>
                    <pic:cNvPicPr>
                      <a:picLocks noChangeArrowheads="1" noChangeAspect="1"/>
                    </pic:cNvPicPr>
                  </pic:nvPicPr>
                  <pic:blipFill>
                    <a:blip r:embed="rId33"/>
                    <a:stretch>
                      <a:fillRect/>
                    </a:stretch>
                  </pic:blipFill>
                  <pic:spPr bwMode="auto">
                    <a:xfrm>
                      <a:off x="0" y="0"/>
                      <a:ext cx="5334000" cy="5124097"/>
                    </a:xfrm>
                    <a:prstGeom prst="rect">
                      <a:avLst/>
                    </a:prstGeom>
                    <a:noFill/>
                    <a:ln w="9525">
                      <a:noFill/>
                      <a:headEnd/>
                      <a:tailEnd/>
                    </a:ln>
                  </pic:spPr>
                </pic:pic>
              </a:graphicData>
            </a:graphic>
          </wp:inline>
        </w:drawing>
      </w:r>
      <w:bookmarkEnd w:id="36"/>
    </w:p>
    <w:p>
      <w:pPr>
        <w:pStyle w:val="ImageCaption"/>
      </w:pPr>
      <w:r>
        <w:t xml:space="preserve">Figure ARI.X: Private Data Viewing Monitor with Viewing Glasses</w:t>
      </w:r>
    </w:p>
    <w:bookmarkEnd w:id="37"/>
    <w:bookmarkStart w:id="50" w:name="ari-gdpr-data-analysis"/>
    <w:p>
      <w:pPr>
        <w:pStyle w:val="Heading1"/>
      </w:pPr>
      <w:r>
        <w:t xml:space="preserve">Additional 6: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1" w:name="figure-ARI.3"/>
      <w:r>
        <w:drawing>
          <wp:inline>
            <wp:extent cx="5334000" cy="3379904"/>
            <wp:effectExtent b="0" l="0" r="0" t="0"/>
            <wp:docPr descr="Figure ARI.3: Screenshot from Quirkos During Coding Process" title="" id="39" name="Picture"/>
            <a:graphic>
              <a:graphicData uri="http://schemas.openxmlformats.org/drawingml/2006/picture">
                <pic:pic>
                  <pic:nvPicPr>
                    <pic:cNvPr descr="./src/figs/figARI.3-quirkos-coding.png" id="40" name="Picture"/>
                    <pic:cNvPicPr>
                      <a:picLocks noChangeArrowheads="1" noChangeAspect="1"/>
                    </pic:cNvPicPr>
                  </pic:nvPicPr>
                  <pic:blipFill>
                    <a:blip r:embed="rId38"/>
                    <a:stretch>
                      <a:fillRect/>
                    </a:stretch>
                  </pic:blipFill>
                  <pic:spPr bwMode="auto">
                    <a:xfrm>
                      <a:off x="0" y="0"/>
                      <a:ext cx="5334000" cy="3379904"/>
                    </a:xfrm>
                    <a:prstGeom prst="rect">
                      <a:avLst/>
                    </a:prstGeom>
                    <a:noFill/>
                    <a:ln w="9525">
                      <a:noFill/>
                      <a:headEnd/>
                      <a:tailEnd/>
                    </a:ln>
                  </pic:spPr>
                </pic:pic>
              </a:graphicData>
            </a:graphic>
          </wp:inline>
        </w:drawing>
      </w:r>
      <w:bookmarkEnd w:id="41"/>
    </w:p>
    <w:p>
      <w:pPr>
        <w:pStyle w:val="ImageCaption"/>
      </w:pPr>
      <w:r>
        <w:t xml:space="preserve">Figure ARI.3: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45" w:name="figure-ARI.4"/>
      <w:r>
        <w:drawing>
          <wp:inline>
            <wp:extent cx="5334000" cy="3266293"/>
            <wp:effectExtent b="0" l="0" r="0" t="0"/>
            <wp:docPr descr="Figure ARI.4: Screenshot from Quirkos at End of Coding Process" title="" id="43" name="Picture"/>
            <a:graphic>
              <a:graphicData uri="http://schemas.openxmlformats.org/drawingml/2006/picture">
                <pic:pic>
                  <pic:nvPicPr>
                    <pic:cNvPr descr="./src/figs/figARI.4-quirkos-coding-at-end.png" id="44" name="Picture"/>
                    <pic:cNvPicPr>
                      <a:picLocks noChangeArrowheads="1" noChangeAspect="1"/>
                    </pic:cNvPicPr>
                  </pic:nvPicPr>
                  <pic:blipFill>
                    <a:blip r:embed="rId42"/>
                    <a:stretch>
                      <a:fillRect/>
                    </a:stretch>
                  </pic:blipFill>
                  <pic:spPr bwMode="auto">
                    <a:xfrm>
                      <a:off x="0" y="0"/>
                      <a:ext cx="5334000" cy="3266293"/>
                    </a:xfrm>
                    <a:prstGeom prst="rect">
                      <a:avLst/>
                    </a:prstGeom>
                    <a:noFill/>
                    <a:ln w="9525">
                      <a:noFill/>
                      <a:headEnd/>
                      <a:tailEnd/>
                    </a:ln>
                  </pic:spPr>
                </pic:pic>
              </a:graphicData>
            </a:graphic>
          </wp:inline>
        </w:drawing>
      </w:r>
      <w:bookmarkEnd w:id="45"/>
    </w:p>
    <w:p>
      <w:pPr>
        <w:pStyle w:val="ImageCaption"/>
      </w:pPr>
      <w:r>
        <w:t xml:space="preserve">Figure ARI.4: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49" w:name="figure-ARI.5"/>
      <w:r>
        <w:drawing>
          <wp:inline>
            <wp:extent cx="5334000" cy="3857067"/>
            <wp:effectExtent b="0" l="0" r="0" t="0"/>
            <wp:docPr descr="Figure ARI.5: Screenshot from Workflowy During Theme Construction" title="" id="47" name="Picture"/>
            <a:graphic>
              <a:graphicData uri="http://schemas.openxmlformats.org/drawingml/2006/picture">
                <pic:pic>
                  <pic:nvPicPr>
                    <pic:cNvPr descr="./src/figs/figARI.5-workflowy-theme-construction.png" id="48" name="Picture"/>
                    <pic:cNvPicPr>
                      <a:picLocks noChangeArrowheads="1" noChangeAspect="1"/>
                    </pic:cNvPicPr>
                  </pic:nvPicPr>
                  <pic:blipFill>
                    <a:blip r:embed="rId46"/>
                    <a:stretch>
                      <a:fillRect/>
                    </a:stretch>
                  </pic:blipFill>
                  <pic:spPr bwMode="auto">
                    <a:xfrm>
                      <a:off x="0" y="0"/>
                      <a:ext cx="5334000" cy="3857067"/>
                    </a:xfrm>
                    <a:prstGeom prst="rect">
                      <a:avLst/>
                    </a:prstGeom>
                    <a:noFill/>
                    <a:ln w="9525">
                      <a:noFill/>
                      <a:headEnd/>
                      <a:tailEnd/>
                    </a:ln>
                  </pic:spPr>
                </pic:pic>
              </a:graphicData>
            </a:graphic>
          </wp:inline>
        </w:drawing>
      </w:r>
      <w:bookmarkEnd w:id="49"/>
    </w:p>
    <w:p>
      <w:pPr>
        <w:pStyle w:val="ImageCaption"/>
      </w:pPr>
      <w:r>
        <w:t xml:space="preserve">Figure ARI.5: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0"/>
    <w:bookmarkStart w:id="54" w:name="ari-bestworst"/>
    <w:p>
      <w:pPr>
        <w:pStyle w:val="Heading1"/>
      </w:pPr>
      <w:r>
        <w:t xml:space="preserve">Additional 7: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1">
        <w:r>
          <w:rPr>
            <w:rStyle w:val="Hyperlink"/>
          </w:rPr>
          <w:t xml:space="preserve">Table ARI.1</w:t>
        </w:r>
      </w:hyperlink>
      <w:r>
        <w:t xml:space="preserve"> </w:t>
      </w:r>
      <w:r>
        <w:t xml:space="preserve">below.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ARI.1 - Best and Worst Data Holders for GDPR, according to Participants’ Judgements</w:t>
      </w:r>
      <w:r>
        <w:t xml:space="preserve">a</w:t>
      </w:r>
    </w:p>
    <w:bookmarkEnd w:id="54"/>
    <w:bookmarkStart w:id="55" w:name="ari-bbc"/>
    <w:p>
      <w:pPr>
        <w:pStyle w:val="Heading1"/>
      </w:pPr>
      <w:r>
        <w:t xml:space="preserve">Additional 8: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55"/>
    <w:bookmarkStart w:id="56" w:name="ari-digipower"/>
    <w:p>
      <w:pPr>
        <w:pStyle w:val="Heading1"/>
      </w:pPr>
      <w:r>
        <w:t xml:space="preserve">Additional 9: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56"/>
    <w:bookmarkStart w:id="57" w:name="ari-derc"/>
    <w:p>
      <w:pPr>
        <w:pStyle w:val="Heading1"/>
      </w:pPr>
      <w:r>
        <w:t xml:space="preserve">Additional 10: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57"/>
    <w:bookmarkStart w:id="58" w:name="ari-attribution"/>
    <w:p>
      <w:pPr>
        <w:pStyle w:val="Heading1"/>
      </w:pPr>
      <w:r>
        <w:t xml:space="preserve">Additional 11: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p>
      <w:r>
        <w:pict>
          <v:rect style="width:0;height:1.5pt" o:hralign="center" o:hrstd="t" o:hr="t"/>
        </w:pict>
      </w:r>
    </w:p>
    <w:bookmarkEnd w:id="58"/>
    <w:bookmarkStart w:id="107" w:name="bibliography"/>
    <w:p>
      <w:pPr>
        <w:pStyle w:val="Heading1"/>
      </w:pPr>
      <w:r>
        <w:t xml:space="preserve">Bibliography</w:t>
      </w:r>
    </w:p>
    <w:bookmarkStart w:id="106"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1">
        <w:r>
          <w:rPr>
            <w:rStyle w:val="Hyperlink"/>
          </w:rPr>
          <w:t xml:space="preserve">https://inrupt.com/solid/</w:t>
        </w:r>
      </w:hyperlink>
      <w:r>
        <w:t xml:space="preserve">.</w:t>
      </w:r>
    </w:p>
    <w:bookmarkEnd w:id="62"/>
    <w:bookmarkStart w:id="6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63">
        <w:r>
          <w:rPr>
            <w:rStyle w:val="Hyperlink"/>
          </w:rPr>
          <w:t xml:space="preserve">https://eprints.ncl.ac.uk/273825</w:t>
        </w:r>
      </w:hyperlink>
      <w:r>
        <w:t xml:space="preserve">.</w:t>
      </w:r>
    </w:p>
    <w:bookmarkEnd w:id="64"/>
    <w:bookmarkStart w:id="6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65">
        <w:r>
          <w:rPr>
            <w:rStyle w:val="Hyperlink"/>
          </w:rPr>
          <w:t xml:space="preserve">10.1145/3173574.3173710</w:t>
        </w:r>
      </w:hyperlink>
      <w:r>
        <w:t xml:space="preserve">.</w:t>
      </w:r>
    </w:p>
    <w:bookmarkEnd w:id="66"/>
    <w:bookmarkStart w:id="68"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67">
        <w:r>
          <w:rPr>
            <w:rStyle w:val="Hyperlink"/>
          </w:rPr>
          <w:t xml:space="preserve">https://bit.ly/bbc-pds-research-bowyer</w:t>
        </w:r>
      </w:hyperlink>
      <w:r>
        <w:t xml:space="preserve">.</w:t>
      </w:r>
    </w:p>
    <w:bookmarkEnd w:id="68"/>
    <w:bookmarkStart w:id="70"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69">
        <w:r>
          <w:rPr>
            <w:rStyle w:val="Hyperlink"/>
          </w:rPr>
          <w:t xml:space="preserve">https://bit.ly/bbc-internship-alex-bowyer</w:t>
        </w:r>
      </w:hyperlink>
      <w:r>
        <w:t xml:space="preserve"> </w:t>
      </w:r>
      <w:r>
        <w:t xml:space="preserve">(Accessed: 18 August 2022).</w:t>
      </w:r>
    </w:p>
    <w:bookmarkEnd w:id="70"/>
    <w:bookmarkStart w:id="7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1">
        <w:r>
          <w:rPr>
            <w:rStyle w:val="Hyperlink"/>
          </w:rPr>
          <w:t xml:space="preserve">10.5281/zenodo.6554177</w:t>
        </w:r>
      </w:hyperlink>
      <w:r>
        <w:t xml:space="preserve">.</w:t>
      </w:r>
    </w:p>
    <w:bookmarkEnd w:id="72"/>
    <w:bookmarkStart w:id="7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3"/>
    <w:bookmarkStart w:id="7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74">
        <w:r>
          <w:rPr>
            <w:rStyle w:val="Hyperlink"/>
          </w:rPr>
          <w:t xml:space="preserve">10.1191/1478088706qp063oa</w:t>
        </w:r>
      </w:hyperlink>
      <w:r>
        <w:t xml:space="preserve">.</w:t>
      </w:r>
    </w:p>
    <w:bookmarkEnd w:id="75"/>
    <w:bookmarkStart w:id="77" w:name="ref-bbc1997rd"/>
    <w:p>
      <w:pPr>
        <w:pStyle w:val="Bibliography"/>
      </w:pPr>
      <w:r>
        <w:t xml:space="preserve">British Broadcasting Corporation (1997)</w:t>
      </w:r>
      <w:r>
        <w:t xml:space="preserve"> </w:t>
      </w:r>
      <w:r>
        <w:t xml:space="preserve">‘Our purpose’</w:t>
      </w:r>
      <w:r>
        <w:t xml:space="preserve">. Available at:</w:t>
      </w:r>
      <w:r>
        <w:t xml:space="preserve"> </w:t>
      </w:r>
      <w:hyperlink r:id="rId76">
        <w:r>
          <w:rPr>
            <w:rStyle w:val="Hyperlink"/>
          </w:rPr>
          <w:t xml:space="preserve">https://www.bbc.co.uk/rd/about/our-purpose</w:t>
        </w:r>
      </w:hyperlink>
      <w:r>
        <w:t xml:space="preserve"> </w:t>
      </w:r>
      <w:r>
        <w:t xml:space="preserve">(Accessed: 18 August 2022).</w:t>
      </w:r>
    </w:p>
    <w:bookmarkEnd w:id="77"/>
    <w:bookmarkStart w:id="79" w:name="ref-quirkos2013"/>
    <w:p>
      <w:pPr>
        <w:pStyle w:val="Bibliography"/>
      </w:pPr>
      <w:r>
        <w:t xml:space="preserve">Daniel Turner (2014)</w:t>
      </w:r>
      <w:r>
        <w:t xml:space="preserve"> </w:t>
      </w:r>
      <w:r>
        <w:t xml:space="preserve">‘Quirkos cloud’</w:t>
      </w:r>
      <w:r>
        <w:t xml:space="preserve">. Available at:</w:t>
      </w:r>
      <w:r>
        <w:t xml:space="preserve"> </w:t>
      </w:r>
      <w:hyperlink r:id="rId78">
        <w:r>
          <w:rPr>
            <w:rStyle w:val="Hyperlink"/>
          </w:rPr>
          <w:t xml:space="preserve">https://www.quirkos.com/learn-qualitative/features.html</w:t>
        </w:r>
      </w:hyperlink>
      <w:r>
        <w:t xml:space="preserve">.</w:t>
      </w:r>
    </w:p>
    <w:bookmarkEnd w:id="79"/>
    <w:bookmarkStart w:id="81" w:name="ref-dehaye2019"/>
    <w:p>
      <w:pPr>
        <w:pStyle w:val="Bibliography"/>
      </w:pPr>
      <w:r>
        <w:t xml:space="preserve">Dehaye, P.-O. (2019)</w:t>
      </w:r>
      <w:r>
        <w:t xml:space="preserve"> </w:t>
      </w:r>
      <w:r>
        <w:t xml:space="preserve">‘Hestia.ai: About us’</w:t>
      </w:r>
      <w:r>
        <w:t xml:space="preserve">. Available at:</w:t>
      </w:r>
      <w:r>
        <w:t xml:space="preserve"> </w:t>
      </w:r>
      <w:hyperlink r:id="rId80">
        <w:r>
          <w:rPr>
            <w:rStyle w:val="Hyperlink"/>
          </w:rPr>
          <w:t xml:space="preserve">https://hestia.ai/en/about/</w:t>
        </w:r>
      </w:hyperlink>
      <w:r>
        <w:t xml:space="preserve">.</w:t>
      </w:r>
    </w:p>
    <w:bookmarkEnd w:id="81"/>
    <w:bookmarkStart w:id="8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82"/>
    <w:bookmarkStart w:id="8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3"/>
    <w:bookmarkStart w:id="8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84">
        <w:r>
          <w:rPr>
            <w:rStyle w:val="Hyperlink"/>
          </w:rPr>
          <w:t xml:space="preserve">https://www.sitra.fi/en/publications/tracking-digipower/</w:t>
        </w:r>
      </w:hyperlink>
      <w:r>
        <w:t xml:space="preserve">.</w:t>
      </w:r>
    </w:p>
    <w:bookmarkEnd w:id="85"/>
    <w:bookmarkStart w:id="87" w:name="ref-härkönen2022project"/>
    <w:p>
      <w:pPr>
        <w:pStyle w:val="Bibliography"/>
      </w:pPr>
      <w:r>
        <w:t xml:space="preserve">Härkönen, T. and Vänskä, R. (2021). Sitra. Available at:</w:t>
      </w:r>
      <w:r>
        <w:t xml:space="preserve"> </w:t>
      </w:r>
      <w:hyperlink r:id="rId86">
        <w:r>
          <w:rPr>
            <w:rStyle w:val="Hyperlink"/>
          </w:rPr>
          <w:t xml:space="preserve">https://www.sitra.fi/en/projects/digipower-investigation/#what-is-it-about</w:t>
        </w:r>
      </w:hyperlink>
      <w:r>
        <w:t xml:space="preserve">.</w:t>
      </w:r>
    </w:p>
    <w:bookmarkEnd w:id="87"/>
    <w:bookmarkStart w:id="89"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88">
        <w:r>
          <w:rPr>
            <w:rStyle w:val="Hyperlink"/>
          </w:rPr>
          <w:t xml:space="preserve">10.1080/13600834.2019.1573501</w:t>
        </w:r>
      </w:hyperlink>
      <w:r>
        <w:t xml:space="preserve">.</w:t>
      </w:r>
    </w:p>
    <w:bookmarkEnd w:id="89"/>
    <w:bookmarkStart w:id="9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0"/>
    <w:bookmarkStart w:id="92"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1">
        <w:r>
          <w:rPr>
            <w:rStyle w:val="Hyperlink"/>
          </w:rPr>
          <w:t xml:space="preserve">https://ico.org.uk/for-organisations/guide-to-data-protection/introduction-to-data-protection/some-basic-concepts/</w:t>
        </w:r>
      </w:hyperlink>
      <w:r>
        <w:t xml:space="preserve">.</w:t>
      </w:r>
    </w:p>
    <w:bookmarkEnd w:id="92"/>
    <w:bookmarkStart w:id="94"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93">
        <w:r>
          <w:rPr>
            <w:rStyle w:val="Hyperlink"/>
          </w:rPr>
          <w:t xml:space="preserve">10.1145/1240624.1240832</w:t>
        </w:r>
      </w:hyperlink>
      <w:r>
        <w:t xml:space="preserve">.</w:t>
      </w:r>
    </w:p>
    <w:bookmarkEnd w:id="94"/>
    <w:bookmarkStart w:id="96"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95">
        <w:r>
          <w:rPr>
            <w:rStyle w:val="Hyperlink"/>
          </w:rPr>
          <w:t xml:space="preserve">10.5281/zenodo.6554155</w:t>
        </w:r>
      </w:hyperlink>
      <w:r>
        <w:t xml:space="preserve">.</w:t>
      </w:r>
    </w:p>
    <w:bookmarkEnd w:id="96"/>
    <w:bookmarkStart w:id="98" w:name="ref-sitra1967"/>
    <w:p>
      <w:pPr>
        <w:pStyle w:val="Bibliography"/>
      </w:pPr>
      <w:r>
        <w:t xml:space="preserve">Sitra (1967). Available at:</w:t>
      </w:r>
      <w:r>
        <w:t xml:space="preserve"> </w:t>
      </w:r>
      <w:hyperlink r:id="rId97">
        <w:r>
          <w:rPr>
            <w:rStyle w:val="Hyperlink"/>
          </w:rPr>
          <w:t xml:space="preserve">https://www.sitra.fi/en/topics/strategy-2/#what-is-sitra</w:t>
        </w:r>
      </w:hyperlink>
      <w:r>
        <w:t xml:space="preserve"> </w:t>
      </w:r>
      <w:r>
        <w:t xml:space="preserve">(Accessed: 18 August 2022).</w:t>
      </w:r>
    </w:p>
    <w:bookmarkEnd w:id="98"/>
    <w:bookmarkStart w:id="100"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99">
        <w:r>
          <w:rPr>
            <w:rStyle w:val="Hyperlink"/>
          </w:rPr>
          <w:t xml:space="preserve">https://www.sitra.fi/en/themes/fair-data-economy/#what-is-it-about</w:t>
        </w:r>
      </w:hyperlink>
      <w:r>
        <w:t xml:space="preserve"> </w:t>
      </w:r>
      <w:r>
        <w:t xml:space="preserve">(Accessed: 18 August 2022).</w:t>
      </w:r>
    </w:p>
    <w:bookmarkEnd w:id="100"/>
    <w:bookmarkStart w:id="101"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1"/>
    <w:bookmarkStart w:id="103"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02">
        <w:r>
          <w:rPr>
            <w:rStyle w:val="Hyperlink"/>
          </w:rPr>
          <w:t xml:space="preserve">https://eur-lex.europa.eu/legal-content/EN/TXT/?uri=CELEX:32016R0679 https://eur-lex.europa.eu/legal-content/EN/TXT/PDF/?uri=CELEX:32016R0679&amp;from=ES</w:t>
        </w:r>
      </w:hyperlink>
      <w:r>
        <w:t xml:space="preserve">.</w:t>
      </w:r>
    </w:p>
    <w:bookmarkEnd w:id="103"/>
    <w:bookmarkStart w:id="105" w:name="ref-workflowy2010"/>
    <w:p>
      <w:pPr>
        <w:pStyle w:val="Bibliography"/>
      </w:pPr>
      <w:r>
        <w:t xml:space="preserve">Turitzin, M. and Patel, J. (2010)</w:t>
      </w:r>
      <w:r>
        <w:t xml:space="preserve"> </w:t>
      </w:r>
      <w:r>
        <w:t xml:space="preserve">‘Workflowy’</w:t>
      </w:r>
      <w:r>
        <w:t xml:space="preserve">. Available at:</w:t>
      </w:r>
      <w:r>
        <w:t xml:space="preserve"> </w:t>
      </w:r>
      <w:hyperlink r:id="rId104">
        <w:r>
          <w:rPr>
            <w:rStyle w:val="Hyperlink"/>
          </w:rPr>
          <w:t xml:space="preserve">https://www.workflowy.com/features/</w:t>
        </w:r>
      </w:hyperlink>
      <w:r>
        <w:t xml:space="preserve">.</w:t>
      </w:r>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3" Target="media/rId33.jpg" /><Relationship Type="http://schemas.openxmlformats.org/officeDocument/2006/relationships/image" Id="rId51" Target="media/rId51.png" /><Relationship Type="http://schemas.openxmlformats.org/officeDocument/2006/relationships/hyperlink" Id="rId69" Target="https://bit.ly/bbc-internship-alex-bowyer" TargetMode="External" /><Relationship Type="http://schemas.openxmlformats.org/officeDocument/2006/relationships/hyperlink" Id="rId67" Target="https://bit.ly/bbc-pds-research-bowyer" TargetMode="External" /><Relationship Type="http://schemas.openxmlformats.org/officeDocument/2006/relationships/hyperlink" Id="rId88" Target="https://doi.org/10.1080/13600834.2019.1573501" TargetMode="External" /><Relationship Type="http://schemas.openxmlformats.org/officeDocument/2006/relationships/hyperlink" Id="rId93" Target="https://doi.org/10.1145/1240624.1240832" TargetMode="External" /><Relationship Type="http://schemas.openxmlformats.org/officeDocument/2006/relationships/hyperlink" Id="rId59" Target="https://doi.org/10.1145/2670528" TargetMode="External" /><Relationship Type="http://schemas.openxmlformats.org/officeDocument/2006/relationships/hyperlink" Id="rId65" Target="https://doi.org/10.1145/3173574.3173710" TargetMode="External" /><Relationship Type="http://schemas.openxmlformats.org/officeDocument/2006/relationships/hyperlink" Id="rId74" Target="https://doi.org/10.1191/1478088706qp063oa" TargetMode="External" /><Relationship Type="http://schemas.openxmlformats.org/officeDocument/2006/relationships/hyperlink" Id="rId95" Target="https://doi.org/10.5281/zenodo.6554155" TargetMode="External" /><Relationship Type="http://schemas.openxmlformats.org/officeDocument/2006/relationships/hyperlink" Id="rId71" Target="https://doi.org/10.5281/zenodo.6554177" TargetMode="External" /><Relationship Type="http://schemas.openxmlformats.org/officeDocument/2006/relationships/hyperlink" Id="rId63" Target="https://eprints.ncl.ac.uk/273825" TargetMode="External" /><Relationship Type="http://schemas.openxmlformats.org/officeDocument/2006/relationships/hyperlink" Id="rId102" Target="https://eur-lex.europa.eu/legal-content/EN/TXT/?uri=CELEX:32016R0679 https://eur-lex.europa.eu/legal-content/EN/TXT/PDF/?uri=CELEX:32016R0679&amp;from=ES" TargetMode="External" /><Relationship Type="http://schemas.openxmlformats.org/officeDocument/2006/relationships/hyperlink" Id="rId80" Target="https://hestia.ai/en/about/" TargetMode="External" /><Relationship Type="http://schemas.openxmlformats.org/officeDocument/2006/relationships/hyperlink" Id="rId91" Target="https://ico.org.uk/for-organisations/guide-to-data-protection/introduction-to-data-protection/some-basic-concepts/" TargetMode="External" /><Relationship Type="http://schemas.openxmlformats.org/officeDocument/2006/relationships/hyperlink" Id="rId61" Target="https://inrupt.com/solid/" TargetMode="External" /><Relationship Type="http://schemas.openxmlformats.org/officeDocument/2006/relationships/hyperlink" Id="rId76" Target="https://www.bbc.co.uk/rd/about/our-purpose" TargetMode="External" /><Relationship Type="http://schemas.openxmlformats.org/officeDocument/2006/relationships/hyperlink" Id="rId78" Target="https://www.quirkos.com/learn-qualitative/features.html" TargetMode="External" /><Relationship Type="http://schemas.openxmlformats.org/officeDocument/2006/relationships/hyperlink" Id="rId86" Target="https://www.sitra.fi/en/projects/digipower-investigation/#what-is-it-about" TargetMode="External" /><Relationship Type="http://schemas.openxmlformats.org/officeDocument/2006/relationships/hyperlink" Id="rId84" Target="https://www.sitra.fi/en/publications/tracking-digipower/" TargetMode="External" /><Relationship Type="http://schemas.openxmlformats.org/officeDocument/2006/relationships/hyperlink" Id="rId99" Target="https://www.sitra.fi/en/themes/fair-data-economy/#what-is-it-about" TargetMode="External" /><Relationship Type="http://schemas.openxmlformats.org/officeDocument/2006/relationships/hyperlink" Id="rId97" Target="https://www.sitra.fi/en/topics/strategy-2/#what-is-sitra" TargetMode="External" /><Relationship Type="http://schemas.openxmlformats.org/officeDocument/2006/relationships/hyperlink" Id="rId104"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9" Target="https://bit.ly/bbc-internship-alex-bowyer" TargetMode="External" /><Relationship Type="http://schemas.openxmlformats.org/officeDocument/2006/relationships/hyperlink" Id="rId67" Target="https://bit.ly/bbc-pds-research-bowyer" TargetMode="External" /><Relationship Type="http://schemas.openxmlformats.org/officeDocument/2006/relationships/hyperlink" Id="rId88" Target="https://doi.org/10.1080/13600834.2019.1573501" TargetMode="External" /><Relationship Type="http://schemas.openxmlformats.org/officeDocument/2006/relationships/hyperlink" Id="rId93" Target="https://doi.org/10.1145/1240624.1240832" TargetMode="External" /><Relationship Type="http://schemas.openxmlformats.org/officeDocument/2006/relationships/hyperlink" Id="rId59" Target="https://doi.org/10.1145/2670528" TargetMode="External" /><Relationship Type="http://schemas.openxmlformats.org/officeDocument/2006/relationships/hyperlink" Id="rId65" Target="https://doi.org/10.1145/3173574.3173710" TargetMode="External" /><Relationship Type="http://schemas.openxmlformats.org/officeDocument/2006/relationships/hyperlink" Id="rId74" Target="https://doi.org/10.1191/1478088706qp063oa" TargetMode="External" /><Relationship Type="http://schemas.openxmlformats.org/officeDocument/2006/relationships/hyperlink" Id="rId95" Target="https://doi.org/10.5281/zenodo.6554155" TargetMode="External" /><Relationship Type="http://schemas.openxmlformats.org/officeDocument/2006/relationships/hyperlink" Id="rId71" Target="https://doi.org/10.5281/zenodo.6554177" TargetMode="External" /><Relationship Type="http://schemas.openxmlformats.org/officeDocument/2006/relationships/hyperlink" Id="rId63" Target="https://eprints.ncl.ac.uk/273825" TargetMode="External" /><Relationship Type="http://schemas.openxmlformats.org/officeDocument/2006/relationships/hyperlink" Id="rId102" Target="https://eur-lex.europa.eu/legal-content/EN/TXT/?uri=CELEX:32016R0679 https://eur-lex.europa.eu/legal-content/EN/TXT/PDF/?uri=CELEX:32016R0679&amp;from=ES" TargetMode="External" /><Relationship Type="http://schemas.openxmlformats.org/officeDocument/2006/relationships/hyperlink" Id="rId80" Target="https://hestia.ai/en/about/" TargetMode="External" /><Relationship Type="http://schemas.openxmlformats.org/officeDocument/2006/relationships/hyperlink" Id="rId91" Target="https://ico.org.uk/for-organisations/guide-to-data-protection/introduction-to-data-protection/some-basic-concepts/" TargetMode="External" /><Relationship Type="http://schemas.openxmlformats.org/officeDocument/2006/relationships/hyperlink" Id="rId61" Target="https://inrupt.com/solid/" TargetMode="External" /><Relationship Type="http://schemas.openxmlformats.org/officeDocument/2006/relationships/hyperlink" Id="rId76" Target="https://www.bbc.co.uk/rd/about/our-purpose" TargetMode="External" /><Relationship Type="http://schemas.openxmlformats.org/officeDocument/2006/relationships/hyperlink" Id="rId78" Target="https://www.quirkos.com/learn-qualitative/features.html" TargetMode="External" /><Relationship Type="http://schemas.openxmlformats.org/officeDocument/2006/relationships/hyperlink" Id="rId86" Target="https://www.sitra.fi/en/projects/digipower-investigation/#what-is-it-about" TargetMode="External" /><Relationship Type="http://schemas.openxmlformats.org/officeDocument/2006/relationships/hyperlink" Id="rId84" Target="https://www.sitra.fi/en/publications/tracking-digipower/" TargetMode="External" /><Relationship Type="http://schemas.openxmlformats.org/officeDocument/2006/relationships/hyperlink" Id="rId99" Target="https://www.sitra.fi/en/themes/fair-data-economy/#what-is-it-about" TargetMode="External" /><Relationship Type="http://schemas.openxmlformats.org/officeDocument/2006/relationships/hyperlink" Id="rId97" Target="https://www.sitra.fi/en/topics/strategy-2/#what-is-sitra" TargetMode="External" /><Relationship Type="http://schemas.openxmlformats.org/officeDocument/2006/relationships/hyperlink" Id="rId104"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2022-08-20T21:11:06Z</dcterms:created>
  <dcterms:modified xsi:type="dcterms:W3CDTF">2022-08-20T21:11:06Z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