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31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  <w:r>
        <w:t xml:space="preserve"> </w:t>
      </w: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  <w:r>
        <w:t xml:space="preserve"> </w:t>
      </w: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  <w:r>
        <w:t xml:space="preserve"> </w:t>
      </w: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  <w:r>
        <w:t xml:space="preserve"> </w:t>
      </w: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  <w:r>
        <w:t xml:space="preserve"> </w:t>
      </w: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  <w:r>
        <w:t xml:space="preserve"> </w:t>
      </w: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  <w:r>
        <w:t xml:space="preserve"> </w:t>
      </w: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  <w:r>
        <w:t xml:space="preserve"> </w:t>
      </w: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  <w:r>
        <w:t xml:space="preserve"> </w:t>
      </w: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  <w:r>
        <w:t xml:space="preserve"> </w:t>
      </w: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  <w:r>
        <w:t xml:space="preserve"> </w:t>
      </w: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pStyle w:val="BodyTex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  <w:r>
        <w:t xml:space="preserve"> </w:t>
      </w: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  <w:r>
        <w:t xml:space="preserve"> </w:t>
      </w: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  <w:r>
        <w:t xml:space="preserve"> </w:t>
      </w: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  <w:r>
        <w:t xml:space="preserve"> </w:t>
      </w: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  <w:r>
        <w:t xml:space="preserve"> </w:t>
      </w: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  <w:r>
        <w:t xml:space="preserve"> </w:t>
      </w: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BodyText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pStyle w:val="BodyTex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  <w:r>
        <w:t xml:space="preserve"> </w:t>
      </w: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  <w:r>
        <w:t xml:space="preserve"> </w:t>
      </w: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pStyle w:val="BodyTex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  <w:r>
        <w:t xml:space="preserve"> </w:t>
      </w: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  <w:r>
        <w:t xml:space="preserve"> </w:t>
      </w: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  <w:r>
        <w:t xml:space="preserve"> </w:t>
      </w: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pStyle w:val="FirstParagraph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  <w:r>
        <w:t xml:space="preserve"> </w:t>
      </w: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  <w:r>
        <w:t xml:space="preserve"> </w:t>
      </w: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  <w:r>
        <w:t xml:space="preserve"> </w:t>
      </w: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  <w:r>
        <w:t xml:space="preserve"> </w:t>
      </w: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  <w:r>
        <w:t xml:space="preserve"> </w:t>
      </w: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  <w:r>
        <w:t xml:space="preserve"> </w:t>
      </w: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  <w:r>
        <w:t xml:space="preserve"> </w:t>
      </w: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  <w:r>
        <w:t xml:space="preserve"> </w:t>
      </w: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  <w:r>
        <w:t xml:space="preserve"> </w:t>
      </w: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  <w:r>
        <w:t xml:space="preserve"> </w:t>
      </w: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  <w:r>
        <w:t xml:space="preserve"> </w:t>
      </w: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  <w:r>
        <w:t xml:space="preserve"> </w:t>
      </w: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  <w:r>
        <w:t xml:space="preserve"> </w:t>
      </w: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pStyle w:val="FirstParagraph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  <w:r>
        <w:t xml:space="preserve"> </w:t>
      </w: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  <w:r>
        <w:t xml:space="preserve"> </w:t>
      </w: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  <w:r>
        <w:t xml:space="preserve"> </w:t>
      </w: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 </w:t>
      </w: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  <w:r>
        <w:t xml:space="preserve"> </w:t>
      </w: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  <w:r>
        <w:t xml:space="preserve"> </w:t>
      </w: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  <w:r>
        <w:t xml:space="preserve"> </w:t>
      </w: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  <w:r>
        <w:t xml:space="preserve"> </w:t>
      </w: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  <w:r>
        <w:t xml:space="preserve"> </w:t>
      </w: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 </w:t>
      </w: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  <w:r>
        <w:t xml:space="preserve"> </w:t>
      </w: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  <w:r>
        <w:t xml:space="preserve"> </w:t>
      </w: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  <w:r>
        <w:t xml:space="preserve"> </w:t>
      </w: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  <w:r>
        <w:t xml:space="preserve"> </w:t>
      </w: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ure-9.23">
        <w:r>
          <w:rPr>
            <w:rStyle w:val="Hyperlink"/>
            <w:bCs/>
            <w:b/>
          </w:rPr>
          <w:t xml:space="preserve">Figure 9.23</w:t>
        </w:r>
      </w:hyperlink>
      <w:r>
        <w:rPr>
          <w:bCs/>
          <w:b/>
        </w:rPr>
        <w:t xml:space="preserve"> </w:t>
      </w:r>
      <w:r>
        <w:t xml:space="preserve">Life Concepts**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  <w:r>
        <w:t xml:space="preserve"> </w:t>
      </w: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  <w:r>
        <w:t xml:space="preserve"> </w:t>
      </w: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 </w:t>
      </w: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 </w:t>
      </w: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  <w:r>
        <w:t xml:space="preserve"> </w:t>
      </w: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  <w:r>
        <w:t xml:space="preserve"> </w:t>
      </w: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  <w:r>
        <w:t xml:space="preserve"> </w:t>
      </w:r>
      <w:r>
        <w:rPr>
          <w:bCs/>
          <w:b/>
        </w:rPr>
        <w:t xml:space="preserve">Trust -</w:t>
      </w:r>
      <w:r>
        <w:rPr>
          <w:bCs/>
          <w:b/>
        </w:rPr>
        <w:t xml:space="preserve"> </w:t>
      </w:r>
      <w:hyperlink w:anchor="Xbab51b354b67876c6284de28df0e549940fb873">
        <w:r>
          <w:rPr>
            <w:rStyle w:val="Hyperlink"/>
            <w:bCs/>
            <w:b/>
          </w:rPr>
          <w:t xml:space="preserve">4.3.4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cbcb0941f4181aab74224b7105fd44cb905d42">
        <w:r>
          <w:rPr>
            <w:rStyle w:val="Hyperlink"/>
            <w:bCs/>
            <w:b/>
          </w:rPr>
          <w:t xml:space="preserve">4.4.1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7fee6fbf9ee82826dccbd5118d485029a82ebe">
        <w:r>
          <w:rPr>
            <w:rStyle w:val="Hyperlink"/>
            <w:bCs/>
            <w:b/>
          </w:rPr>
          <w:t xml:space="preserve">5.3.4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38f625be2c0c748970e0e254c020e238dedd97d">
        <w:r>
          <w:rPr>
            <w:rStyle w:val="Hyperlink"/>
            <w:bCs/>
            <w:b/>
          </w:rPr>
          <w:t xml:space="preserve">5.4.4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want-i1">
        <w:r>
          <w:rPr>
            <w:rStyle w:val="Hyperlink"/>
            <w:bCs/>
            <w:b/>
          </w:rPr>
          <w:t xml:space="preserve">6.2.1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insight-13">
        <w:r>
          <w:rPr>
            <w:rStyle w:val="Hyperlink"/>
            <w:bCs/>
            <w:b/>
          </w:rPr>
          <w:t xml:space="preserve">Insight 13</w:t>
        </w:r>
      </w:hyperlink>
      <w:r>
        <w:rPr>
          <w:bCs/>
          <w:b/>
        </w:rPr>
        <w:t xml:space="preserve"> </w:t>
      </w:r>
      <w:r>
        <w:t xml:space="preserve">Types of Personal Data (by origin)** 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  <w:r>
        <w:t xml:space="preserve"> </w:t>
      </w: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  <w:r>
        <w:t xml:space="preserve"> </w:t>
      </w: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  <w:r>
        <w:t xml:space="preserve"> </w:t>
      </w: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  <w:r>
        <w:t xml:space="preserve"> </w:t>
      </w: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  <w:r>
        <w:t xml:space="preserve"> </w:t>
      </w: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  <w:r>
        <w:t xml:space="preserve"> </w:t>
      </w: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  <w:r>
        <w:t xml:space="preserve"> </w:t>
      </w: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  <w:r>
        <w:t xml:space="preserve"> </w:t>
      </w: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  <w:r>
        <w:t xml:space="preserve"> </w:t>
      </w: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  <w:r>
        <w:t xml:space="preserve"> </w:t>
      </w: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  <w:r>
        <w:t xml:space="preserve"> </w:t>
      </w: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  <w:r>
        <w:t xml:space="preserve"> </w:t>
      </w: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  <w:r>
        <w:t xml:space="preserve"> </w:t>
      </w: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  <w:r>
        <w:t xml:space="preserve"> </w:t>
      </w: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  <w:r>
        <w:t xml:space="preserve"> </w:t>
      </w: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  <w:r>
        <w:t xml:space="preserve"> </w:t>
      </w: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  <w:r>
        <w:t xml:space="preserve"> </w:t>
      </w: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  <w:r>
        <w:t xml:space="preserve"> </w:t>
      </w: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  <w:r>
        <w:t xml:space="preserve"> </w:t>
      </w: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  <w:r>
        <w:t xml:space="preserve"> </w:t>
      </w: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  <w:r>
        <w:t xml:space="preserve"> </w:t>
      </w: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  <w:r>
        <w:t xml:space="preserve"> </w:t>
      </w: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  <w:r>
        <w:t xml:space="preserve"> </w:t>
      </w: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  <w:r>
        <w:t xml:space="preserve"> </w:t>
      </w: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  <w:r>
        <w:t xml:space="preserve"> </w:t>
      </w: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  <w:r>
        <w:t xml:space="preserve"> </w:t>
      </w: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  <w:r>
        <w:t xml:space="preserve"> </w:t>
      </w: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  <w:r>
        <w:t xml:space="preserve"> </w:t>
      </w: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  <w:r>
        <w:t xml:space="preserve"> </w:t>
      </w: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  <w:r>
        <w:t xml:space="preserve"> </w:t>
      </w: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  <w:r>
        <w:t xml:space="preserve"> </w:t>
      </w: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  <w:r>
        <w:t xml:space="preserve"> </w:t>
      </w: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  <w:r>
        <w:t xml:space="preserve"> </w:t>
      </w: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  <w:r>
        <w:t xml:space="preserve"> </w:t>
      </w: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  <w:r>
        <w:t xml:space="preserve"> </w:t>
      </w: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  <w:r>
        <w:t xml:space="preserve"> </w:t>
      </w: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  <w:r>
        <w:t xml:space="preserve"> </w:t>
      </w: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  <w:r>
        <w:t xml:space="preserve"> </w:t>
      </w: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  <w:r>
        <w:t xml:space="preserve"> </w:t>
      </w: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  <w:r>
        <w:t xml:space="preserve"> </w:t>
      </w: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  <w:r>
        <w:t xml:space="preserve"> </w:t>
      </w: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  <w:r>
        <w:t xml:space="preserve"> </w:t>
      </w: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  <w:r>
        <w:t xml:space="preserve"> </w:t>
      </w: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  <w:r>
        <w:t xml:space="preserve"> </w:t>
      </w: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  <w:r>
        <w:t xml:space="preserve"> </w:t>
      </w: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  <w:r>
        <w:t xml:space="preserve"> </w:t>
      </w: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  <w:r>
        <w:t xml:space="preserve"> </w:t>
      </w: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  <w:r>
        <w:t xml:space="preserve"> </w:t>
      </w: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  <w:r>
        <w:t xml:space="preserve"> </w:t>
      </w: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  <w:r>
        <w:t xml:space="preserve"> </w:t>
      </w: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  <w:r>
        <w:t xml:space="preserve"> </w:t>
      </w: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Open Lab, where I studied this PhD</w:t>
      </w:r>
      <w:r>
        <w:t xml:space="preserve"> </w:t>
      </w: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  <w:r>
        <w:t xml:space="preserve"> </w:t>
      </w: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  <w:r>
        <w:t xml:space="preserve"> </w:t>
      </w: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  <w:r>
        <w:t xml:space="preserve"> </w:t>
      </w: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  <w:r>
        <w:t xml:space="preserve"> </w:t>
      </w: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  <w:r>
        <w:t xml:space="preserve"> </w:t>
      </w: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  <w:r>
        <w:t xml:space="preserve"> </w:t>
      </w: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  <w:r>
        <w:t xml:space="preserve"> </w:t>
      </w: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  <w:r>
        <w:t xml:space="preserve"> </w:t>
      </w: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  <w:r>
        <w:t xml:space="preserve"> </w:t>
      </w: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  <w:r>
        <w:t xml:space="preserve"> </w:t>
      </w: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  <w:r>
        <w:t xml:space="preserve"> </w:t>
      </w: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  <w:r>
        <w:t xml:space="preserve"> </w:t>
      </w: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  <w:r>
        <w:t xml:space="preserve"> </w:t>
      </w: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  <w:r>
        <w:t xml:space="preserve"> </w:t>
      </w: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  <w:r>
        <w:t xml:space="preserve"> </w:t>
      </w: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  <w:r>
        <w:t xml:space="preserve"> </w:t>
      </w: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  <w:r>
        <w:t xml:space="preserve"> </w:t>
      </w: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  <w:r>
        <w:t xml:space="preserve"> </w:t>
      </w: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  <w:r>
        <w:t xml:space="preserve"> </w:t>
      </w: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  <w:r>
        <w:t xml:space="preserve"> </w:t>
      </w: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  <w:r>
        <w:t xml:space="preserve"> </w:t>
      </w: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  <w:r>
        <w:t xml:space="preserve"> </w:t>
      </w: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  <w:r>
        <w:t xml:space="preserve"> </w:t>
      </w: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  <w:r>
        <w:t xml:space="preserve"> </w:t>
      </w: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  <w:r>
        <w:t xml:space="preserve"> </w:t>
      </w: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  <w:r>
        <w:t xml:space="preserve"> </w:t>
      </w: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  <w:r>
        <w:t xml:space="preserve"> </w:t>
      </w: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  <w:r>
        <w:t xml:space="preserve"> </w:t>
      </w: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  <w:r>
        <w:t xml:space="preserve"> </w:t>
      </w: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  <w:r>
        <w:t xml:space="preserve"> </w:t>
      </w: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  <w:r>
        <w:t xml:space="preserve"> </w:t>
      </w: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  <w:r>
        <w:t xml:space="preserve"> </w:t>
      </w: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  <w:r>
        <w:t xml:space="preserve"> </w:t>
      </w: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  <w:r>
        <w:t xml:space="preserve"> </w:t>
      </w: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  <w:r>
        <w:t xml:space="preserve"> </w:t>
      </w: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  <w:r>
        <w:t xml:space="preserve"> </w:t>
      </w: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  <w:r>
        <w:t xml:space="preserve"> </w:t>
      </w: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  <w:r>
        <w:t xml:space="preserve"> </w:t>
      </w: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  <w:r>
        <w:t xml:space="preserve"> </w:t>
      </w: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  <w:r>
        <w:t xml:space="preserve"> </w:t>
      </w: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  <w:r>
        <w:t xml:space="preserve"> </w:t>
      </w: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  <w:r>
        <w:t xml:space="preserve"> </w:t>
      </w: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  <w:r>
        <w:t xml:space="preserve"> </w:t>
      </w: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  <w:r>
        <w:t xml:space="preserve"> </w:t>
      </w: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  <w:r>
        <w:t xml:space="preserve"> </w:t>
      </w: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  <w:r>
        <w:t xml:space="preserve"> </w:t>
      </w: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  <w:r>
        <w:t xml:space="preserve"> </w:t>
      </w: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  <w:r>
        <w:t xml:space="preserve"> </w:t>
      </w: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  <w:r>
        <w:t xml:space="preserve"> </w:t>
      </w: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  <w:r>
        <w:t xml:space="preserve"> </w:t>
      </w: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  <w:r>
        <w:t xml:space="preserve"> </w:t>
      </w: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harnessing of one’s personal data</w:t>
      </w:r>
      <w:r>
        <w:t xml:space="preserve"> </w:t>
      </w: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  <w:r>
        <w:t xml:space="preserve"> </w:t>
      </w: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  <w:r>
        <w:t xml:space="preserve"> </w:t>
      </w: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  <w:r>
        <w:t xml:space="preserve"> </w:t>
      </w: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  <w:r>
        <w:t xml:space="preserve"> </w:t>
      </w: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  <w:r>
        <w:t xml:space="preserve"> </w:t>
      </w: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  <w:r>
        <w:t xml:space="preserve"> </w:t>
      </w: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  <w:r>
        <w:t xml:space="preserve"> </w:t>
      </w: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  <w:r>
        <w:t xml:space="preserve"> </w:t>
      </w: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  <w:r>
        <w:t xml:space="preserve"> </w:t>
      </w: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  <w:r>
        <w:t xml:space="preserve"> </w:t>
      </w: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  <w:r>
        <w:t xml:space="preserve"> </w:t>
      </w: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  <w:r>
        <w:t xml:space="preserve"> </w:t>
      </w: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  <w:r>
        <w:t xml:space="preserve"> </w:t>
      </w: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  <w:r>
        <w:t xml:space="preserve"> </w:t>
      </w: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  <w:r>
        <w:t xml:space="preserve"> </w:t>
      </w: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  <w:r>
        <w:t xml:space="preserve"> </w:t>
      </w: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  <w:r>
        <w:t xml:space="preserve"> </w:t>
      </w: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  <w:r>
        <w:t xml:space="preserve"> </w:t>
      </w: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  <w:r>
        <w:t xml:space="preserve"> </w:t>
      </w: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  <w:r>
        <w:t xml:space="preserve"> </w:t>
      </w: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  <w:r>
        <w:t xml:space="preserve"> </w:t>
      </w: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  <w:r>
        <w:t xml:space="preserve"> </w:t>
      </w: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  <w:r>
        <w:t xml:space="preserve"> </w:t>
      </w: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  <w:r>
        <w:t xml:space="preserve"> </w:t>
      </w: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  <w:r>
        <w:t xml:space="preserve"> </w:t>
      </w: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  <w:r>
        <w:t xml:space="preserve"> </w:t>
      </w: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  <w:r>
        <w:t xml:space="preserve"> </w:t>
      </w: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upon it, setting goals and tracking progress</w:t>
      </w:r>
      <w:r>
        <w:t xml:space="preserve"> </w:t>
      </w: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  <w:r>
        <w:t xml:space="preserve"> </w:t>
      </w: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  <w:r>
        <w:t xml:space="preserve"> </w:t>
      </w: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  <w:r>
        <w:t xml:space="preserve"> </w:t>
      </w: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usage and data access</w:t>
      </w:r>
      <w:r>
        <w:t xml:space="preserve"> </w:t>
      </w: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  <w:r>
        <w:t xml:space="preserve"> </w:t>
      </w: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  <w:r>
        <w:t xml:space="preserve"> </w:t>
      </w: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  <w:r>
        <w:t xml:space="preserve"> </w:t>
      </w: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  <w:r>
        <w:t xml:space="preserve"> </w:t>
      </w: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  <w:r>
        <w:t xml:space="preserve"> </w:t>
      </w: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  <w:r>
        <w:t xml:space="preserve"> </w:t>
      </w: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  <w:r>
        <w:t xml:space="preserve"> </w:t>
      </w: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  <w:r>
        <w:t xml:space="preserve"> </w:t>
      </w: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broadcast advertising to find customers</w:t>
      </w:r>
      <w:r>
        <w:t xml:space="preserve"> </w:t>
      </w: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  <w:r>
        <w:t xml:space="preserve"> </w:t>
      </w: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  <w:r>
        <w:t xml:space="preserve"> </w:t>
      </w: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  <w:r>
        <w:t xml:space="preserve"> </w:t>
      </w: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p>
      <w:r>
        <w:pict>
          <v:rect style="width:0;height:1.5pt" o:hralign="center" o:hrstd="t" o:hr="t"/>
        </w:pic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2022-08-23T13:35:46Z</dcterms:created>
  <dcterms:modified xsi:type="dcterms:W3CDTF">2022-08-23T13:35:46Z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