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Published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13 pages.</w:t>
      </w:r>
    </w:p>
    <w:bookmarkEnd w:id="20"/>
    <w:bookmarkStart w:id="21" w:name="appendix-b"/>
    <w:p>
      <w:pPr>
        <w:pStyle w:val="Heading2"/>
      </w:pPr>
      <w:r>
        <w:t xml:space="preserve">B Ethics Approvals</w:t>
      </w:r>
    </w:p>
    <w:p>
      <w:pPr>
        <w:pStyle w:val="FirstParagraph"/>
      </w:pPr>
      <w:r>
        <w:t xml:space="preserve">The following 8 pages include three different ethical approvals</w:t>
      </w:r>
    </w:p>
    <w:p>
      <w:pPr>
        <w:pStyle w:val="BodyText"/>
      </w:pPr>
      <w:r>
        <w:t xml:space="preserve">– the original ethics approval focused on Case Study One,</w:t>
      </w:r>
      <w:r>
        <w:t xml:space="preserve"> </w:t>
      </w:r>
      <w:r>
        <w:t xml:space="preserve">- the original ethics approval for Case Study Two, and</w:t>
      </w:r>
      <w:r>
        <w:t xml:space="preserve"> </w:t>
      </w:r>
      <w:r>
        <w:t xml:space="preserve">- the ethics-reapproval of Case Study Two for COVID-19 mitigations.</w:t>
      </w:r>
    </w:p>
    <w:bookmarkEnd w:id="21"/>
    <w:bookmarkEnd w:id="22"/>
    <w:bookmarkStart w:id="31" w:name="hdr-index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an index to easily locate key HDR-related concepts, ideas and contributions that this thesis contributes.</w:t>
      </w:r>
    </w:p>
    <w:bookmarkStart w:id="23" w:name="the-six-wants-in-data-relations"/>
    <w:p>
      <w:pPr>
        <w:pStyle w:val="Heading3"/>
      </w:pPr>
      <w:r>
        <w:t xml:space="preserve">The Six Wants in Data Relations</w:t>
      </w:r>
    </w:p>
    <w:p>
      <w:pPr>
        <w:pStyle w:val="FirstParagraph"/>
      </w:pPr>
      <w:r>
        <w:t xml:space="preserve">Direct Data Relations:</w:t>
      </w:r>
    </w:p>
    <w:p>
      <w:pPr>
        <w:numPr>
          <w:ilvl w:val="0"/>
          <w:numId w:val="1001"/>
        </w:numPr>
        <w:pStyle w:val="Compact"/>
      </w:pPr>
      <w:r>
        <w:t xml:space="preserve">Data Visibility -</w:t>
      </w:r>
      <w:r>
        <w:t xml:space="preserve"> </w:t>
      </w:r>
      <w:hyperlink w:anchor="Xecaf8be5654f259a19f021dd696c8aed0425326">
        <w:r>
          <w:rPr>
            <w:rStyle w:val="Hyperlink"/>
          </w:rPr>
          <w:t xml:space="preserve">6.1.1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Understanding -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</w:p>
    <w:p>
      <w:pPr>
        <w:pStyle w:val="FirstParagraph"/>
      </w:pPr>
      <w:r>
        <w:t xml:space="preserve">Indirect Data Relations:</w:t>
      </w:r>
    </w:p>
    <w:p>
      <w:pPr>
        <w:numPr>
          <w:ilvl w:val="0"/>
          <w:numId w:val="1002"/>
        </w:numPr>
        <w:pStyle w:val="Compact"/>
      </w:pPr>
      <w:r>
        <w:t xml:space="preserve">Process Transparency -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</w:p>
    <w:p>
      <w:pPr>
        <w:numPr>
          <w:ilvl w:val="0"/>
          <w:numId w:val="1002"/>
        </w:numPr>
        <w:pStyle w:val="Compact"/>
      </w:pPr>
      <w:r>
        <w:t xml:space="preserve">Individual Oversight -</w:t>
      </w:r>
      <w:r>
        <w:t xml:space="preserve"> </w:t>
      </w:r>
      <w:hyperlink w:anchor="want-i2">
        <w:r>
          <w:rPr>
            <w:rStyle w:val="Hyperlink"/>
          </w:rPr>
          <w:t xml:space="preserve">6.2.2</w:t>
        </w:r>
      </w:hyperlink>
    </w:p>
    <w:p>
      <w:pPr>
        <w:numPr>
          <w:ilvl w:val="0"/>
          <w:numId w:val="1002"/>
        </w:numPr>
        <w:pStyle w:val="Compact"/>
      </w:pPr>
      <w:r>
        <w:t xml:space="preserve">Involvement in Decision Making -</w:t>
      </w:r>
      <w:r>
        <w:t xml:space="preserve"> </w:t>
      </w:r>
      <w:hyperlink w:anchor="want-i3">
        <w:r>
          <w:rPr>
            <w:rStyle w:val="Hyperlink"/>
          </w:rPr>
          <w:t xml:space="preserve">6.2.3</w:t>
        </w:r>
      </w:hyperlink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pStyle w:val="FirstParagraph"/>
      </w:pPr>
      <w:r>
        <w:t xml:space="preserve">The objectives are introduced in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. They are explored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3"/>
        </w:numPr>
        <w:pStyle w:val="Compact"/>
      </w:pPr>
      <w:r>
        <w:t xml:space="preserve">Objective 1 - Data Awareness &amp; Understanding -</w:t>
      </w:r>
      <w:r>
        <w:t xml:space="preserve"> </w:t>
      </w:r>
      <w:hyperlink w:anchor="X057df8efd3ace80a979fd70d1020648fe2450b5">
        <w:r>
          <w:rPr>
            <w:rStyle w:val="Hyperlink"/>
          </w:rPr>
          <w:t xml:space="preserve">8.1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2 -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</w:t>
      </w:r>
      <w:r>
        <w:t xml:space="preserve"> </w:t>
      </w:r>
      <w:hyperlink w:anchor="X5aa23f731a1b4429847582dd5bf90b10185b8f1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3 - Data Ecosystem Awareness &amp; Understanding -</w:t>
      </w:r>
      <w:r>
        <w:t xml:space="preserve"> </w:t>
      </w:r>
      <w:hyperlink w:anchor="X626a25b7b500f9214acf310b1376506a11f0de8">
        <w:r>
          <w:rPr>
            <w:rStyle w:val="Hyperlink"/>
          </w:rPr>
          <w:t xml:space="preserve">8.3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4 - Data Ecosystem Negotiability -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3"/>
        </w:numPr>
        <w:pStyle w:val="Compact"/>
      </w:pPr>
      <w:r>
        <w:t xml:space="preserve">Objective 5 - Effective, Commercially Viable and Desirable HDR Systems -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pStyle w:val="FirstParagraph"/>
      </w:pPr>
      <w:r>
        <w:t xml:space="preserve">The obstacles are collectively shown in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 </w:t>
      </w:r>
      <w:r>
        <w:t xml:space="preserve">and are explained in the following subsections of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]:</w:t>
      </w:r>
    </w:p>
    <w:p>
      <w:pPr>
        <w:numPr>
          <w:ilvl w:val="0"/>
          <w:numId w:val="1004"/>
        </w:numPr>
        <w:pStyle w:val="Compact"/>
      </w:pPr>
      <w:r>
        <w:t xml:space="preserve">Closed, Insular and Introspective Practices -</w:t>
      </w:r>
      <w:r>
        <w:t xml:space="preserve"> </w:t>
      </w:r>
      <w:hyperlink w:anchor="X3e208e824cddc9444184f3b33cdfe7045499ff7">
        <w:r>
          <w:rPr>
            <w:rStyle w:val="Hyperlink"/>
          </w:rPr>
          <w:t xml:space="preserve">8.5.2</w:t>
        </w:r>
      </w:hyperlink>
    </w:p>
    <w:p>
      <w:pPr>
        <w:numPr>
          <w:ilvl w:val="0"/>
          <w:numId w:val="1004"/>
        </w:numPr>
        <w:pStyle w:val="Compact"/>
      </w:pPr>
      <w:r>
        <w:t xml:space="preserve">Complex and Invisible Personal Data Ecosystems -</w:t>
      </w:r>
      <w:r>
        <w:t xml:space="preserve"> </w:t>
      </w:r>
      <w:hyperlink w:anchor="X67529724ac20fabfa5e886f9bb50f1f655f98d7">
        <w:r>
          <w:rPr>
            <w:rStyle w:val="Hyperlink"/>
          </w:rPr>
          <w:t xml:space="preserve">8.3.1</w:t>
        </w:r>
      </w:hyperlink>
    </w:p>
    <w:p>
      <w:pPr>
        <w:numPr>
          <w:ilvl w:val="0"/>
          <w:numId w:val="1004"/>
        </w:numPr>
        <w:pStyle w:val="Compact"/>
      </w:pPr>
      <w:r>
        <w:t xml:space="preserve">Diminishing Individual Agency -</w:t>
      </w:r>
      <w:r>
        <w:t xml:space="preserve"> </w:t>
      </w:r>
      <w:hyperlink w:anchor="X06b01f722148eb1b6ddf37464ad8f18232e6422">
        <w:r>
          <w:rPr>
            <w:rStyle w:val="Hyperlink"/>
          </w:rPr>
          <w:t xml:space="preserve">8.4.2</w:t>
        </w:r>
      </w:hyperlink>
    </w:p>
    <w:p>
      <w:pPr>
        <w:numPr>
          <w:ilvl w:val="0"/>
          <w:numId w:val="1004"/>
        </w:numPr>
        <w:pStyle w:val="Compact"/>
      </w:pPr>
      <w:r>
        <w:t xml:space="preserve">Data Holder Hegemony -</w:t>
      </w:r>
      <w:r>
        <w:t xml:space="preserve"> </w:t>
      </w:r>
      <w:hyperlink w:anchor="Xb84a805a8aa871bbce0fa320591b0526c93757d">
        <w:r>
          <w:rPr>
            <w:rStyle w:val="Hyperlink"/>
          </w:rPr>
          <w:t xml:space="preserve">8.4.1</w:t>
        </w:r>
      </w:hyperlink>
    </w:p>
    <w:p>
      <w:pPr>
        <w:numPr>
          <w:ilvl w:val="0"/>
          <w:numId w:val="1004"/>
        </w:numPr>
        <w:pStyle w:val="Compact"/>
      </w:pPr>
      <w:r>
        <w:t xml:space="preserve">Immobile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Inaccessible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  <w:r>
        <w:t xml:space="preserve">,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Insufficient Machine Understanding of Human Data -</w:t>
      </w:r>
      <w:r>
        <w:t xml:space="preserve"> </w:t>
      </w:r>
      <w:hyperlink w:anchor="X432a36078c351a60d2d95174b7272e0d03f5f1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Intractable Data Self, the -</w:t>
      </w:r>
      <w:r>
        <w:t xml:space="preserve"> </w:t>
      </w:r>
      <w:hyperlink w:anchor="X46125357bf982752670c95debb34247c20f3724">
        <w:r>
          <w:rPr>
            <w:rStyle w:val="Hyperlink"/>
          </w:rPr>
          <w:t xml:space="preserve">8.4.3</w:t>
        </w:r>
      </w:hyperlink>
    </w:p>
    <w:p>
      <w:pPr>
        <w:numPr>
          <w:ilvl w:val="0"/>
          <w:numId w:val="1004"/>
        </w:numPr>
        <w:pStyle w:val="Compact"/>
      </w:pPr>
      <w:r>
        <w:t xml:space="preserve">Invisible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Metadata -</w:t>
      </w:r>
      <w:r>
        <w:t xml:space="preserve"> </w:t>
      </w:r>
      <w:hyperlink w:anchor="Xafdfffd2e6dfcb2be76b8c04addcb32b3950684">
        <w:r>
          <w:rPr>
            <w:rStyle w:val="Hyperlink"/>
          </w:rPr>
          <w:t xml:space="preserve">8.3.2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Individual Demand -</w:t>
      </w:r>
      <w:r>
        <w:t xml:space="preserve"> </w:t>
      </w:r>
      <w:hyperlink w:anchor="X73c54d47cc406011bd3964962f1e869d501afa4">
        <w:r>
          <w:rPr>
            <w:rStyle w:val="Hyperlink"/>
          </w:rPr>
          <w:t xml:space="preserve">8.5.1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Interoperability -</w:t>
      </w:r>
      <w:r>
        <w:t xml:space="preserve"> </w:t>
      </w:r>
      <w:hyperlink w:anchor="Xd51421115f2289383bc454819e739e2893eac3f">
        <w:r>
          <w:rPr>
            <w:rStyle w:val="Hyperlink"/>
          </w:rPr>
          <w:t xml:space="preserve">8.5.4</w:t>
        </w:r>
      </w:hyperlink>
    </w:p>
    <w:p>
      <w:pPr>
        <w:numPr>
          <w:ilvl w:val="0"/>
          <w:numId w:val="1004"/>
        </w:numPr>
        <w:pStyle w:val="Compact"/>
      </w:pPr>
      <w:r>
        <w:t xml:space="preserve">Lack of Provider Investment -</w:t>
      </w:r>
      <w:r>
        <w:t xml:space="preserve"> </w:t>
      </w:r>
      <w:hyperlink w:anchor="Xefe8be70459efb79b5b03ca84c7f1403d8c8a5e">
        <w:r>
          <w:rPr>
            <w:rStyle w:val="Hyperlink"/>
          </w:rPr>
          <w:t xml:space="preserve">8.5.3</w:t>
        </w:r>
      </w:hyperlink>
    </w:p>
    <w:p>
      <w:pPr>
        <w:numPr>
          <w:ilvl w:val="0"/>
          <w:numId w:val="1004"/>
        </w:numPr>
        <w:pStyle w:val="Compact"/>
      </w:pPr>
      <w:r>
        <w:t xml:space="preserve">Non-Interrogable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Personal Data Diaspora, the 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4"/>
        </w:numPr>
        <w:pStyle w:val="Compact"/>
      </w:pPr>
      <w:r>
        <w:t xml:space="preserve">Unmalleable Data -</w:t>
      </w:r>
      <w:r>
        <w:t xml:space="preserve"> </w:t>
      </w:r>
      <w:hyperlink w:anchor="X81f0d3632905f8bf54a0c328d13cc85a1da4a1d">
        <w:r>
          <w:rPr>
            <w:rStyle w:val="Hyperlink"/>
          </w:rPr>
          <w:t xml:space="preserve">8.2.1</w:t>
        </w:r>
      </w:hyperlink>
    </w:p>
    <w:p>
      <w:pPr>
        <w:numPr>
          <w:ilvl w:val="0"/>
          <w:numId w:val="1004"/>
        </w:numPr>
        <w:pStyle w:val="Compact"/>
      </w:pPr>
      <w:r>
        <w:t xml:space="preserve">Unrelatable Data 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bookmarkEnd w:id="25"/>
    <w:bookmarkStart w:id="26" w:name="hdr-glossary-insights"/>
    <w:p>
      <w:pPr>
        <w:pStyle w:val="Heading3"/>
      </w:pPr>
      <w:r>
        <w:t xml:space="preserve">HDR Insights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8">
        <w:r>
          <w:rPr>
            <w:rStyle w:val="Hyperlink"/>
          </w:rPr>
          <w:t xml:space="preserve">Chapter 8</w:t>
        </w:r>
      </w:hyperlink>
      <w:r>
        <w:t xml:space="preserve">:</w:t>
      </w:r>
    </w:p>
    <w:p>
      <w:pPr>
        <w:numPr>
          <w:ilvl w:val="0"/>
          <w:numId w:val="1005"/>
        </w:numPr>
        <w:pStyle w:val="Compact"/>
      </w:pPr>
      <w:hyperlink w:anchor="insight-1">
        <w:r>
          <w:rPr>
            <w:rStyle w:val="Hyperlink"/>
          </w:rPr>
          <w:t xml:space="preserve">Insight 1</w:t>
        </w:r>
      </w:hyperlink>
      <w:r>
        <w:t xml:space="preserve"> </w:t>
      </w:r>
      <w:r>
        <w:t xml:space="preserve">- Life Information Makes Data Relatable.</w:t>
      </w:r>
    </w:p>
    <w:p>
      <w:pPr>
        <w:numPr>
          <w:ilvl w:val="0"/>
          <w:numId w:val="1005"/>
        </w:numPr>
        <w:pStyle w:val="Compact"/>
      </w:pPr>
      <w:hyperlink w:anchor="insight-2">
        <w:r>
          <w:rPr>
            <w:rStyle w:val="Hyperlink"/>
          </w:rPr>
          <w:t xml:space="preserve">Insight 2</w:t>
        </w:r>
      </w:hyperlink>
      <w:r>
        <w:t xml:space="preserve"> </w:t>
      </w:r>
      <w:r>
        <w:t xml:space="preserve">- Data Needs to be United and Unified.</w:t>
      </w:r>
    </w:p>
    <w:p>
      <w:pPr>
        <w:numPr>
          <w:ilvl w:val="0"/>
          <w:numId w:val="1005"/>
        </w:numPr>
        <w:pStyle w:val="Compact"/>
      </w:pPr>
      <w:hyperlink w:anchor="insight-3">
        <w:r>
          <w:rPr>
            <w:rStyle w:val="Hyperlink"/>
          </w:rPr>
          <w:t xml:space="preserve">Insight 3</w:t>
        </w:r>
      </w:hyperlink>
      <w:r>
        <w:t xml:space="preserve"> </w:t>
      </w:r>
      <w:r>
        <w:t xml:space="preserve">- Data Must be Transformed into a Versatile Material.</w:t>
      </w:r>
    </w:p>
    <w:p>
      <w:pPr>
        <w:numPr>
          <w:ilvl w:val="0"/>
          <w:numId w:val="1005"/>
        </w:numPr>
        <w:pStyle w:val="Compact"/>
      </w:pPr>
      <w:hyperlink w:anchor="insight-4">
        <w:r>
          <w:rPr>
            <w:rStyle w:val="Hyperlink"/>
          </w:rPr>
          <w:t xml:space="preserve">Insight 4</w:t>
        </w:r>
      </w:hyperlink>
      <w:r>
        <w:t xml:space="preserve"> </w:t>
      </w:r>
      <w:r>
        <w:t xml:space="preserve">- Ecosystem Information is an Antidote to Digital Life Complexity.</w:t>
      </w:r>
    </w:p>
    <w:p>
      <w:pPr>
        <w:numPr>
          <w:ilvl w:val="0"/>
          <w:numId w:val="1005"/>
        </w:numPr>
        <w:pStyle w:val="Compact"/>
      </w:pPr>
      <w:hyperlink w:anchor="insight-5">
        <w:r>
          <w:rPr>
            <w:rStyle w:val="Hyperlink"/>
          </w:rPr>
          <w:t xml:space="preserve">Insight 5</w:t>
        </w:r>
      </w:hyperlink>
      <w:r>
        <w:t xml:space="preserve"> </w:t>
      </w:r>
      <w:r>
        <w:t xml:space="preserve">- We Must Know Data’s Provenance.</w:t>
      </w:r>
    </w:p>
    <w:p>
      <w:pPr>
        <w:numPr>
          <w:ilvl w:val="0"/>
          <w:numId w:val="1005"/>
        </w:numPr>
        <w:pStyle w:val="Compact"/>
      </w:pPr>
      <w:hyperlink w:anchor="insight-6">
        <w:r>
          <w:rPr>
            <w:rStyle w:val="Hyperlink"/>
          </w:rPr>
          <w:t xml:space="preserve">Insight 6</w:t>
        </w:r>
      </w:hyperlink>
      <w:r>
        <w:t xml:space="preserve"> </w:t>
      </w:r>
      <w:r>
        <w:t xml:space="preserve">- Data Holders use Four Levers of Infrastructural Power.</w:t>
      </w:r>
    </w:p>
    <w:p>
      <w:pPr>
        <w:numPr>
          <w:ilvl w:val="0"/>
          <w:numId w:val="1005"/>
        </w:numPr>
        <w:pStyle w:val="Compact"/>
      </w:pPr>
      <w:hyperlink w:anchor="insight-7">
        <w:r>
          <w:rPr>
            <w:rStyle w:val="Hyperlink"/>
          </w:rPr>
          <w:t xml:space="preserve">Insight 7</w:t>
        </w:r>
      </w:hyperlink>
      <w:r>
        <w:t xml:space="preserve"> </w:t>
      </w:r>
      <w:r>
        <w:t xml:space="preserve">- Human-centred Information Systems Must Serve Human Values, Relieve Pain and Deliver New Life Capabilities.</w:t>
      </w:r>
    </w:p>
    <w:p>
      <w:pPr>
        <w:numPr>
          <w:ilvl w:val="0"/>
          <w:numId w:val="1005"/>
        </w:numPr>
        <w:pStyle w:val="Compact"/>
      </w:pPr>
      <w:hyperlink w:anchor="insight-8">
        <w:r>
          <w:rPr>
            <w:rStyle w:val="Hyperlink"/>
          </w:rPr>
          <w:t xml:space="preserve">Insight 8</w:t>
        </w:r>
      </w:hyperlink>
      <w:r>
        <w:t xml:space="preserve"> </w:t>
      </w:r>
      <w:r>
        <w:t xml:space="preserve">- We Need to Teach Computers to Understand Human Information.</w:t>
      </w:r>
    </w:p>
    <w:p>
      <w:pPr>
        <w:pStyle w:val="FirstParagraph"/>
      </w:pPr>
      <w:r>
        <w:t xml:space="preserve">Insights in</w:t>
      </w:r>
      <w:r>
        <w:t xml:space="preserve"> </w:t>
      </w:r>
      <w:hyperlink w:anchor="chapter-9">
        <w:r>
          <w:rPr>
            <w:rStyle w:val="Hyperlink"/>
          </w:rPr>
          <w:t xml:space="preserve">Chapter 9</w:t>
        </w:r>
      </w:hyperlink>
      <w:r>
        <w:t xml:space="preserve">:</w:t>
      </w:r>
    </w:p>
    <w:p>
      <w:pPr>
        <w:numPr>
          <w:ilvl w:val="0"/>
          <w:numId w:val="1006"/>
        </w:numPr>
        <w:pStyle w:val="Compact"/>
      </w:pPr>
      <w:hyperlink w:anchor="insight-9">
        <w:r>
          <w:rPr>
            <w:rStyle w:val="Hyperlink"/>
          </w:rPr>
          <w:t xml:space="preserve">Insight 9</w:t>
        </w:r>
      </w:hyperlink>
      <w:r>
        <w:t xml:space="preserve"> </w:t>
      </w:r>
      <w:r>
        <w:t xml:space="preserve">- Individual GDPR Requests can Compel Companies to Change Data Practices.</w:t>
      </w:r>
    </w:p>
    <w:p>
      <w:pPr>
        <w:numPr>
          <w:ilvl w:val="0"/>
          <w:numId w:val="1006"/>
        </w:numPr>
        <w:pStyle w:val="Compact"/>
      </w:pPr>
      <w:hyperlink w:anchor="insight-10">
        <w:r>
          <w:rPr>
            <w:rStyle w:val="Hyperlink"/>
          </w:rPr>
          <w:t xml:space="preserve">Insight 10</w:t>
        </w:r>
      </w:hyperlink>
      <w:r>
        <w:t xml:space="preserve"> </w:t>
      </w:r>
      <w:r>
        <w:t xml:space="preserve">- Collectives can Compare and Unify their Data and Use it to Demand Change.</w:t>
      </w:r>
    </w:p>
    <w:p>
      <w:pPr>
        <w:numPr>
          <w:ilvl w:val="0"/>
          <w:numId w:val="1006"/>
        </w:numPr>
        <w:pStyle w:val="Compact"/>
      </w:pPr>
      <w:hyperlink w:anchor="insight-11">
        <w:r>
          <w:rPr>
            <w:rStyle w:val="Hyperlink"/>
          </w:rPr>
          <w:t xml:space="preserve">Insight 11</w:t>
        </w:r>
      </w:hyperlink>
      <w:r>
        <w:t xml:space="preserve"> </w:t>
      </w:r>
      <w:r>
        <w:t xml:space="preserve">- Automating the Identification of Entities can enhance Machine Understanding and Unburden Life Interface Users.</w:t>
      </w:r>
    </w:p>
    <w:p>
      <w:pPr>
        <w:numPr>
          <w:ilvl w:val="0"/>
          <w:numId w:val="1006"/>
        </w:numPr>
        <w:pStyle w:val="Compact"/>
      </w:pPr>
      <w:hyperlink w:anchor="insight-12">
        <w:r>
          <w:rPr>
            <w:rStyle w:val="Hyperlink"/>
          </w:rPr>
          <w:t xml:space="preserve">Insight 12</w:t>
        </w:r>
      </w:hyperlink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Seams</w:t>
      </w:r>
      <w:r>
        <w:t xml:space="preserve">’</w:t>
      </w:r>
      <w:r>
        <w:t xml:space="preserve"> </w:t>
      </w:r>
      <w:r>
        <w:t xml:space="preserve">of Digital Services need to be identified, exploited and protected.</w:t>
      </w:r>
    </w:p>
    <w:p>
      <w:pPr>
        <w:numPr>
          <w:ilvl w:val="0"/>
          <w:numId w:val="1006"/>
        </w:numPr>
        <w:pStyle w:val="Compact"/>
      </w:pPr>
      <w:hyperlink w:anchor="insight-13">
        <w:r>
          <w:rPr>
            <w:rStyle w:val="Hyperlink"/>
          </w:rPr>
          <w:t xml:space="preserve">Insight 13</w:t>
        </w:r>
      </w:hyperlink>
      <w:r>
        <w:t xml:space="preserve"> </w:t>
      </w:r>
      <w:r>
        <w:t xml:space="preserve">- It is Possible (and Necessary) to Demonstrate Business Benefits of Transparency and Human-centricity.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pStyle w:val="FirstParagraph"/>
      </w:pPr>
      <w:r>
        <w:t xml:space="preserve">The four approaches are collectively summarised in</w:t>
      </w:r>
      <w:r>
        <w:t xml:space="preserve"> </w:t>
      </w:r>
      <w:hyperlink w:anchor="X5b7e6d36dc0113f61b36c700817d42b96f7b037">
        <w:r>
          <w:rPr>
            <w:rStyle w:val="Hyperlink"/>
          </w:rPr>
          <w:t xml:space="preserve">9.6</w:t>
        </w:r>
      </w:hyperlink>
      <w:r>
        <w:t xml:space="preserve">, and explained and illustrated as follows:</w:t>
      </w:r>
    </w:p>
    <w:p>
      <w:pPr>
        <w:numPr>
          <w:ilvl w:val="0"/>
          <w:numId w:val="1007"/>
        </w:numPr>
        <w:pStyle w:val="Compact"/>
      </w:pPr>
      <w:hyperlink w:anchor="Xa16e203872bcacabe78d1385e9c7faf62c4c5be">
        <w:r>
          <w:rPr>
            <w:rStyle w:val="Hyperlink"/>
          </w:rPr>
          <w:t xml:space="preserve">Approach 1</w:t>
        </w:r>
      </w:hyperlink>
      <w:r>
        <w:t xml:space="preserve"> </w:t>
      </w:r>
      <w:r>
        <w:t xml:space="preserve">- Discovery-Driven Activism -</w:t>
      </w:r>
      <w:r>
        <w:t xml:space="preserve"> </w:t>
      </w:r>
      <w:hyperlink w:anchor="Xa16e203872bcacabe78d1385e9c7faf62c4c5be">
        <w:r>
          <w:rPr>
            <w:rStyle w:val="Hyperlink"/>
          </w:rPr>
          <w:t xml:space="preserve">9.2</w:t>
        </w:r>
      </w:hyperlink>
      <w:r>
        <w:t xml:space="preserve">,</w:t>
      </w:r>
      <w:r>
        <w:t xml:space="preserve"> </w:t>
      </w:r>
      <w:hyperlink w:anchor="figure-9.2">
        <w:r>
          <w:rPr>
            <w:rStyle w:val="Hyperlink"/>
          </w:rPr>
          <w:t xml:space="preserve">Figure 9.2</w:t>
        </w:r>
      </w:hyperlink>
    </w:p>
    <w:p>
      <w:pPr>
        <w:numPr>
          <w:ilvl w:val="0"/>
          <w:numId w:val="1007"/>
        </w:numPr>
        <w:pStyle w:val="Compact"/>
      </w:pPr>
      <w:hyperlink w:anchor="X1f7a3a299f62225cba076fc6d3d6e677f303482">
        <w:r>
          <w:rPr>
            <w:rStyle w:val="Hyperlink"/>
          </w:rPr>
          <w:t xml:space="preserve">Approach 2</w:t>
        </w:r>
      </w:hyperlink>
      <w:r>
        <w:t xml:space="preserve"> </w:t>
      </w:r>
      <w:r>
        <w:t xml:space="preserve">- Building the Human-centric Future -</w:t>
      </w:r>
      <w:r>
        <w:t xml:space="preserve"> </w:t>
      </w:r>
      <w:hyperlink w:anchor="X1f7a3a299f62225cba076fc6d3d6e677f303482">
        <w:r>
          <w:rPr>
            <w:rStyle w:val="Hyperlink"/>
          </w:rPr>
          <w:t xml:space="preserve">9.3</w:t>
        </w:r>
      </w:hyperlink>
      <w:r>
        <w:t xml:space="preserve">,</w:t>
      </w:r>
      <w:r>
        <w:t xml:space="preserve"> </w:t>
      </w:r>
      <w:hyperlink w:anchor="figure-9.3">
        <w:r>
          <w:rPr>
            <w:rStyle w:val="Hyperlink"/>
          </w:rPr>
          <w:t xml:space="preserve">Figure 9.3</w:t>
        </w:r>
      </w:hyperlink>
    </w:p>
    <w:p>
      <w:pPr>
        <w:numPr>
          <w:ilvl w:val="0"/>
          <w:numId w:val="1007"/>
        </w:numPr>
        <w:pStyle w:val="Compact"/>
      </w:pPr>
      <w:hyperlink w:anchor="X84473f470864e067ee3a22e64b47b0a1c356f29">
        <w:r>
          <w:rPr>
            <w:rStyle w:val="Hyperlink"/>
          </w:rPr>
          <w:t xml:space="preserve">Approach 3</w:t>
        </w:r>
      </w:hyperlink>
      <w:r>
        <w:t xml:space="preserve"> </w:t>
      </w:r>
      <w:r>
        <w:t xml:space="preserve">- Defending User Autonomy and Hacking the Information Landscape -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  <w:r>
        <w:t xml:space="preserve">,</w:t>
      </w:r>
      <w:r>
        <w:t xml:space="preserve"> </w:t>
      </w:r>
      <w:hyperlink w:anchor="figure-9.19">
        <w:r>
          <w:rPr>
            <w:rStyle w:val="Hyperlink"/>
          </w:rPr>
          <w:t xml:space="preserve">Figure 9.19</w:t>
        </w:r>
      </w:hyperlink>
    </w:p>
    <w:p>
      <w:pPr>
        <w:numPr>
          <w:ilvl w:val="0"/>
          <w:numId w:val="1007"/>
        </w:numPr>
        <w:pStyle w:val="Compact"/>
      </w:pPr>
      <w:hyperlink w:anchor="X6d06bb31b570b94d7b4325f511f853dbe771c21">
        <w:r>
          <w:rPr>
            <w:rStyle w:val="Hyperlink"/>
          </w:rPr>
          <w:t xml:space="preserve">Approach 4</w:t>
        </w:r>
      </w:hyperlink>
      <w:r>
        <w:t xml:space="preserve"> </w:t>
      </w:r>
      <w:r>
        <w:t xml:space="preserve">- Teaching, Championing and Selling the HDR Vision -</w:t>
      </w:r>
      <w:r>
        <w:t xml:space="preserve"> </w:t>
      </w:r>
      <w:hyperlink w:anchor="X6d06bb31b570b94d7b4325f511f853dbe771c21">
        <w:r>
          <w:rPr>
            <w:rStyle w:val="Hyperlink"/>
          </w:rPr>
          <w:t xml:space="preserve">9.5</w:t>
        </w:r>
      </w:hyperlink>
      <w:r>
        <w:t xml:space="preserve">,</w:t>
      </w:r>
      <w:r>
        <w:t xml:space="preserve"> </w:t>
      </w:r>
      <w:hyperlink w:anchor="figure-9.21">
        <w:r>
          <w:rPr>
            <w:rStyle w:val="Hyperlink"/>
          </w:rPr>
          <w:t xml:space="preserve">Figure 9.21</w:t>
        </w:r>
      </w:hyperlink>
      <w:r>
        <w:t xml:space="preserve"> </w:t>
      </w:r>
      <w:r>
        <w:t xml:space="preserve">-</w:t>
      </w:r>
    </w:p>
    <w:bookmarkEnd w:id="27"/>
    <w:bookmarkStart w:id="28" w:name="thesis-contributions"/>
    <w:p>
      <w:pPr>
        <w:pStyle w:val="Heading3"/>
      </w:pPr>
      <w:r>
        <w:t xml:space="preserve">Thesis Contributions</w:t>
      </w:r>
    </w:p>
    <w:p>
      <w:pPr>
        <w:numPr>
          <w:ilvl w:val="0"/>
          <w:numId w:val="1008"/>
        </w:numPr>
        <w:pStyle w:val="Compact"/>
      </w:pPr>
      <w:hyperlink w:anchor="c1">
        <w:r>
          <w:rPr>
            <w:rStyle w:val="Hyperlink"/>
          </w:rPr>
          <w:t xml:space="preserve">Contribution C1</w:t>
        </w:r>
      </w:hyperlink>
      <w:r>
        <w:t xml:space="preserve"> </w:t>
      </w:r>
      <w:r>
        <w:t xml:space="preserve">- An understanding of What People Want in Direct Data Relations</w:t>
      </w:r>
    </w:p>
    <w:p>
      <w:pPr>
        <w:numPr>
          <w:ilvl w:val="0"/>
          <w:numId w:val="1008"/>
        </w:numPr>
        <w:pStyle w:val="Compact"/>
      </w:pPr>
      <w:hyperlink w:anchor="c2">
        <w:r>
          <w:rPr>
            <w:rStyle w:val="Hyperlink"/>
          </w:rPr>
          <w:t xml:space="preserve">Contribution C2</w:t>
        </w:r>
      </w:hyperlink>
      <w:r>
        <w:t xml:space="preserve"> </w:t>
      </w:r>
      <w:r>
        <w:t xml:space="preserve">- An Understanding of What People Want in Indirect Data Relations</w:t>
      </w:r>
    </w:p>
    <w:p>
      <w:pPr>
        <w:numPr>
          <w:ilvl w:val="0"/>
          <w:numId w:val="1008"/>
        </w:numPr>
        <w:pStyle w:val="Compact"/>
      </w:pPr>
      <w:hyperlink w:anchor="c3">
        <w:r>
          <w:rPr>
            <w:rStyle w:val="Hyperlink"/>
          </w:rPr>
          <w:t xml:space="preserve">Contribution C3</w:t>
        </w:r>
      </w:hyperlink>
      <w:r>
        <w:t xml:space="preserve"> </w:t>
      </w:r>
      <w:r>
        <w:t xml:space="preserve">- The Synthesis and Formulation of the Field of Human Data Relations (HDR)</w:t>
      </w:r>
    </w:p>
    <w:p>
      <w:pPr>
        <w:numPr>
          <w:ilvl w:val="0"/>
          <w:numId w:val="1008"/>
        </w:numPr>
        <w:pStyle w:val="Compact"/>
      </w:pPr>
      <w:hyperlink w:anchor="c4">
        <w:r>
          <w:rPr>
            <w:rStyle w:val="Hyperlink"/>
          </w:rPr>
          <w:t xml:space="preserve">Contribution C4</w:t>
        </w:r>
      </w:hyperlink>
      <w:r>
        <w:t xml:space="preserve"> </w:t>
      </w:r>
      <w:r>
        <w:t xml:space="preserve">- A clear delineation of two primary motivators for individuals seeking better HDR</w:t>
      </w:r>
    </w:p>
    <w:p>
      <w:pPr>
        <w:numPr>
          <w:ilvl w:val="0"/>
          <w:numId w:val="1008"/>
        </w:numPr>
        <w:pStyle w:val="Compact"/>
      </w:pPr>
      <w:hyperlink w:anchor="c5">
        <w:r>
          <w:rPr>
            <w:rStyle w:val="Hyperlink"/>
          </w:rPr>
          <w:t xml:space="preserve">Contribution C5</w:t>
        </w:r>
      </w:hyperlink>
      <w:r>
        <w:t xml:space="preserve"> </w:t>
      </w:r>
      <w:r>
        <w:t xml:space="preserve">- A map of the HDR landscape, identifying obstacles and insights</w:t>
      </w:r>
    </w:p>
    <w:p>
      <w:pPr>
        <w:numPr>
          <w:ilvl w:val="0"/>
          <w:numId w:val="1008"/>
        </w:numPr>
        <w:pStyle w:val="Compact"/>
      </w:pPr>
      <w:hyperlink w:anchor="c6">
        <w:r>
          <w:rPr>
            <w:rStyle w:val="Hyperlink"/>
          </w:rPr>
          <w:t xml:space="preserve">Contribution C6</w:t>
        </w:r>
      </w:hyperlink>
      <w:r>
        <w:t xml:space="preserve"> </w:t>
      </w:r>
      <w:r>
        <w:t xml:space="preserve">- Four identified trajectories for advancing Human Data Relations</w:t>
      </w:r>
    </w:p>
    <w:p>
      <w:pPr>
        <w:numPr>
          <w:ilvl w:val="0"/>
          <w:numId w:val="1008"/>
        </w:numPr>
        <w:pStyle w:val="Compact"/>
      </w:pPr>
      <w:hyperlink w:anchor="c7">
        <w:r>
          <w:rPr>
            <w:rStyle w:val="Hyperlink"/>
          </w:rPr>
          <w:t xml:space="preserve">Contribution C7</w:t>
        </w:r>
      </w:hyperlink>
      <w:r>
        <w:t xml:space="preserve"> </w:t>
      </w:r>
      <w:r>
        <w:t xml:space="preserve">- A reframing of data literacy for the HDR space</w:t>
      </w:r>
    </w:p>
    <w:p>
      <w:pPr>
        <w:numPr>
          <w:ilvl w:val="0"/>
          <w:numId w:val="1008"/>
        </w:numPr>
        <w:pStyle w:val="Compact"/>
      </w:pPr>
      <w:hyperlink w:anchor="c8">
        <w:r>
          <w:rPr>
            <w:rStyle w:val="Hyperlink"/>
          </w:rPr>
          <w:t xml:space="preserve">Contribution C8</w:t>
        </w:r>
      </w:hyperlink>
      <w:r>
        <w:t xml:space="preserve"> </w:t>
      </w:r>
      <w:r>
        <w:t xml:space="preserve">- Validation and enumeration of supported families’ attitudes and needs around civic data</w:t>
      </w:r>
    </w:p>
    <w:p>
      <w:pPr>
        <w:numPr>
          <w:ilvl w:val="0"/>
          <w:numId w:val="1008"/>
        </w:numPr>
        <w:pStyle w:val="Compact"/>
      </w:pPr>
      <w:hyperlink w:anchor="c9">
        <w:r>
          <w:rPr>
            <w:rStyle w:val="Hyperlink"/>
          </w:rPr>
          <w:t xml:space="preserve">Contribution C9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Shared Data Interaction</w:t>
      </w:r>
      <w:r>
        <w:t xml:space="preserve"> </w:t>
      </w:r>
      <w:r>
        <w:t xml:space="preserve">- A proposed model for more efficient and empowering social support relationships that embraces human-centricity</w:t>
      </w:r>
    </w:p>
    <w:p>
      <w:pPr>
        <w:numPr>
          <w:ilvl w:val="0"/>
          <w:numId w:val="1008"/>
        </w:numPr>
        <w:pStyle w:val="Compact"/>
      </w:pPr>
      <w:hyperlink w:anchor="c10">
        <w:r>
          <w:rPr>
            <w:rStyle w:val="Hyperlink"/>
          </w:rPr>
          <w:t xml:space="preserve">Contribution C10</w:t>
        </w:r>
      </w:hyperlink>
      <w:r>
        <w:t xml:space="preserve"> </w:t>
      </w:r>
      <w:r>
        <w:t xml:space="preserve">- A model to understand the five different origins of held personal data</w:t>
      </w:r>
    </w:p>
    <w:p>
      <w:pPr>
        <w:numPr>
          <w:ilvl w:val="0"/>
          <w:numId w:val="1008"/>
        </w:numPr>
        <w:pStyle w:val="Compact"/>
      </w:pPr>
      <w:hyperlink w:anchor="c11">
        <w:r>
          <w:rPr>
            <w:rStyle w:val="Hyperlink"/>
          </w:rPr>
          <w:t xml:space="preserve">Contribution C11</w:t>
        </w:r>
      </w:hyperlink>
      <w:r>
        <w:t xml:space="preserve"> </w:t>
      </w:r>
      <w:r>
        <w:t xml:space="preserve">- A rich understanding of the lived experience of accessing data using GDPR rights and of motivations for GDPR data access</w:t>
      </w:r>
    </w:p>
    <w:p>
      <w:pPr>
        <w:numPr>
          <w:ilvl w:val="0"/>
          <w:numId w:val="1008"/>
        </w:numPr>
        <w:pStyle w:val="Compact"/>
      </w:pPr>
      <w:hyperlink w:anchor="c12">
        <w:r>
          <w:rPr>
            <w:rStyle w:val="Hyperlink"/>
          </w:rPr>
          <w:t xml:space="preserve">Contribution C12</w:t>
        </w:r>
      </w:hyperlink>
      <w:r>
        <w:t xml:space="preserve"> </w:t>
      </w:r>
      <w:r>
        <w:t xml:space="preserve">- Evidence for the impact of knowledge about data handling practices on provider trust and perceived individual power</w:t>
      </w:r>
    </w:p>
    <w:p>
      <w:pPr>
        <w:numPr>
          <w:ilvl w:val="0"/>
          <w:numId w:val="1008"/>
        </w:numPr>
        <w:pStyle w:val="Compact"/>
      </w:pPr>
      <w:hyperlink w:anchor="c13">
        <w:r>
          <w:rPr>
            <w:rStyle w:val="Hyperlink"/>
          </w:rPr>
          <w:t xml:space="preserve">Contribution C13</w:t>
        </w:r>
      </w:hyperlink>
      <w:r>
        <w:t xml:space="preserve"> </w:t>
      </w:r>
      <w:r>
        <w:t xml:space="preserve">- Guidance for policymakers, data holders and individuals on how to improve HDR</w:t>
      </w:r>
    </w:p>
    <w:p>
      <w:pPr>
        <w:numPr>
          <w:ilvl w:val="0"/>
          <w:numId w:val="1008"/>
        </w:numPr>
        <w:pStyle w:val="Compact"/>
      </w:pPr>
      <w:hyperlink w:anchor="c14">
        <w:r>
          <w:rPr>
            <w:rStyle w:val="Hyperlink"/>
          </w:rPr>
          <w:t xml:space="preserve">Contribution C14</w:t>
        </w:r>
      </w:hyperlink>
      <w:r>
        <w:t xml:space="preserve"> </w:t>
      </w:r>
      <w:r>
        <w:t xml:space="preserve">- A proto-methodology for educating individuals about held data, data access and the data ecosystem</w:t>
      </w:r>
    </w:p>
    <w:bookmarkEnd w:id="28"/>
    <w:bookmarkStart w:id="30" w:name="major-concepts-of-this-thesis"/>
    <w:p>
      <w:pPr>
        <w:pStyle w:val="Heading3"/>
      </w:pPr>
      <w:r>
        <w:t xml:space="preserve">Major Concepts of This Thesis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</w:t>
      </w:r>
      <w:r>
        <w:t xml:space="preserve"> </w:t>
      </w:r>
      <w:hyperlink w:anchor="Xe21f5ae91679b9ef901a482b35d885033afa643">
        <w:r>
          <w:rPr>
            <w:rStyle w:val="Hyperlink"/>
          </w:rPr>
          <w:t xml:space="preserve">9.2.2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</w:t>
      </w:r>
      <w:r>
        <w:t xml:space="preserve"> </w:t>
      </w:r>
      <w:hyperlink w:anchor="ari-fcd-types">
        <w:r>
          <w:rPr>
            <w:rStyle w:val="Hyperlink"/>
          </w:rPr>
          <w:t xml:space="preserve">ARI4.1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</w:t>
      </w:r>
      <w:r>
        <w:t xml:space="preserve"> </w:t>
      </w:r>
      <w:hyperlink w:anchor="figure-3.6">
        <w:r>
          <w:rPr>
            <w:rStyle w:val="Hyperlink"/>
          </w:rPr>
          <w:t xml:space="preserve">Figure 3.6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</w:t>
      </w:r>
      <w:r>
        <w:t xml:space="preserve"> </w:t>
      </w:r>
      <w:hyperlink w:anchor="X91fc4bbef52671befa265217426c790a591053e">
        <w:r>
          <w:rPr>
            <w:rStyle w:val="Hyperlink"/>
          </w:rPr>
          <w:t xml:space="preserve">9.2.4</w:t>
        </w:r>
      </w:hyperlink>
      <w:r>
        <w:t xml:space="preserve">,</w:t>
      </w:r>
      <w:r>
        <w:t xml:space="preserve"> </w:t>
      </w:r>
      <w:hyperlink w:anchor="X84473f470864e067ee3a22e64b47b0a1c356f29">
        <w:r>
          <w:rPr>
            <w:rStyle w:val="Hyperlink"/>
          </w:rPr>
          <w:t xml:space="preserve">9.4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see HDR Literacy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</w:t>
      </w:r>
      <w:r>
        <w:t xml:space="preserve"> </w:t>
      </w:r>
      <w:hyperlink w:anchor="figure-3.5">
        <w:r>
          <w:rPr>
            <w:rStyle w:val="Hyperlink"/>
          </w:rPr>
          <w:t xml:space="preserve">Figure 3.5</w:t>
        </w:r>
      </w:hyperlink>
      <w:r>
        <w:t xml:space="preserve">,</w:t>
      </w:r>
      <w:r>
        <w:t xml:space="preserve"> </w:t>
      </w:r>
      <w:hyperlink w:anchor="X464e9f2e5e0cf52e9c26d3864e71249d73ea33a">
        <w:r>
          <w:rPr>
            <w:rStyle w:val="Hyperlink"/>
          </w:rPr>
          <w:t xml:space="preserve">3.5.2</w:t>
        </w:r>
      </w:hyperlink>
      <w:r>
        <w:t xml:space="preserve">,</w:t>
      </w:r>
      <w:r>
        <w:t xml:space="preserve"> </w:t>
      </w:r>
      <w:hyperlink w:anchor="Xc2fcfc265ab40ba82ed064a42903a2f576bb84b">
        <w:r>
          <w:rPr>
            <w:rStyle w:val="Hyperlink"/>
          </w:rPr>
          <w:t xml:space="preserve">4.2.1</w:t>
        </w:r>
      </w:hyperlink>
      <w:r>
        <w:t xml:space="preserve">,</w:t>
      </w:r>
      <w:r>
        <w:t xml:space="preserve"> </w:t>
      </w:r>
      <w:hyperlink w:anchor="X2ad50ca4cbd63a3f83ddbd28315b55b52f600fb">
        <w:r>
          <w:rPr>
            <w:rStyle w:val="Hyperlink"/>
          </w:rPr>
          <w:t xml:space="preserve">4.4.2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</w:t>
      </w:r>
      <w:r>
        <w:t xml:space="preserve"> </w:t>
      </w:r>
      <w:hyperlink w:anchor="chapter-6">
        <w:r>
          <w:rPr>
            <w:rStyle w:val="Hyperlink"/>
          </w:rPr>
          <w:t xml:space="preserve">Chapter 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</w:t>
      </w:r>
      <w:r>
        <w:t xml:space="preserve"> </w:t>
      </w:r>
      <w:hyperlink w:anchor="X8258c05de79d267cff0777b650c09dd0e24396f">
        <w:r>
          <w:rPr>
            <w:rStyle w:val="Hyperlink"/>
          </w:rPr>
          <w:t xml:space="preserve">6.1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</w:t>
      </w:r>
      <w:r>
        <w:t xml:space="preserve"> </w:t>
      </w:r>
      <w:hyperlink w:anchor="X86a6a7bbe6a4ae5c1502558f013f6ed6b9ae6f2">
        <w:r>
          <w:rPr>
            <w:rStyle w:val="Hyperlink"/>
          </w:rPr>
          <w:t xml:space="preserve">6.2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  <w:r>
        <w:t xml:space="preserve">,</w:t>
      </w:r>
      <w:r>
        <w:t xml:space="preserve"> </w:t>
      </w:r>
      <w:hyperlink w:anchor="X279d3e70c4a8279cdfb499a60bef2c4f405d995">
        <w:r>
          <w:rPr>
            <w:rStyle w:val="Hyperlink"/>
          </w:rPr>
          <w:t xml:space="preserve">5.5.2</w:t>
        </w:r>
      </w:hyperlink>
      <w:r>
        <w:t xml:space="preserve">,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</w:t>
      </w:r>
      <w:r>
        <w:t xml:space="preserve"> </w:t>
      </w:r>
      <w:hyperlink w:anchor="Xa53a7020f5014c3c46abf7c2e460206e04bf007">
        <w:r>
          <w:rPr>
            <w:rStyle w:val="Hyperlink"/>
          </w:rPr>
          <w:t xml:space="preserve">7.7</w:t>
        </w:r>
      </w:hyperlink>
      <w:r>
        <w:t xml:space="preserve">,</w:t>
      </w:r>
      <w:r>
        <w:t xml:space="preserve"> </w:t>
      </w:r>
      <w:hyperlink w:anchor="X32cb5b70a3f71ce180c165205647e8909d4e8a0">
        <w:r>
          <w:rPr>
            <w:rStyle w:val="Hyperlink"/>
          </w:rPr>
          <w:t xml:space="preserve">8.4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</w:t>
      </w:r>
      <w:r>
        <w:t xml:space="preserve"> </w:t>
      </w:r>
      <w:r>
        <w:t xml:space="preserve">Bowyer (</w:t>
      </w:r>
      <w:hyperlink w:anchor="ref-bowyer2018freedata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Hacking the Seams</w:t>
      </w:r>
      <w:r>
        <w:t xml:space="preserve"> </w:t>
      </w:r>
      <w:r>
        <w:t xml:space="preserve">-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</w:t>
      </w:r>
      <w:r>
        <w:t xml:space="preserve"> </w:t>
      </w:r>
      <w:hyperlink w:anchor="Xd90f00e19f5543904caf9ab2abd5b800e0613c0">
        <w:r>
          <w:rPr>
            <w:rStyle w:val="Hyperlink"/>
          </w:rPr>
          <w:t xml:space="preserve">7.2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HDR Literacy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</w:t>
      </w:r>
      <w:r>
        <w:t xml:space="preserve"> </w:t>
      </w:r>
      <w:hyperlink w:anchor="info-os">
        <w:r>
          <w:rPr>
            <w:rStyle w:val="Hyperlink"/>
          </w:rPr>
          <w:t xml:space="preserve">8.2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</w:t>
      </w:r>
      <w:r>
        <w:t xml:space="preserve"> </w:t>
      </w:r>
      <w:hyperlink w:anchor="Xa4db109162f9815a249569c36ba52127de23cda">
        <w:r>
          <w:rPr>
            <w:rStyle w:val="Hyperlink"/>
          </w:rPr>
          <w:t xml:space="preserve">9.3.5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</w:t>
      </w:r>
      <w:r>
        <w:t xml:space="preserve"> </w:t>
      </w:r>
      <w:hyperlink w:anchor="X18b35402f3fbcb74b8e5bbc8aa2c0e3e784e473">
        <w:r>
          <w:rPr>
            <w:rStyle w:val="Hyperlink"/>
          </w:rPr>
          <w:t xml:space="preserve">5.5.1</w:t>
        </w:r>
      </w:hyperlink>
      <w:r>
        <w:t xml:space="preserve">,</w:t>
      </w:r>
      <w:r>
        <w:t xml:space="preserve"> </w:t>
      </w:r>
      <w:hyperlink w:anchor="X1f15683c2b3e08fe96ef083dd1427b28321d1a3">
        <w:r>
          <w:rPr>
            <w:rStyle w:val="Hyperlink"/>
          </w:rPr>
          <w:t xml:space="preserve">8.5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</w:t>
      </w:r>
      <w:r>
        <w:t xml:space="preserve"> </w:t>
      </w:r>
      <w:hyperlink w:anchor="figure-8.1">
        <w:r>
          <w:rPr>
            <w:rStyle w:val="Hyperlink"/>
          </w:rPr>
          <w:t xml:space="preserve">Figure 8.1</w:t>
        </w:r>
      </w:hyperlink>
      <w:r>
        <w:t xml:space="preserve">,</w:t>
      </w:r>
      <w:r>
        <w:t xml:space="preserve"> </w:t>
      </w:r>
      <w:hyperlink w:anchor="Xade7c2cf97f75d009975f4d720d1fa6c19f4897">
        <w:r>
          <w:rPr>
            <w:rStyle w:val="Hyperlink"/>
          </w:rPr>
          <w:t xml:space="preserve">9</w:t>
        </w:r>
      </w:hyperlink>
      <w:r>
        <w:t xml:space="preserve">, **</w:t>
      </w:r>
      <w:hyperlink w:anchor="figure-9.23">
        <w:r>
          <w:rPr>
            <w:rStyle w:val="Hyperlink"/>
          </w:rPr>
          <w:t xml:space="preserve">Figure 9.23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</w:t>
      </w:r>
      <w:r>
        <w:t xml:space="preserve"> </w:t>
      </w:r>
      <w:hyperlink w:anchor="Xfaff11acbd25d0758b7c5294b4ff9d37debac19">
        <w:r>
          <w:rPr>
            <w:rStyle w:val="Hyperlink"/>
          </w:rPr>
          <w:t xml:space="preserve">8.1.1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</w:t>
      </w:r>
      <w:r>
        <w:t xml:space="preserve"> </w:t>
      </w:r>
      <w:hyperlink w:anchor="X4035664301b06859586cb750fd8f8ad988856ea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</w:t>
      </w:r>
      <w:r>
        <w:t xml:space="preserve"> </w:t>
      </w:r>
      <w:hyperlink w:anchor="X163d5fe340eb813a3cb4eb18ecadabb5a25d0d2">
        <w:r>
          <w:rPr>
            <w:rStyle w:val="Hyperlink"/>
          </w:rPr>
          <w:t xml:space="preserve">9.3.1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</w:t>
      </w:r>
      <w:r>
        <w:t xml:space="preserve"> </w:t>
      </w:r>
      <w:hyperlink w:anchor="X954f92b164d31ac62328698a1fa3f9b20d5ccc2">
        <w:r>
          <w:rPr>
            <w:rStyle w:val="Hyperlink"/>
          </w:rPr>
          <w:t xml:space="preserve">9.3.2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</w:t>
      </w:r>
      <w:r>
        <w:t xml:space="preserve"> </w:t>
      </w:r>
      <w:hyperlink w:anchor="X8a50e98458a9c28886ed15ffb2cc666b2d3d49b">
        <w:r>
          <w:rPr>
            <w:rStyle w:val="Hyperlink"/>
          </w:rPr>
          <w:t xml:space="preserve">4.4.3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</w:t>
      </w:r>
      <w:r>
        <w:t xml:space="preserve"> </w:t>
      </w:r>
      <w:hyperlink w:anchor="figure-2.1">
        <w:r>
          <w:rPr>
            <w:rStyle w:val="Hyperlink"/>
          </w:rPr>
          <w:t xml:space="preserve">Figure 2.1</w:t>
        </w:r>
      </w:hyperlink>
      <w:r>
        <w:t xml:space="preserve">,</w:t>
      </w:r>
      <w:r>
        <w:t xml:space="preserve"> </w:t>
      </w:r>
      <w:hyperlink w:anchor="X4bf33bfd9c3793655f2a19fca0ee1ca41e62e6e">
        <w:r>
          <w:rPr>
            <w:rStyle w:val="Hyperlink"/>
          </w:rPr>
          <w:t xml:space="preserve">4.3.2</w:t>
        </w:r>
      </w:hyperlink>
      <w:r>
        <w:t xml:space="preserve">,</w:t>
      </w:r>
      <w:r>
        <w:t xml:space="preserve"> </w:t>
      </w:r>
      <w:hyperlink w:anchor="Xd9a9eb3723d36c07bbcef114c168744dedfa05e">
        <w:r>
          <w:rPr>
            <w:rStyle w:val="Hyperlink"/>
          </w:rPr>
          <w:t xml:space="preserve">5.4.2</w:t>
        </w:r>
      </w:hyperlink>
      <w:r>
        <w:t xml:space="preserve">,</w:t>
      </w:r>
      <w:r>
        <w:t xml:space="preserve"> </w:t>
      </w:r>
      <w:hyperlink w:anchor="X238446be5e2d7d8b7b5d3c3f92842c91d895c1e">
        <w:r>
          <w:rPr>
            <w:rStyle w:val="Hyperlink"/>
          </w:rPr>
          <w:t xml:space="preserve">6.1.2</w:t>
        </w:r>
      </w:hyperlink>
      <w:r>
        <w:t xml:space="preserve">,</w:t>
      </w:r>
      <w:r>
        <w:t xml:space="preserve"> </w:t>
      </w:r>
      <w:hyperlink w:anchor="insight-1">
        <w:r>
          <w:rPr>
            <w:rStyle w:val="Hyperlink"/>
          </w:rPr>
          <w:t xml:space="preserve">Insight 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</w:t>
      </w:r>
      <w:r>
        <w:t xml:space="preserve"> </w:t>
      </w:r>
      <w:hyperlink w:anchor="Xf6dec2858357bbc639b59b877f24fb902711e9e">
        <w:r>
          <w:rPr>
            <w:rStyle w:val="Hyperlink"/>
          </w:rPr>
          <w:t xml:space="preserve">8.1.2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</w:t>
      </w:r>
      <w:r>
        <w:t xml:space="preserve"> </w:t>
      </w:r>
      <w:hyperlink w:anchor="Xdca50b5cb1feb03950b48f4419acb02a57783cb">
        <w:r>
          <w:rPr>
            <w:rStyle w:val="Hyperlink"/>
          </w:rPr>
          <w:t xml:space="preserve">7.6</w:t>
        </w:r>
      </w:hyperlink>
      <w:r>
        <w:t xml:space="preserve">,</w:t>
      </w:r>
      <w:r>
        <w:t xml:space="preserve"> </w:t>
      </w:r>
      <w:hyperlink w:anchor="figure-7.1">
        <w:r>
          <w:rPr>
            <w:rStyle w:val="Hyperlink"/>
          </w:rPr>
          <w:t xml:space="preserve">Figure 7.1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r>
        <w:t xml:space="preserve">Bowyer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</w:t>
      </w:r>
      <w:hyperlink w:anchor="ref-bowyer2018family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4.3.3</w:t>
        </w:r>
      </w:hyperlink>
      <w:r>
        <w:t xml:space="preserve">,</w:t>
      </w:r>
      <w:r>
        <w:t xml:space="preserve"> </w:t>
      </w:r>
      <w:hyperlink w:anchor="X2246273db175b4d951c8ae09a9b87d55b422463">
        <w:r>
          <w:rPr>
            <w:rStyle w:val="Hyperlink"/>
          </w:rPr>
          <w:t xml:space="preserve">5.6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</w:t>
      </w:r>
      <w:r>
        <w:t xml:space="preserve"> </w:t>
      </w:r>
      <w:hyperlink w:anchor="insight-4">
        <w:r>
          <w:rPr>
            <w:rStyle w:val="Hyperlink"/>
          </w:rPr>
          <w:t xml:space="preserve">Insight 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</w:t>
      </w:r>
      <w:r>
        <w:t xml:space="preserve"> </w:t>
      </w:r>
      <w:hyperlink w:anchor="Xdecc0e8ff84b4e8fdb98d4490fcb5b15d4e95fa">
        <w:r>
          <w:rPr>
            <w:rStyle w:val="Hyperlink"/>
          </w:rPr>
          <w:t xml:space="preserve">4.2.4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</w:t>
      </w:r>
      <w:r>
        <w:t xml:space="preserve"> </w:t>
      </w:r>
      <w:hyperlink w:anchor="X4c673bb6afbb79ddba8a78416c822e2d34085bb">
        <w:r>
          <w:rPr>
            <w:rStyle w:val="Hyperlink"/>
          </w:rPr>
          <w:t xml:space="preserve">9.5.1</w:t>
        </w:r>
      </w:hyperlink>
      <w:r>
        <w:t xml:space="preserve">,</w:t>
      </w:r>
      <w:r>
        <w:t xml:space="preserve"> </w:t>
      </w:r>
      <w:hyperlink w:anchor="insight-12">
        <w:r>
          <w:rPr>
            <w:rStyle w:val="Hyperlink"/>
          </w:rPr>
          <w:t xml:space="preserve">Insight 12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</w:t>
      </w:r>
      <w:r>
        <w:t xml:space="preserve"> </w:t>
      </w:r>
      <w:hyperlink w:anchor="ari-storyboarding">
        <w:r>
          <w:rPr>
            <w:rStyle w:val="Hyperlink"/>
          </w:rPr>
          <w:t xml:space="preserve">ARI4.3</w:t>
        </w:r>
      </w:hyperlink>
    </w:p>
    <w:p>
      <w:pPr>
        <w:numPr>
          <w:ilvl w:val="0"/>
          <w:numId w:val="1009"/>
        </w:numPr>
        <w:pStyle w:val="Compact"/>
      </w:pPr>
      <w:r>
        <w:t xml:space="preserve">**Trust -</w:t>
      </w:r>
      <w:r>
        <w:t xml:space="preserve"> </w:t>
      </w:r>
      <w:hyperlink w:anchor="Xbab51b354b67876c6284de28df0e549940fb873">
        <w:r>
          <w:rPr>
            <w:rStyle w:val="Hyperlink"/>
          </w:rPr>
          <w:t xml:space="preserve">4.3.4</w:t>
        </w:r>
      </w:hyperlink>
      <w:r>
        <w:t xml:space="preserve">,</w:t>
      </w:r>
      <w:r>
        <w:t xml:space="preserve"> </w:t>
      </w:r>
      <w:hyperlink w:anchor="X1cbcb0941f4181aab74224b7105fd44cb905d42">
        <w:r>
          <w:rPr>
            <w:rStyle w:val="Hyperlink"/>
          </w:rPr>
          <w:t xml:space="preserve">4.4.1</w:t>
        </w:r>
      </w:hyperlink>
      <w:r>
        <w:t xml:space="preserve">,</w:t>
      </w:r>
      <w:r>
        <w:t xml:space="preserve"> </w:t>
      </w:r>
      <w:hyperlink w:anchor="X17fee6fbf9ee82826dccbd5118d485029a82ebe">
        <w:r>
          <w:rPr>
            <w:rStyle w:val="Hyperlink"/>
          </w:rPr>
          <w:t xml:space="preserve">5.3.4</w:t>
        </w:r>
      </w:hyperlink>
      <w:r>
        <w:t xml:space="preserve">,</w:t>
      </w:r>
      <w:r>
        <w:t xml:space="preserve"> </w:t>
      </w:r>
      <w:hyperlink w:anchor="X38f625be2c0c748970e0e254c020e238dedd97d">
        <w:r>
          <w:rPr>
            <w:rStyle w:val="Hyperlink"/>
          </w:rPr>
          <w:t xml:space="preserve">5.4.4</w:t>
        </w:r>
      </w:hyperlink>
      <w:r>
        <w:t xml:space="preserve">,</w:t>
      </w:r>
      <w:r>
        <w:t xml:space="preserve"> </w:t>
      </w:r>
      <w:hyperlink w:anchor="want-i1">
        <w:r>
          <w:rPr>
            <w:rStyle w:val="Hyperlink"/>
          </w:rPr>
          <w:t xml:space="preserve">6.2.1</w:t>
        </w:r>
      </w:hyperlink>
      <w:r>
        <w:t xml:space="preserve">,</w:t>
      </w:r>
      <w:r>
        <w:t xml:space="preserve"> </w:t>
      </w:r>
      <w:hyperlink w:anchor="insight-13">
        <w:r>
          <w:rPr>
            <w:rStyle w:val="Hyperlink"/>
          </w:rPr>
          <w:t xml:space="preserve">Insight 13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</w:t>
      </w:r>
      <w:r>
        <w:t xml:space="preserve"> </w:t>
      </w:r>
      <w:hyperlink w:anchor="table-5.2">
        <w:r>
          <w:rPr>
            <w:rStyle w:val="Hyperlink"/>
          </w:rPr>
          <w:t xml:space="preserve">Table 5.2</w:t>
        </w:r>
      </w:hyperlink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X7f3cb9988fc4f21a782e780e51ff565a0b00582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30"/>
    <w:bookmarkEnd w:id="31"/>
    <w:bookmarkStart w:id="32" w:name="glossary"/>
    <w:p>
      <w:pPr>
        <w:pStyle w:val="Heading1"/>
      </w:pPr>
      <w:r>
        <w:t xml:space="preserve">Glossary of Pre-Existing Abbreviations, Names and Terms</w:t>
      </w:r>
    </w:p>
    <w:p>
      <w:pPr>
        <w:pStyle w:val="FirstParagraph"/>
      </w:pPr>
      <w:r>
        <w:t xml:space="preserve">This section serves as a quick-reference glossary to explain abbreviations and existing terms used.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a mode of research where cycles of investigation shape future studies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tags within HTML code that screenreaders use and which can be exploited for seam hacking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using vigorous campaigning to bring about political or social change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the ability, described in HDI, to act for oneself in a system, see HDI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a series of obstacles in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the Research &amp; Development division of the British Broadcasting Corporation, where I did a research internship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tangible objects and representations that help different populations that may think in different terms to collaborate effeectively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a technique used in Participatory co-design where participants arrange cards to convey their thinking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government initiative behind the SILVER project, which I worked 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technologists or enthusiasts working to reconfigure the way society works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argues for the supremacy of individual rights and personal freedoms over imposition by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ongoing and changeable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initial one-time expression of preference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a belief that new knowledge is formed by developing one’s own mental models in order to explain new experiences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the mental scaffolds which we use to organise our thinking and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designing systems that take account of the user’s situation and varying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bringing participants towards a shared perspective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codename for the BBC R&amp;D PDS project I interned with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research into making computer systems and their behaviour more understandable and accountable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third parties that buy and sell user’s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an organisation responsible for collecting and storing user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a website or service that allows users to access held data in a</w:t>
      </w:r>
      <w:r>
        <w:t xml:space="preserve"> </w:t>
      </w:r>
      <w:r>
        <w:t xml:space="preserve">‘</w:t>
      </w:r>
      <w:r>
        <w:t xml:space="preserve">self-service</w:t>
      </w:r>
      <w:r>
        <w:t xml:space="preserve">’</w:t>
      </w:r>
      <w:r>
        <w:t xml:space="preserve"> </w:t>
      </w:r>
      <w:r>
        <w:t xml:space="preserve">manner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the use of apps or system services to monitor the communication and data sharing behaviours of consumer apps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research into the relationship between datafication and social justice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a particular kind of access request focussed on retrieving data in a machine-readable and useable format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one who handles user data on behalf of a data controller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the history and origin of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the representation of an individual in data through which state or commercial actors understand that person when making decisions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the individual about whom data is stored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the idea that data should not be tied to a single machine, but should move freely to the places it is needed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digitally-encoded human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the data stored about families by social care organisations such as Early Help programmes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personal data that has been obtained from an official or public source or a third party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new data that has been extrapolated through interpretation of existing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data about the data itself, or about the incident recorded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data collected about individuals automatically, as a by-product of other actions or in the background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data about or related to identifiable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personal data that has been knowingly shared by that individual with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data that is hard to access due to technical, commercial or other restrictions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Digital Economy Research Centre, funders of the Healthy Eating Web Augmentation project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researchers and participants collaboratively exploring problems and solutions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the design of systems or processes that challenge current norms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the ability to repurpose products or services for new objectives that might not have been initially considered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design practices (often in user interfaces) that prioritise commercial needs over human convenience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design that focusses on human psychology and lived experience of the situation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the presentation of technology offerings as powerful and mysterious, that need not be examined or understood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design approach that builds up an understanding of user needs that is subsequently used by technical experts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designing in ways that focus on positive impacts on human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the idea that we are no longer owners of our devices, and lack control and autonomy over their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a multi-disciplinary research field encompassing HCI, governance, education, planning, social science and computer science, practiced by - Open Lab, where I studied this PhD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DPA</w:t>
      </w:r>
      <w:r>
        <w:t xml:space="preserve"> </w:t>
      </w:r>
      <w:r>
        <w:t xml:space="preserve">- Data Protection Authority** - the official authority for regulating data use in a given country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DPO</w:t>
      </w:r>
      <w:r>
        <w:t xml:space="preserve"> </w:t>
      </w:r>
      <w:r>
        <w:t xml:space="preserve">- Data Protection Officer** - the individual legally responsible for managing data use within a company and for handling access requests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Engineering and Physical Sciences Research Council, funders of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a set of programmes in UK local authorities designed to identify</w:t>
      </w:r>
      <w:r>
        <w:t xml:space="preserve"> </w:t>
      </w:r>
      <w:r>
        <w:t xml:space="preserve">‘</w:t>
      </w:r>
      <w:r>
        <w:t xml:space="preserve">at risk</w:t>
      </w:r>
      <w:r>
        <w:t xml:space="preserve">’</w:t>
      </w:r>
      <w:r>
        <w:t xml:space="preserve"> </w:t>
      </w:r>
      <w:r>
        <w:t xml:space="preserve">families and help them with targeted interventions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ensuring that individuals have all necessary skills, systems and capabilities necessary to see and understand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allowing users to create their own practices in information interaction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having freedom to use products and services in the way you want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people, places, organisations, brands, topics or other identifiable</w:t>
      </w:r>
      <w:r>
        <w:t xml:space="preserve"> </w:t>
      </w:r>
      <w:r>
        <w:t xml:space="preserve">‘</w:t>
      </w:r>
      <w:r>
        <w:t xml:space="preserve">things</w:t>
      </w:r>
      <w:r>
        <w:t xml:space="preserve">’</w:t>
      </w:r>
      <w:r>
        <w:t xml:space="preserve"> </w:t>
      </w:r>
      <w:r>
        <w:t xml:space="preserve">that could be a stakeholder of, or related to, a piece of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the process of identifying real-world entities 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algorithms whose decision making processes are described to system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the ability to search information by its shared aspects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the lifetime of past actions on a computer file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article by myself</w:t>
      </w:r>
      <w:r>
        <w:t xml:space="preserve"> </w:t>
      </w:r>
      <w:r>
        <w:t xml:space="preserve">(</w:t>
      </w:r>
      <w:hyperlink w:anchor="ref-bowyer2011filesdie">
        <w:r>
          <w:rPr>
            <w:rStyle w:val="Hyperlink"/>
          </w:rPr>
          <w:t xml:space="preserve">Bowyer, 2011</w:t>
        </w:r>
      </w:hyperlink>
      <w:r>
        <w:t xml:space="preserve">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GDPR</w:t>
      </w:r>
      <w:r>
        <w:t xml:space="preserve"> </w:t>
      </w:r>
      <w:r>
        <w:t xml:space="preserve">- General Data Protection Regulation - the EU’s 2018 regulations that give users rights over the collection and use of their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Gatekeeper</w:t>
      </w:r>
      <w:r>
        <w:t xml:space="preserve"> </w:t>
      </w:r>
      <w:r>
        <w:t xml:space="preserve">- One who controls the flow of data or information between an organisation and an individual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research and practice that explores how people relate to and use computer systems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a subdiscipline of HCI that focuses on people’s relationship with data, rather than with the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Swiss company working in the data access and understanding services space, which I currently work for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a discipline in library sciences that considers how humans relate to information regardless of technology used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a movement focused on making technology that is more sensitive to people’s lives and needs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the UK’s Data Protection Authority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Ideation Deck</w:t>
      </w:r>
      <w:r>
        <w:t xml:space="preserve"> </w:t>
      </w:r>
      <w:r>
        <w:t xml:space="preserve">- a participatory design technique that uses</w:t>
      </w:r>
      <w:r>
        <w:t xml:space="preserve"> </w:t>
      </w:r>
      <w:r>
        <w:t xml:space="preserve">‘</w:t>
      </w:r>
      <w:r>
        <w:t xml:space="preserve">ingredients</w:t>
      </w:r>
      <w:r>
        <w:t xml:space="preserve">’</w:t>
      </w:r>
      <w:r>
        <w:t xml:space="preserve"> </w:t>
      </w:r>
      <w:r>
        <w:t xml:space="preserve">cards shuffled in a grid to generate new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the pursuit of one’s own objectives as a primary objective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facts and assertions understood by interpreting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information about people that can be related to their lives or to their digital world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information about people’s lived experience that can be found within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information about people’s data, where it is stored, and how it is used and shared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the general terrain of available information that a user can see and interact with through the services and apps they use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Infrastructural Power</w:t>
      </w:r>
      <w:r>
        <w:t xml:space="preserve"> </w:t>
      </w:r>
      <w:r>
        <w:t xml:space="preserve">- see Power, Infrastructural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 getting systems to connect and exchange information through data standards or conversion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making systems connect together in ways that were not intended by manufacturers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the ability, as defined in HDI, of being able to understand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the practice of maximal data capture for personal SI benefit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different ways of focussing on some data or information according to the aspect of interest or the current role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a process of mapping out mental models of one’s life on paper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an organisation whose members pursue a human-centric change agenda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the ability described in HDI to flexibly adapt and change one’s preferences as the world or digital system changes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the research lab in Newcastle University in which I conducted this PhD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an associative process of information-finding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the 1990s/2000s discipline that focused on new ways to manage and interact with data and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PIM systems that organise information according to what context it relates to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PIM systems that focus on the relationships between different pieces of information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PIM systems that focus on the underlying meaning of the stored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PIM systems that focus on arranging data in a virtual space for easier management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PIM systems that focus on the varied individual needs of users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PIM systems that represent information using timelines or other visualisations that highlight change over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Services** 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the emergent marketplace of companies innovating and offering services relating to the management, self-exploitation or - harnessing of one’s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the network of systems, accounts, files and digital information that constitutes an individual’s digital life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a place to store personal data so that it can be united, unified and interpreted by the data subject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different presentations or aspects of information that support different mental models, focus or tasks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the point at which data is handed over, beyond which data subjects lose visibility, control and influence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persuading others to carry out the desired behaviour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determining how reality is externally represented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becoming an indispensable hub of a wider ecosystem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ownership of technology or infrastructure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using an influential position to affect others’ mental models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a model of understanding how providers exert power over their users, created as part of the digipower investigation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creating the internal representations of reality within an organisation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an individual’s ability to act (see Agency)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a dominant actor’s ability to limit or manipulate the actions of others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Obscure</w:t>
      </w:r>
      <w:r>
        <w:t xml:space="preserve"> </w:t>
      </w:r>
      <w:r>
        <w:t xml:space="preserve">- where the subservient cannot tell when they are watched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Pervasive</w:t>
      </w:r>
      <w:r>
        <w:t xml:space="preserve"> </w:t>
      </w:r>
      <w:r>
        <w:t xml:space="preserve">- where the one in power can see everything all the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changing processes for competitive advantage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controlling decision-making processes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controlling the flow of resources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power where the power holder attempts to influence the behaviour of individuals in pursuit their desired outcomes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influencing a wide audience to settle upon a preferred interpretation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winning a battle for ownership/resource control at the other party’s expense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the established fact that data holders have more power in service relationships than data subjects.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an epistemology that believes knowledge is constantly renegotiated by individuals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R&amp;D</w:t>
      </w:r>
      <w:r>
        <w:t xml:space="preserve"> </w:t>
      </w:r>
      <w:r>
        <w:t xml:space="preserve">- Research &amp; Development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a community of people who are attempting to reconfigure society for the better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a request to a DPO of an organisation for a copy of held personal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an umbrella term for Personal Informatics and the Quantified Self Movement, where people track their activity in data and reflect - upon it, setting goals and tracking progress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the project working in the Early Help space that I worked with for Case Study One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Finnish non-profit research organisation for which the digipower investigation was conducted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the process of programmatically extracting information from interfaces such as websites that were intended for human browsing.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the</w:t>
      </w:r>
      <w:r>
        <w:t xml:space="preserve"> </w:t>
      </w:r>
      <w:r>
        <w:t xml:space="preserve">‘</w:t>
      </w:r>
      <w:r>
        <w:t xml:space="preserve">edges</w:t>
      </w:r>
      <w:r>
        <w:t xml:space="preserve">’</w:t>
      </w:r>
      <w:r>
        <w:t xml:space="preserve"> </w:t>
      </w:r>
      <w:r>
        <w:t xml:space="preserve">of products and services, at which service providers can exert restrictions and at which users can find new ways to adapt their product - usage and data access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a specialist social worker who helps a family in an Early Help context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a family participating in an Early Help social care programme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the process of programmatically examining textual data to infer new facts and assertions from the data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a model for thinking about how to achieve change in society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the idea that tangible representations can be useful to aid discussions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visual representations of information anchored against points in time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historic term for those families targeted for help by programmes such as Early Help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a model where vendors are selected by customers in response to their published needs, instead of relying on - broadcast advertising to find customers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the process of modifying a web page to provide new functionality or access data after it has been downloaded to a user’s we browser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pieces of user code that are loaded into a web browser to modify or programmatically interrogate web pages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the process of converting data, to information, to knowledge, to wisdom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a system in Facebook that attempts to understand the world through analysis of social media content</w:t>
      </w:r>
    </w:p>
    <w:bookmarkEnd w:id="32"/>
    <w:bookmarkStart w:id="40" w:name="bibliography"/>
    <w:p>
      <w:pPr>
        <w:pStyle w:val="Heading1"/>
      </w:pPr>
      <w:r>
        <w:t xml:space="preserve">Bibliography</w:t>
      </w:r>
    </w:p>
    <w:bookmarkStart w:id="39" w:name="refs"/>
    <w:bookmarkStart w:id="34" w:name="ref-bowyer2011filesdie"/>
    <w:p>
      <w:pPr>
        <w:pStyle w:val="Bibliography"/>
      </w:pPr>
      <w:r>
        <w:t xml:space="preserve">Bowyer, A. (2011)</w:t>
      </w:r>
      <w:r>
        <w:t xml:space="preserve"> </w:t>
      </w:r>
      <w:r>
        <w:t xml:space="preserve">‘</w:t>
      </w:r>
      <w:r>
        <w:t xml:space="preserve">Why files need to die</w:t>
      </w:r>
      <w:r>
        <w:t xml:space="preserve">’</w:t>
      </w:r>
      <w:r>
        <w:t xml:space="preserve">. available at:</w:t>
      </w:r>
      <w:r>
        <w:t xml:space="preserve"> </w:t>
      </w:r>
      <w:hyperlink r:id="rId33">
        <w:r>
          <w:rPr>
            <w:rStyle w:val="Hyperlink"/>
          </w:rPr>
          <w:t xml:space="preserve">http://radar.oreilly.com/2011/07/why-files-need-to-die.html</w:t>
        </w:r>
      </w:hyperlink>
      <w:r>
        <w:t xml:space="preserve">.</w:t>
      </w:r>
    </w:p>
    <w:bookmarkEnd w:id="34"/>
    <w:bookmarkStart w:id="36" w:name="ref-bowyer2018freedata"/>
    <w:p>
      <w:pPr>
        <w:pStyle w:val="Bibliography"/>
      </w:pPr>
      <w:r>
        <w:t xml:space="preserve">Bowyer, A. (2018)</w:t>
      </w:r>
      <w:r>
        <w:t xml:space="preserve"> </w:t>
      </w:r>
      <w:r>
        <w:t xml:space="preserve">‘</w:t>
      </w:r>
      <w:r>
        <w:t xml:space="preserve">Free Data Interfaces: Taking Human- Data Interaction to the Next Level</w:t>
      </w:r>
      <w:r>
        <w:t xml:space="preserve">’</w:t>
      </w:r>
      <w:r>
        <w:t xml:space="preserve">,</w:t>
      </w:r>
      <w:r>
        <w:t xml:space="preserve"> </w:t>
      </w:r>
      <w:r>
        <w:rPr>
          <w:iCs/>
          <w:i/>
        </w:rPr>
        <w:t xml:space="preserve">CHI Workshops 2018</w:t>
      </w:r>
      <w:r>
        <w:t xml:space="preserve">. available at:</w:t>
      </w:r>
      <w:r>
        <w:t xml:space="preserve"> </w:t>
      </w:r>
      <w:hyperlink r:id="rId35">
        <w:r>
          <w:rPr>
            <w:rStyle w:val="Hyperlink"/>
          </w:rPr>
          <w:t xml:space="preserve">https://eprints.ncl.ac.uk/273825</w:t>
        </w:r>
      </w:hyperlink>
      <w:r>
        <w:t xml:space="preserve">.</w:t>
      </w:r>
    </w:p>
    <w:bookmarkEnd w:id="36"/>
    <w:bookmarkStart w:id="38" w:name="ref-bowyer2018family"/>
    <w:p>
      <w:pPr>
        <w:pStyle w:val="Bibliography"/>
      </w:pPr>
      <w:r>
        <w:t xml:space="preserve">Bowyer, A.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‘</w:t>
      </w:r>
      <w:r>
        <w:t xml:space="preserve">Understanding the Family Perspective on the Storage, Sharing and Handling of Family Civic Data</w:t>
      </w:r>
      <w:r>
        <w:t xml:space="preserve">’</w:t>
      </w:r>
      <w:r>
        <w:t xml:space="preserve">, in</w:t>
      </w:r>
      <w:r>
        <w:t xml:space="preserve"> </w:t>
      </w:r>
      <w:r>
        <w:rPr>
          <w:iCs/>
          <w:i/>
        </w:rPr>
        <w:t xml:space="preserve">Conference on human factors in computing systems - proceedings</w:t>
      </w:r>
      <w:r>
        <w:t xml:space="preserve">. New York, New York, USA: ACM Press, pp. 1–13. doi:</w:t>
      </w:r>
      <w:r>
        <w:t xml:space="preserve"> </w:t>
      </w:r>
      <w:hyperlink r:id="rId37">
        <w:r>
          <w:rPr>
            <w:rStyle w:val="Hyperlink"/>
          </w:rPr>
          <w:t xml:space="preserve">10.1145/3173574.3173710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4.3.3.4" TargetMode="External" /><Relationship Type="http://schemas.openxmlformats.org/officeDocument/2006/relationships/hyperlink" Id="rId33" Target="http://radar.oreilly.com/2011/07/why-files-need-to-die.html" TargetMode="External" /><Relationship Type="http://schemas.openxmlformats.org/officeDocument/2006/relationships/hyperlink" Id="rId37" Target="https://doi.org/10.1145/3173574.3173710" TargetMode="External" /><Relationship Type="http://schemas.openxmlformats.org/officeDocument/2006/relationships/hyperlink" Id="rId35" Target="https://eprints.ncl.ac.uk/2738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2022-08-26T11:02:26Z</dcterms:created>
  <dcterms:modified xsi:type="dcterms:W3CDTF">2022-08-26T11:02:26Z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https://github.com/alexbfree/thesis/tree/master/src</vt:lpwstr>
  </property>
  <property fmtid="{D5CDD505-2E9C-101B-9397-08002B2CF9AE}" pid="8" name="website-build-formats">
    <vt:lpwstr/>
  </property>
</Properties>
</file>