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8"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2"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We live in an increasingly</w:t>
      </w:r>
      <w:r>
        <w:t xml:space="preserve"> </w:t>
      </w:r>
      <w:r>
        <w:rPr>
          <w:bCs/>
          <w:b/>
        </w:rPr>
        <w:t xml:space="preserve">data-centric</w:t>
      </w:r>
      <w:r>
        <w:t xml:space="preserve"> </w:t>
      </w:r>
      <w:r>
        <w:t xml:space="preserve">world, where direct and indirect interactions with computer systems depend upon the collection, storage and use of personal data about individuals. Motivated to reduce costly human interaction and scale to serve more customers, organisations</w:t>
      </w:r>
      <w:r>
        <w:t xml:space="preserve"> </w:t>
      </w:r>
      <w:r>
        <w:rPr>
          <w:bCs/>
          <w:b/>
        </w:rPr>
        <w:t xml:space="preserve">capture and represent individuals as data</w:t>
      </w:r>
      <w:r>
        <w:t xml:space="preserve"> </w:t>
      </w:r>
      <w:r>
        <w:t xml:space="preserve">and rely increasingly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or targeting advertisements or recommendations to influence how people behave. Thus, data about people has become extremely valuable;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w:t>
      </w:r>
      <w:r>
        <w:t xml:space="preserve">at the core of a model of</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that extracts and exploits data for profit.</w:t>
      </w:r>
    </w:p>
    <w:p>
      <w:pPr>
        <w:pStyle w:val="BodyText"/>
      </w:pPr>
      <w:r>
        <w:t xml:space="preserve">This multi-party use of data has resulted in a splintering</w:t>
      </w:r>
      <w:r>
        <w:t xml:space="preserve"> </w:t>
      </w:r>
      <w:r>
        <w:t xml:space="preserve">(</w:t>
      </w:r>
      <w:hyperlink w:anchor="ref-lemley2021">
        <w:r>
          <w:rPr>
            <w:rStyle w:val="Hyperlink"/>
          </w:rPr>
          <w:t xml:space="preserve">Lemley, 2021</w:t>
        </w:r>
      </w:hyperlink>
      <w:r>
        <w:t xml:space="preserve">)</w:t>
      </w:r>
      <w:r>
        <w:t xml:space="preserve"> </w:t>
      </w:r>
      <w:r>
        <w:t xml:space="preserve">of our</w:t>
      </w:r>
      <w:r>
        <w:t xml:space="preserve"> </w:t>
      </w:r>
      <w:r>
        <w:t xml:space="preserve">‘</w:t>
      </w:r>
      <w:r>
        <w:t xml:space="preserve">digital selves</w:t>
      </w:r>
      <w:r>
        <w:t xml:space="preserve">’</w:t>
      </w:r>
      <w:r>
        <w:t xml:space="preserve"> </w:t>
      </w:r>
      <w:r>
        <w:t xml:space="preserve">across hundreds of different organisations’ computer systems, creating</w:t>
      </w:r>
      <w:r>
        <w:t xml:space="preserve"> </w:t>
      </w:r>
      <w:r>
        <w:rPr>
          <w:iCs/>
          <w:i/>
        </w:rPr>
        <w:t xml:space="preserve">“</w:t>
      </w:r>
      <w:r>
        <w:rPr>
          <w:iCs/>
          <w:i/>
        </w:rPr>
        <w:t xml:space="preserve">a chaos of multiplicity</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to manage. Current data practices</w:t>
      </w:r>
      <w:r>
        <w:t xml:space="preserve"> </w:t>
      </w:r>
      <w:r>
        <w:rPr>
          <w:bCs/>
          <w:b/>
        </w:rPr>
        <w:t xml:space="preserve">cause harm to individuals</w:t>
      </w:r>
      <w:r>
        <w:t xml:space="preserve"> </w:t>
      </w:r>
      <w:r>
        <w:t xml:space="preserve">through anxiety, distraction and a sense of being overwhelmed</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Many people believe</w:t>
      </w:r>
      <w:r>
        <w:t xml:space="preserve"> </w:t>
      </w:r>
      <w:r>
        <w:rPr>
          <w:bCs/>
          <w:b/>
        </w:rPr>
        <w:t xml:space="preserve">data use harms society too</w:t>
      </w:r>
      <w:r>
        <w:t xml:space="preserve">, due to the ease with which people’s attention and beliefs are manipulated, risking radicalisation and a loss of democratic freedom</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It is generally accepted that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 </w:t>
      </w:r>
      <w:r>
        <w:t xml:space="preserve">(</w:t>
      </w:r>
      <w:hyperlink w:anchor="ref-wef2014context">
        <w:r>
          <w:rPr>
            <w:rStyle w:val="Hyperlink"/>
          </w:rPr>
          <w:t xml:space="preserve">Hoffman, 2014</w:t>
        </w:r>
      </w:hyperlink>
      <w:r>
        <w:t xml:space="preserve">)</w:t>
      </w:r>
      <w:r>
        <w:t xml:space="preserve">.</w:t>
      </w:r>
    </w:p>
    <w:p>
      <w:pPr>
        <w:pStyle w:val="BodyText"/>
      </w:pPr>
      <w:r>
        <w:t xml:space="preserve">To address this power imbalance, people need to achieve a more effective relationship with their own data. This has been conceptualised as a lack of</w:t>
      </w:r>
      <w:r>
        <w:t xml:space="preserve"> </w:t>
      </w:r>
      <w:r>
        <w:rPr>
          <w:iCs/>
          <w:i/>
        </w:rPr>
        <w:t xml:space="preserve">agency</w:t>
      </w:r>
      <w:r>
        <w:t xml:space="preserve"> </w:t>
      </w:r>
      <w:r>
        <w:t xml:space="preserve">(the ability to act for oneself),</w:t>
      </w:r>
      <w:r>
        <w:t xml:space="preserve"> </w:t>
      </w:r>
      <w:r>
        <w:rPr>
          <w:iCs/>
          <w:i/>
        </w:rPr>
        <w:t xml:space="preserve">negotiability</w:t>
      </w:r>
      <w:r>
        <w:t xml:space="preserve"> </w:t>
      </w:r>
      <w:r>
        <w:t xml:space="preserve">(the ability to exert influence over data use within the system as things change), and</w:t>
      </w:r>
      <w:r>
        <w:t xml:space="preserve"> </w:t>
      </w:r>
      <w:r>
        <w:rPr>
          <w:iCs/>
          <w:i/>
        </w:rPr>
        <w:t xml:space="preserve">legibility</w:t>
      </w:r>
      <w:r>
        <w:t xml:space="preserve"> </w:t>
      </w:r>
      <w:r>
        <w:t xml:space="preserve">(the ability to understand one’s data and its implications)</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Currently, users of today’s digital services typically experience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they are forced to sacrifice their data and are then cut out of the loop. Without understanding of how they are currently seen through data, people 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w:t>
      </w:r>
      <w:hyperlink w:anchor="ref-crossley2022">
        <w:r>
          <w:rPr>
            <w:rStyle w:val="Hyperlink"/>
          </w:rPr>
          <w:t xml:space="preserve">Crossley, 2022</w:t>
        </w:r>
      </w:hyperlink>
      <w:r>
        <w:t xml:space="preserve">)</w:t>
      </w:r>
      <w:r>
        <w:t xml:space="preserve">. Left unexplored and unchallenged, the situation will not improve, as the datafication of society grows, and user agency continues to diminish.</w:t>
      </w:r>
    </w:p>
    <w:p>
      <w:pPr>
        <w:pStyle w:val="BodyText"/>
      </w:pPr>
      <w:r>
        <w:t xml:space="preserve">This thesis focuses on the apparent power imbalance and explores ways in which individual agency, legibility and negotiability can be improved. Through academic inquiry over two Case Studies, it makes a novel contribution to knowledge, arriving at a deep understanding of how people relate to data, what capabilities people need, and how they would like service providers to handle their data. Existing Human-Computer Interaction (HCI) research tends to focus upon the mechanisms by which humans interact with data without considering the sociotechnical perspective. This thesis defines a new, broader frame for this problem space, building upon Human Data Interaction (HDI)</w:t>
      </w:r>
      <w:r>
        <w:t xml:space="preserve"> </w:t>
      </w:r>
      <w:r>
        <w:t xml:space="preserve">(</w:t>
      </w:r>
      <w:hyperlink w:anchor="ref-mortier2013">
        <w:r>
          <w:rPr>
            <w:rStyle w:val="Hyperlink"/>
          </w:rPr>
          <w:t xml:space="preserve">Mortier</w:t>
        </w:r>
        <w:r>
          <w:rPr>
            <w:rStyle w:val="Hyperlink"/>
          </w:rPr>
          <w:t xml:space="preserve"> </w:t>
        </w:r>
        <w:r>
          <w:rPr>
            <w:rStyle w:val="Hyperlink"/>
            <w:iCs/>
            <w:i/>
          </w:rPr>
          <w:t xml:space="preserve">et al.</w:t>
        </w:r>
        <w:r>
          <w:rPr>
            <w:rStyle w:val="Hyperlink"/>
          </w:rPr>
          <w:t xml:space="preserve">, 2013</w:t>
        </w:r>
      </w:hyperlink>
      <w:r>
        <w:t xml:space="preserve">,</w:t>
      </w:r>
      <w:r>
        <w:t xml:space="preserve"> </w:t>
      </w:r>
      <w:hyperlink w:anchor="ref-mortier2014">
        <w:r>
          <w:rPr>
            <w:rStyle w:val="Hyperlink"/>
          </w:rPr>
          <w:t xml:space="preserve">2014</w:t>
        </w:r>
      </w:hyperlink>
      <w:r>
        <w:t xml:space="preserve">)</w:t>
      </w:r>
      <w:r>
        <w:t xml:space="preserve"> </w:t>
      </w:r>
      <w:r>
        <w:t xml:space="preserve">theory to encompass sociotechnical and commercial realities of today’s data-centric world. The new framing offered (and explained in depth) is</w:t>
      </w:r>
      <w:r>
        <w:t xml:space="preserve"> </w:t>
      </w:r>
      <w:r>
        <w:rPr>
          <w:bCs/>
          <w:b/>
        </w:rPr>
        <w:t xml:space="preserve">Human Data Relations (HDR)</w:t>
      </w:r>
      <w:r>
        <w:t xml:space="preserve">. If societal benefits are to be achieved, these data needs must be pursued in practice. This motivates the second discussion chapter, which seeks to extend the contribution of the thesis by mapping out the landscape of obstacles, opportunities and insights in HDR, so that future researchers and innovators will be better equipped to explore and pursue the empowerment of individuals through personal data at a societal level.</w:t>
      </w:r>
    </w:p>
    <w:bookmarkStart w:id="20"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my lifelong passion to help people get more value from our computers. My experience and expectations of computers was shaped by the home computing revolution of the 1980s and 1990s, which taught me and a generation of young people that the computer was a machine to program, a tool to be exploited, mastered and bent to your will. Then, in my formative years approaching the turn of the millennium, I lived through the birth of the public Internet and marvelled at the ability for computers to connect people across the world, empower individuals as creators, innovators and broadcasters, level the playing field and transform the way people interact. I gradually shifted my software engineering career from back-end to front-end development and ultimately to User Experience (UX), so that I might take a more active role in building software features that directly benefit users and improve their lives. Keenly tracking and embracing the Web 2.0 revolution while observing the digitisation and disruption of so many industries, I became fascinated with the ways in which humans were shaping computer systems which in turn were shaping our habits and our society, phenomena I explored through the Human 2.0 blog which I co-founded</w:t>
      </w:r>
      <w:r>
        <w:t xml:space="preserve"> </w:t>
      </w:r>
      <w:r>
        <w:t xml:space="preserve">(</w:t>
      </w:r>
      <w:hyperlink w:anchor="ref-bowyer2009human">
        <w:r>
          <w:rPr>
            <w:rStyle w:val="Hyperlink"/>
          </w:rPr>
          <w:t xml:space="preserve">Bowyer and Croll, 2009-2011</w:t>
        </w:r>
      </w:hyperlink>
      <w:r>
        <w:t xml:space="preserve">)</w:t>
      </w:r>
      <w:r>
        <w:t xml:space="preserve">.</w:t>
      </w:r>
    </w:p>
    <w:p>
      <w:pPr>
        <w:pStyle w:val="BodyText"/>
      </w:pPr>
      <w:r>
        <w:t xml:space="preserve">But then, having seen Internet-era computing give us new capabilities, and knowing the potential of computers to become tools for positive change in society, I bore witness to a changing world, where, through the digitalisation of businesses and the shift to data-centric cloud-centric business models, we began, and continue to, lose the ability to harness computers for our own ends. I began to explore the reasons and implications of this loss of agency and the possibilities for more human-centric computing, through several published essays and presentations</w:t>
      </w:r>
      <w:r>
        <w:t xml:space="preserve"> </w:t>
      </w:r>
      <w:r>
        <w:t xml:space="preserve">(</w:t>
      </w:r>
      <w:hyperlink w:anchor="ref-bowyer2009bitnorth">
        <w:r>
          <w:rPr>
            <w:rStyle w:val="Hyperlink"/>
          </w:rPr>
          <w:t xml:space="preserve">Bowyer, 2009</w:t>
        </w:r>
      </w:hyperlink>
      <w:r>
        <w:t xml:space="preserve">,</w:t>
      </w:r>
      <w:r>
        <w:t xml:space="preserve"> </w:t>
      </w:r>
      <w:hyperlink w:anchor="ref-bowyer2010bitnorth">
        <w:r>
          <w:rPr>
            <w:rStyle w:val="Hyperlink"/>
          </w:rPr>
          <w:t xml:space="preserve">2010</w:t>
        </w:r>
      </w:hyperlink>
      <w:r>
        <w:t xml:space="preserve">,</w:t>
      </w:r>
      <w:r>
        <w:t xml:space="preserve"> </w:t>
      </w:r>
      <w:hyperlink w:anchor="ref-bowyer2011filesdie">
        <w:r>
          <w:rPr>
            <w:rStyle w:val="Hyperlink"/>
          </w:rPr>
          <w:t xml:space="preserve">2011</w:t>
        </w:r>
      </w:hyperlink>
      <w:r>
        <w:t xml:space="preserve">,</w:t>
      </w:r>
      <w:r>
        <w:t xml:space="preserve"> </w:t>
      </w:r>
      <w:hyperlink w:anchor="ref-bowyer2012bitnorth">
        <w:r>
          <w:rPr>
            <w:rStyle w:val="Hyperlink"/>
          </w:rPr>
          <w:t xml:space="preserve">2012a</w:t>
        </w:r>
      </w:hyperlink>
      <w:r>
        <w:t xml:space="preserve">,</w:t>
      </w:r>
      <w:r>
        <w:t xml:space="preserve"> </w:t>
      </w:r>
      <w:hyperlink w:anchor="ref-bowyer2012timespace">
        <w:r>
          <w:rPr>
            <w:rStyle w:val="Hyperlink"/>
          </w:rPr>
          <w:t xml:space="preserve">2012b</w:t>
        </w:r>
      </w:hyperlink>
      <w:r>
        <w:t xml:space="preserve">,</w:t>
      </w:r>
      <w:r>
        <w:t xml:space="preserve"> </w:t>
      </w:r>
      <w:hyperlink w:anchor="ref-bowyer2013bitnorth">
        <w:r>
          <w:rPr>
            <w:rStyle w:val="Hyperlink"/>
          </w:rPr>
          <w:t xml:space="preserve">2013</w:t>
        </w:r>
      </w:hyperlink>
      <w:r>
        <w:t xml:space="preserve">)</w:t>
      </w:r>
      <w:r>
        <w:t xml:space="preserve"> </w:t>
      </w:r>
      <w:r>
        <w:t xml:space="preserve">which collectively form the seed from which this thesis grew.</w:t>
      </w:r>
    </w:p>
    <w:p>
      <w:pPr>
        <w:pStyle w:val="BodyText"/>
      </w:pPr>
      <w:r>
        <w:t xml:space="preserve">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shadow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what I consider the most important problem of our age—</w:t>
      </w:r>
      <w:r>
        <w:rPr>
          <w:bCs/>
          <w:b/>
        </w:rPr>
        <w:t xml:space="preserve">Understanding and Improving Human Data Relations</w:t>
      </w:r>
      <w:r>
        <w:t xml:space="preserve">.</w:t>
      </w:r>
    </w:p>
    <w:bookmarkEnd w:id="20"/>
    <w:bookmarkStart w:id="21"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The aim of this thesis is to research how people relate to data, how they understand and use it, and what they need from it and its holders in order to thrive and to meet their own goals.</w:t>
      </w:r>
    </w:p>
    <w:p>
      <w:pPr>
        <w:pStyle w:val="BodyText"/>
      </w:pPr>
      <w:r>
        <w:t xml:space="preserve">The thesis is informed by a constructivist ontology and a pragmatist, individualist epistemology [</w:t>
      </w:r>
      <w:hyperlink w:anchor="X16a3b37862d25c71eb7293f7b653e91636f92a7">
        <w:r>
          <w:rPr>
            <w:rStyle w:val="Hyperlink"/>
          </w:rPr>
          <w:t xml:space="preserve">3.1</w:t>
        </w:r>
      </w:hyperlink>
      <w:r>
        <w:t xml:space="preserve">], and employs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conducting an academic inquiry to answer two key research questions (RQ):</w:t>
      </w:r>
    </w:p>
    <w:p>
      <w:pPr>
        <w:pStyle w:val="BlockText"/>
      </w:pPr>
      <w:r>
        <w:rPr>
          <w:bCs/>
          <w:b/>
        </w:rPr>
        <w:t xml:space="preserve">RQ1.</w:t>
      </w:r>
      <w:r>
        <w:t xml:space="preserve"> </w:t>
      </w:r>
      <w:r>
        <w:t xml:space="preserve">What is the human experience of personal data, and what do people want from their data?** [</w:t>
      </w:r>
      <w:hyperlink w:anchor="RQ1">
        <w:r>
          <w:rPr>
            <w:rStyle w:val="Hyperlink"/>
          </w:rPr>
          <w:t xml:space="preserve">3.3.1</w:t>
        </w:r>
      </w:hyperlink>
      <w:r>
        <w:t xml:space="preserve">]</w:t>
      </w:r>
    </w:p>
    <w:p>
      <w:pPr>
        <w:pStyle w:val="BlockText"/>
      </w:pPr>
      <w:r>
        <w:rPr>
          <w:bCs/>
          <w:b/>
        </w:rPr>
        <w:t xml:space="preserve">RQ2.</w:t>
      </w:r>
      <w:r>
        <w:t xml:space="preserve"> </w:t>
      </w:r>
      <w:r>
        <w:t xml:space="preserve">What role does data play in people’s service relationships, and how could relationships involving data be improved?** [</w:t>
      </w:r>
      <w:hyperlink w:anchor="RQ2">
        <w:r>
          <w:rPr>
            <w:rStyle w:val="Hyperlink"/>
          </w:rPr>
          <w:t xml:space="preserve">3.3.2</w:t>
        </w:r>
      </w:hyperlink>
      <w:r>
        <w:t xml:space="preserve">]</w:t>
      </w:r>
    </w:p>
    <w:p>
      <w:pPr>
        <w:pStyle w:val="FirstParagraph"/>
      </w:pPr>
      <w:r>
        <w:t xml:space="preserve">This thesis assumes that if the asymmetry over data access and use between individuals and organisations holding data is to be addressed, that a greater understanding of current data use issues is needed by all parties, and that the production of knowledge and insights is therefore a vital first step towards the pursuit of a more balanced model of data use that can deliver increased agency and negotiability. To acquire this understanding, a participatory research design is employed, collecting interview transcripts from two contexts to enable qualitative analysis that can identify themes to inform a descriptive model of human-centred data empowerment.</w:t>
      </w:r>
    </w:p>
    <w:p>
      <w:pPr>
        <w:pStyle w:val="BodyText"/>
      </w:pPr>
      <w:r>
        <w:t xml:space="preserve">The thesis reports on two studies that invited participants to</w:t>
      </w:r>
      <w:r>
        <w:t xml:space="preserve"> </w:t>
      </w:r>
      <w:r>
        <w:t xml:space="preserve">‘</w:t>
      </w:r>
      <w:r>
        <w:t xml:space="preserve">look behind the curtain</w:t>
      </w:r>
      <w:r>
        <w:t xml:space="preserve">’</w:t>
      </w:r>
      <w:r>
        <w:t xml:space="preserve"> </w:t>
      </w:r>
      <w:r>
        <w:t xml:space="preserve">of previously opaque data-centric organisations they interact with, enabling them to consider more deeply the collection, storage and use of their personal data by service organisations. In both cases the focus was upon examining current practices, identifying attitudes to those practices, and imagining alternative designs and approaches for data use by service providers and the participants themselves. The participants of the two studies are:</w:t>
      </w:r>
    </w:p>
    <w:p>
      <w:pPr>
        <w:numPr>
          <w:ilvl w:val="0"/>
          <w:numId w:val="1001"/>
        </w:numPr>
        <w:pStyle w:val="Compact"/>
      </w:pPr>
      <w:r>
        <w:rPr>
          <w:bCs/>
          <w:b/>
        </w:rPr>
        <w:t xml:space="preserve">Case Study One</w:t>
      </w:r>
      <w:r>
        <w:t xml:space="preserve">: Supported families, who meet with</w:t>
      </w:r>
      <w:r>
        <w:t xml:space="preserve"> </w:t>
      </w:r>
      <w:r>
        <w:rPr>
          <w:iCs/>
          <w:i/>
        </w:rPr>
        <w:t xml:space="preserve">Early Help</w:t>
      </w:r>
      <w:r>
        <w:t xml:space="preserve"> </w:t>
      </w:r>
      <w:r>
        <w:t xml:space="preserve">support workers (whose role is to access civic data to understand and empower those individuals to improve their lives) [</w:t>
      </w:r>
      <w:hyperlink w:anchor="chapter-4">
        <w:r>
          <w:rPr>
            <w:rStyle w:val="Hyperlink"/>
          </w:rPr>
          <w:t xml:space="preserve">Chapter 4</w:t>
        </w:r>
      </w:hyperlink>
      <w:r>
        <w:t xml:space="preserve">]; and</w:t>
      </w:r>
    </w:p>
    <w:p>
      <w:pPr>
        <w:numPr>
          <w:ilvl w:val="0"/>
          <w:numId w:val="1001"/>
        </w:numPr>
        <w:pStyle w:val="Compact"/>
      </w:pPr>
      <w:r>
        <w:rPr>
          <w:bCs/>
          <w:b/>
        </w:rPr>
        <w:t xml:space="preserve">Case Study Two</w:t>
      </w:r>
      <w:r>
        <w:t xml:space="preserve">: Ordinary British and European citizens, who gained new legal rights via 2018’s</w:t>
      </w:r>
      <w:r>
        <w:t xml:space="preserve"> </w:t>
      </w:r>
      <w:r>
        <w:rPr>
          <w:iCs/>
          <w:i/>
        </w:rPr>
        <w:t xml:space="preserve">GDPR</w:t>
      </w:r>
      <w:r>
        <w:t xml:space="preserve"> </w:t>
      </w:r>
      <w:r>
        <w:t xml:space="preserve">legislation [</w:t>
      </w:r>
      <w:hyperlink w:anchor="Xb7155a36d36681935655d772bbc981bc2393fa3">
        <w:r>
          <w:rPr>
            <w:rStyle w:val="Hyperlink"/>
          </w:rPr>
          <w:t xml:space="preserve">2.1.3</w:t>
        </w:r>
      </w:hyperlink>
      <w:r>
        <w:t xml:space="preserve">], enabling them to request copies of held personal data along with other relevant information from the companies and service providers in their lives [</w:t>
      </w:r>
      <w:hyperlink w:anchor="chapter-5">
        <w:r>
          <w:rPr>
            <w:rStyle w:val="Hyperlink"/>
          </w:rPr>
          <w:t xml:space="preserve">Chapter 5</w:t>
        </w:r>
      </w:hyperlink>
      <w:r>
        <w:t xml:space="preserve">].</w:t>
      </w:r>
    </w:p>
    <w:p>
      <w:pPr>
        <w:pStyle w:val="FirstParagraph"/>
      </w:pPr>
      <w:r>
        <w:t xml:space="preserve">Through comparative analysis of the two case studies, commonalities in individual attitudes and understandings serve to validate each other, and allow the expression of clear insights about people’s relationships to personal data that can serve as answers to the two RQs. This synthesis and analysis of interview data forms the core academic research of this PhD [</w:t>
      </w:r>
      <w:hyperlink w:anchor="chapter-6">
        <w:r>
          <w:rPr>
            <w:rStyle w:val="Hyperlink"/>
          </w:rPr>
          <w:t xml:space="preserve">Chapter 6</w:t>
        </w:r>
      </w:hyperlink>
      <w:r>
        <w:t xml:space="preserve">].</w:t>
      </w:r>
    </w:p>
    <w:p>
      <w:pPr>
        <w:pStyle w:val="BodyText"/>
      </w:pPr>
      <w:r>
        <w:t xml:space="preserve">This research is situated in the Human-Computer Interaction (HCI) discipline, which means that design (both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Within this space, there has been a great deal of focus on direct interaction with data and upon interface design, but more sociotechnical examination of individual attitudes to data and individual needs in a data-centric context is an under-researched area. To support the creation of improved interfaces and processes that can redress the power imbalance, this thesis focuses upon the generation of a descriptive model to address the research gap, producing detailed models and insights that recognise the multi-party complexity of data interaction today and thus can be directly of use to inform future design and innovation in the building of systems that recognise the unique challenges of the status quo.</w:t>
      </w:r>
    </w:p>
    <w:p>
      <w:pPr>
        <w:pStyle w:val="BodyText"/>
      </w:pPr>
      <w:r>
        <w:t xml:space="preserve">In particular, in</w:t>
      </w:r>
      <w:r>
        <w:t xml:space="preserve"> </w:t>
      </w:r>
      <w:hyperlink w:anchor="chapter-7">
        <w:r>
          <w:rPr>
            <w:rStyle w:val="Hyperlink"/>
          </w:rPr>
          <w:t xml:space="preserve">Chapter 7</w:t>
        </w:r>
      </w:hyperlink>
      <w:r>
        <w:t xml:space="preserve"> </w:t>
      </w:r>
      <w:r>
        <w:t xml:space="preserve">this thesis moves beyond academic inquiry and provides designerly thoughts, models and ideas that explore how the findings from the academic inquiry could be applied in practice, expanding the scope of the thesis from merely understanding the world towards planning how to change it. Given the scale of the sociotechnical design challenge society faces, this thesis does not carry out</w:t>
      </w:r>
      <w:r>
        <w:t xml:space="preserve"> </w:t>
      </w:r>
      <w:r>
        <w:t xml:space="preserve">‘</w:t>
      </w:r>
      <w:r>
        <w:t xml:space="preserve">in the wild</w:t>
      </w:r>
      <w:r>
        <w:t xml:space="preserve">’</w:t>
      </w:r>
      <w:r>
        <w:t xml:space="preserve"> </w:t>
      </w:r>
      <w:r>
        <w:t xml:space="preserve">evaluation of particular data interaction approaches or interface designs. Instead, drawing upon direct experience in related industrial research as well as the work of other researchers and innovators in this space, this thesis prioritises the documentation of obstacles, important insights and opportunities for future work. The primary contribution here, as the thesis concludes, is to map out current, emergent and future approaches for improving people’s agency and negotiability, enabling future research, design and innovation work to pursue these goals with a more targeted and well-understood approach, both philosophically and in practice.</w:t>
      </w:r>
    </w:p>
    <w:bookmarkEnd w:id="21"/>
    <w:bookmarkEnd w:id="22"/>
    <w:bookmarkStart w:id="27"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14 major contributions (</w:t>
      </w:r>
      <w:r>
        <w:rPr>
          <w:bCs/>
          <w:b/>
        </w:rPr>
        <w:t xml:space="preserve">Cn</w:t>
      </w:r>
      <w:r>
        <w:t xml:space="preserve">) of this thesis, which can be summarised as:</w:t>
      </w:r>
    </w:p>
    <w:p>
      <w:pPr>
        <w:numPr>
          <w:ilvl w:val="0"/>
          <w:numId w:val="1002"/>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2"/>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2"/>
        </w:numPr>
        <w:pStyle w:val="Compact"/>
      </w:pPr>
      <w:r>
        <w:t xml:space="preserve">additional contributions specific to the Case Study contexts of</w:t>
      </w:r>
    </w:p>
    <w:p>
      <w:pPr>
        <w:numPr>
          <w:ilvl w:val="1"/>
          <w:numId w:val="1003"/>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3"/>
        </w:numPr>
        <w:pStyle w:val="Compact"/>
      </w:pPr>
      <w:r>
        <w:t xml:space="preserve">GDPR/everyday data access [</w:t>
      </w:r>
      <w:hyperlink w:anchor="Xe0a2228de6a8253c7b565fe8caa7a8bb775cb45">
        <w:r>
          <w:rPr>
            <w:rStyle w:val="Hyperlink"/>
          </w:rPr>
          <w:t xml:space="preserve">1.2.4</w:t>
        </w:r>
      </w:hyperlink>
      <w:r>
        <w:t xml:space="preserve">].</w:t>
      </w:r>
    </w:p>
    <w:bookmarkStart w:id="23"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t xml:space="preserve">Through the concluding sections of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the reader will be able to see that research participants across both studies (and the pilot study) shared common issues around personal data. These commonalities provide the answers to</w:t>
      </w:r>
      <w:r>
        <w:t xml:space="preserve"> </w:t>
      </w:r>
      <w:hyperlink w:anchor="RQ1">
        <w:r>
          <w:rPr>
            <w:rStyle w:val="Hyperlink"/>
          </w:rPr>
          <w:t xml:space="preserve">RQ1</w:t>
        </w:r>
      </w:hyperlink>
      <w:r>
        <w:t xml:space="preserve"> </w:t>
      </w:r>
      <w:r>
        <w:t xml:space="preserve">and</w:t>
      </w:r>
      <w:r>
        <w:t xml:space="preserve"> </w:t>
      </w:r>
      <w:hyperlink w:anchor="RQ2">
        <w:r>
          <w:rPr>
            <w:rStyle w:val="Hyperlink"/>
          </w:rPr>
          <w:t xml:space="preserve">RQ2</w:t>
        </w:r>
      </w:hyperlink>
      <w:r>
        <w:t xml:space="preserve">, which form the first two contributions C1 and C2:</w:t>
      </w:r>
    </w:p>
    <w:p>
      <w:pPr>
        <w:pStyle w:val="BodyText"/>
      </w:pPr>
      <w:r>
        <w:rPr>
          <w:bCs/>
          <w:b/>
        </w:rPr>
        <w:t xml:space="preserve">C1: An understanding of What People Want in Direct Data Relations</w:t>
      </w:r>
    </w:p>
    <w:p>
      <w:pPr>
        <w:pStyle w:val="BodyText"/>
      </w:pPr>
      <w:r>
        <w:t xml:space="preserve">Section</w:t>
      </w:r>
      <w:r>
        <w:t xml:space="preserve"> </w:t>
      </w:r>
      <w:hyperlink w:anchor="X8258c05de79d267cff0777b650c09dd0e24396f">
        <w:r>
          <w:rPr>
            <w:rStyle w:val="Hyperlink"/>
          </w:rPr>
          <w:t xml:space="preserve">6.1</w:t>
        </w:r>
      </w:hyperlink>
      <w:r>
        <w:t xml:space="preserve"> </w:t>
      </w:r>
      <w:r>
        <w:t xml:space="preserve">answers</w:t>
      </w:r>
      <w:r>
        <w:t xml:space="preserve"> </w:t>
      </w:r>
      <w:hyperlink w:anchor="RQ1">
        <w:r>
          <w:rPr>
            <w:rStyle w:val="Hyperlink"/>
          </w:rPr>
          <w:t xml:space="preserve">RQ1</w:t>
        </w:r>
      </w:hyperlink>
      <w:r>
        <w:t xml:space="preserve"> </w:t>
      </w:r>
      <w:r>
        <w:t xml:space="preserve">by explaining people’s three specific needs for direct relations with data:</w:t>
      </w:r>
    </w:p>
    <w:p>
      <w:pPr>
        <w:numPr>
          <w:ilvl w:val="0"/>
          <w:numId w:val="1004"/>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4"/>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4"/>
        </w:numPr>
        <w:pStyle w:val="Compact"/>
      </w:pPr>
      <w:r>
        <w:rPr>
          <w:bCs/>
          <w:b/>
        </w:rPr>
        <w:t xml:space="preserve">useable</w:t>
      </w:r>
      <w:hyperlink w:anchor="fn12">
        <w:r>
          <w:rPr>
            <w:rStyle w:val="Hyperlink"/>
          </w:rPr>
          <w:t xml:space="preserve">12</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Section</w:t>
      </w:r>
      <w:r>
        <w:t xml:space="preserve"> </w:t>
      </w:r>
      <w:hyperlink w:anchor="X86a6a7bbe6a4ae5c1502558f013f6ed6b9ae6f2">
        <w:r>
          <w:rPr>
            <w:rStyle w:val="Hyperlink"/>
          </w:rPr>
          <w:t xml:space="preserve">6.2</w:t>
        </w:r>
      </w:hyperlink>
      <w:r>
        <w:t xml:space="preserve"> </w:t>
      </w:r>
      <w:r>
        <w:t xml:space="preserve">answers</w:t>
      </w:r>
      <w:r>
        <w:t xml:space="preserve"> </w:t>
      </w:r>
      <w:hyperlink w:anchor="RQ2">
        <w:r>
          <w:rPr>
            <w:rStyle w:val="Hyperlink"/>
          </w:rPr>
          <w:t xml:space="preserve">RQ2</w:t>
        </w:r>
      </w:hyperlink>
      <w:r>
        <w:t xml:space="preserve"> </w:t>
      </w:r>
      <w:r>
        <w:t xml:space="preserve">by explaining the three things people need when they have an indirect relationship to their data because it is held by someone else, such as a service provider:</w:t>
      </w:r>
    </w:p>
    <w:p>
      <w:pPr>
        <w:numPr>
          <w:ilvl w:val="0"/>
          <w:numId w:val="1005"/>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5"/>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5"/>
        </w:numPr>
        <w:pStyle w:val="Compact"/>
      </w:pPr>
      <w:r>
        <w:rPr>
          <w:bCs/>
          <w:b/>
        </w:rPr>
        <w:t xml:space="preserve">involvement</w:t>
      </w:r>
      <w:r>
        <w:t xml:space="preserve"> </w:t>
      </w:r>
      <w:r>
        <w:t xml:space="preserve">in processes and decision making [</w:t>
      </w:r>
      <w:hyperlink w:anchor="X7481ad987ac6949d28340eb658a28e09f325713">
        <w:r>
          <w:rPr>
            <w:rStyle w:val="Hyperlink"/>
          </w:rPr>
          <w:t xml:space="preserve">6.2.3</w:t>
        </w:r>
      </w:hyperlink>
      <w:r>
        <w:t xml:space="preserve">].</w:t>
      </w:r>
    </w:p>
    <w:bookmarkEnd w:id="23"/>
    <w:bookmarkStart w:id="24"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this thesis contributes a new field of research and innovation,</w:t>
      </w:r>
      <w:r>
        <w:t xml:space="preserve"> </w:t>
      </w:r>
      <w:r>
        <w:rPr>
          <w:bCs/>
          <w:b/>
        </w:rPr>
        <w:t xml:space="preserve">Human Data Relations (HDR)</w:t>
      </w:r>
      <w:r>
        <w:t xml:space="preserve">.</w:t>
      </w:r>
      <w:r>
        <w:t xml:space="preserve"> </w:t>
      </w:r>
      <w:hyperlink w:anchor="chapter-2">
        <w:r>
          <w:rPr>
            <w:rStyle w:val="Hyperlink"/>
          </w:rPr>
          <w:t xml:space="preserve">Chapter 2</w:t>
        </w:r>
      </w:hyperlink>
      <w:r>
        <w:t xml:space="preserve"> </w:t>
      </w:r>
      <w:r>
        <w:t xml:space="preserve">reviews existing literature and prior work to explain the problems of data-centrism and limited access to data [</w:t>
      </w:r>
      <w:hyperlink w:anchor="X1f566259c1a3f810256e3679e10faa457bb4a0b">
        <w:r>
          <w:rPr>
            <w:rStyle w:val="Hyperlink"/>
          </w:rPr>
          <w:t xml:space="preserve">2.1</w:t>
        </w:r>
      </w:hyperlink>
      <w:r>
        <w:t xml:space="preserve">]; personal information management and interaction [</w:t>
      </w:r>
      <w:hyperlink w:anchor="X0d5f5f3d469570bf8d9559b0daabada2e4fadfc">
        <w:r>
          <w:rPr>
            <w:rStyle w:val="Hyperlink"/>
          </w:rPr>
          <w:t xml:space="preserve">2.2</w:t>
        </w:r>
      </w:hyperlink>
      <w:r>
        <w:t xml:space="preserve">]; and human-centric perspectives on data [</w:t>
      </w:r>
      <w:hyperlink w:anchor="Xe0d88c5002b6cf7664052f1fc7d652cbdadccec">
        <w:r>
          <w:rPr>
            <w:rStyle w:val="Hyperlink"/>
          </w:rPr>
          <w:t xml:space="preserve">2.3</w:t>
        </w:r>
      </w:hyperlink>
      <w:r>
        <w:t xml:space="preserve">].</w:t>
      </w:r>
      <w:r>
        <w:t xml:space="preserve"> </w:t>
      </w:r>
      <w:r>
        <w:t xml:space="preserve">From this baseline, the participatory academic inquiry into the lived realities data relationships described in Chapters</w:t>
      </w:r>
      <w:r>
        <w:t xml:space="preserve"> </w:t>
      </w:r>
      <w:hyperlink w:anchor="chapter-4">
        <w:r>
          <w:rPr>
            <w:rStyle w:val="Hyperlink"/>
          </w:rPr>
          <w:t xml:space="preserve">4</w:t>
        </w:r>
      </w:hyperlink>
      <w:r>
        <w:t xml:space="preserve">,</w:t>
      </w:r>
      <w:r>
        <w:t xml:space="preserve"> </w:t>
      </w:r>
      <w:hyperlink w:anchor="chapter-5">
        <w:r>
          <w:rPr>
            <w:rStyle w:val="Hyperlink"/>
          </w:rPr>
          <w:t xml:space="preserve">5</w:t>
        </w:r>
      </w:hyperlink>
      <w:r>
        <w:t xml:space="preserve">, and</w:t>
      </w:r>
      <w:r>
        <w:t xml:space="preserve"> </w:t>
      </w:r>
      <w:hyperlink w:anchor="chapter-6">
        <w:r>
          <w:rPr>
            <w:rStyle w:val="Hyperlink"/>
          </w:rPr>
          <w:t xml:space="preserve">6</w:t>
        </w:r>
      </w:hyperlink>
      <w:r>
        <w:t xml:space="preserve">, leads to a synthesis of what people need in data relations.</w:t>
      </w:r>
      <w:r>
        <w:t xml:space="preserve"> </w:t>
      </w:r>
      <w:hyperlink w:anchor="chapter-7">
        <w:r>
          <w:rPr>
            <w:rStyle w:val="Hyperlink"/>
          </w:rPr>
          <w:t xml:space="preserve">Chapter 7</w:t>
        </w:r>
      </w:hyperlink>
      <w:r>
        <w:t xml:space="preserve"> </w:t>
      </w:r>
      <w:r>
        <w:t xml:space="preserve">maps out and contextualises both existing work and new designerly insights and models that could service those needs, and formalises the pursuit a defined field of academic and practical endeavour, Human Data Relations [</w:t>
      </w:r>
      <w:hyperlink w:anchor="Xd90f00e19f5543904caf9ab2abd5b800e0613c0">
        <w:r>
          <w:rPr>
            <w:rStyle w:val="Hyperlink"/>
          </w:rPr>
          <w:t xml:space="preserve">7.2</w:t>
        </w:r>
      </w:hyperlink>
      <w:r>
        <w:t xml:space="preserve">] as the pursuit of four specific objectives:</w:t>
      </w:r>
    </w:p>
    <w:p>
      <w:pPr>
        <w:numPr>
          <w:ilvl w:val="0"/>
          <w:numId w:val="1006"/>
        </w:numPr>
        <w:pStyle w:val="Compact"/>
      </w:pPr>
      <w:r>
        <w:rPr>
          <w:bCs/>
          <w:b/>
        </w:rPr>
        <w:t xml:space="preserve">data awareness and understanding</w:t>
      </w:r>
    </w:p>
    <w:p>
      <w:pPr>
        <w:numPr>
          <w:ilvl w:val="0"/>
          <w:numId w:val="1006"/>
        </w:numPr>
        <w:pStyle w:val="Compact"/>
      </w:pPr>
      <w:r>
        <w:rPr>
          <w:bCs/>
          <w:b/>
        </w:rPr>
        <w:t xml:space="preserve">data useability</w:t>
      </w:r>
    </w:p>
    <w:p>
      <w:pPr>
        <w:numPr>
          <w:ilvl w:val="0"/>
          <w:numId w:val="1006"/>
        </w:numPr>
        <w:pStyle w:val="Compact"/>
      </w:pPr>
      <w:r>
        <w:rPr>
          <w:bCs/>
          <w:b/>
        </w:rPr>
        <w:t xml:space="preserve">data ecosystem awareness and understanding</w:t>
      </w:r>
    </w:p>
    <w:p>
      <w:pPr>
        <w:numPr>
          <w:ilvl w:val="0"/>
          <w:numId w:val="1006"/>
        </w:numPr>
        <w:pStyle w:val="Compact"/>
      </w:pPr>
      <w:r>
        <w:rPr>
          <w:bCs/>
          <w:b/>
        </w:rPr>
        <w:t xml:space="preserve">data ecosystem negotiability</w:t>
      </w:r>
    </w:p>
    <w:p>
      <w:pPr>
        <w:pStyle w:val="FirstParagraph"/>
      </w:pPr>
      <w:r>
        <w:rPr>
          <w:bCs/>
          <w:b/>
        </w:rPr>
        <w:t xml:space="preserve">C4: A clear delineation of two primary motivators for individuals seeking better HDR</w:t>
      </w:r>
    </w:p>
    <w:p>
      <w:pPr>
        <w:pStyle w:val="BodyText"/>
      </w:pPr>
      <w:hyperlink w:anchor="X973e4eb80bdcbcdcf80cb82c61a4bcd0034ab9c">
        <w:r>
          <w:rPr>
            <w:rStyle w:val="Hyperlink"/>
          </w:rPr>
          <w:t xml:space="preserve">7.2.3</w:t>
        </w:r>
      </w:hyperlink>
      <w:r>
        <w:t xml:space="preserve">, informed by both the Case Studies and the peripheral activities [</w:t>
      </w:r>
      <w:hyperlink w:anchor="X04ca063b6845d470c10139c5272853c062aa84e">
        <w:r>
          <w:rPr>
            <w:rStyle w:val="Hyperlink"/>
          </w:rPr>
          <w:t xml:space="preserve">7.1.2</w:t>
        </w:r>
      </w:hyperlink>
      <w:r>
        <w:t xml:space="preserve">], clarifies the two driving motivations for pursuing better HDR:</w:t>
      </w:r>
    </w:p>
    <w:p>
      <w:pPr>
        <w:numPr>
          <w:ilvl w:val="0"/>
          <w:numId w:val="1007"/>
        </w:numPr>
        <w:pStyle w:val="Compact"/>
      </w:pPr>
      <w:r>
        <w:rPr>
          <w:bCs/>
          <w:b/>
        </w:rPr>
        <w:t xml:space="preserve">Life Information Utilisation</w:t>
      </w:r>
      <w:r>
        <w:t xml:space="preserve">, and</w:t>
      </w:r>
    </w:p>
    <w:p>
      <w:pPr>
        <w:numPr>
          <w:ilvl w:val="0"/>
          <w:numId w:val="1007"/>
        </w:numPr>
        <w:pStyle w:val="Compact"/>
      </w:pPr>
      <w:r>
        <w:rPr>
          <w:bCs/>
          <w:b/>
        </w:rPr>
        <w:t xml:space="preserve">Personal Data Ecosystem Control</w:t>
      </w:r>
      <w:r>
        <w:t xml:space="preserve">.</w:t>
      </w:r>
    </w:p>
    <w:p>
      <w:pPr>
        <w:pStyle w:val="FirstParagraph"/>
      </w:pPr>
      <w:r>
        <w:rPr>
          <w:bCs/>
          <w:b/>
        </w:rPr>
        <w:t xml:space="preserve">C5: A map of the HDR landscape, identifying obstacles and insights</w:t>
      </w:r>
    </w:p>
    <w:p>
      <w:pPr>
        <w:pStyle w:val="BodyText"/>
      </w:pPr>
      <w:r>
        <w:t xml:space="preserve">The goal of this thesis is to set the stage for future research and innovation in the newly-defined space of Human Data Relations. Across sections</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the landscape of HDR is mapped out from multiple perspectives.</w:t>
      </w:r>
    </w:p>
    <w:p>
      <w:pPr>
        <w:pStyle w:val="BodyText"/>
      </w:pPr>
      <w:hyperlink w:anchor="X96c51c3d98f021d42ee8c458ed421add6b4adde">
        <w:r>
          <w:rPr>
            <w:rStyle w:val="Hyperlink"/>
          </w:rPr>
          <w:t xml:space="preserve">7.3</w:t>
        </w:r>
      </w:hyperlink>
      <w:r>
        <w:t xml:space="preserve"> </w:t>
      </w:r>
      <w:r>
        <w:t xml:space="preserve">maps out eight obstacles to the pursuit of the HDR objectives, as well as four obstacles that exist in the solution space across all four, including:</w:t>
      </w:r>
    </w:p>
    <w:p>
      <w:pPr>
        <w:numPr>
          <w:ilvl w:val="0"/>
          <w:numId w:val="1008"/>
        </w:numPr>
        <w:pStyle w:val="Compact"/>
      </w:pPr>
      <w:r>
        <w:t xml:space="preserve">the personal data diaspora,</w:t>
      </w:r>
    </w:p>
    <w:p>
      <w:pPr>
        <w:numPr>
          <w:ilvl w:val="0"/>
          <w:numId w:val="1008"/>
        </w:numPr>
        <w:pStyle w:val="Compact"/>
      </w:pPr>
      <w:r>
        <w:t xml:space="preserve">the intractable data self,</w:t>
      </w:r>
    </w:p>
    <w:p>
      <w:pPr>
        <w:numPr>
          <w:ilvl w:val="0"/>
          <w:numId w:val="1008"/>
        </w:numPr>
        <w:pStyle w:val="Compact"/>
      </w:pPr>
      <w:r>
        <w:t xml:space="preserve">immobile, illegible and unmalleable data,</w:t>
      </w:r>
    </w:p>
    <w:p>
      <w:pPr>
        <w:numPr>
          <w:ilvl w:val="0"/>
          <w:numId w:val="1008"/>
        </w:numPr>
        <w:pStyle w:val="Compact"/>
      </w:pPr>
      <w:r>
        <w:t xml:space="preserve">hegemony and active diminishing of user agency by data holders,</w:t>
      </w:r>
    </w:p>
    <w:p>
      <w:pPr>
        <w:numPr>
          <w:ilvl w:val="0"/>
          <w:numId w:val="1008"/>
        </w:numPr>
        <w:pStyle w:val="Compact"/>
      </w:pPr>
      <w:r>
        <w:t xml:space="preserve">closed, introspective and insular practices,</w:t>
      </w:r>
    </w:p>
    <w:p>
      <w:pPr>
        <w:numPr>
          <w:ilvl w:val="0"/>
          <w:numId w:val="1008"/>
        </w:numPr>
        <w:pStyle w:val="Compact"/>
      </w:pPr>
      <w:r>
        <w:t xml:space="preserve">a lack of demand and investment in HDR from individuals and organisations, and</w:t>
      </w:r>
    </w:p>
    <w:p>
      <w:pPr>
        <w:numPr>
          <w:ilvl w:val="0"/>
          <w:numId w:val="1008"/>
        </w:numPr>
        <w:pStyle w:val="Compact"/>
      </w:pPr>
      <w:r>
        <w:t xml:space="preserve">insufficient machine understanding of human data</w:t>
      </w:r>
    </w:p>
    <w:p>
      <w:pPr>
        <w:pStyle w:val="FirstParagraph"/>
      </w:pPr>
      <w:r>
        <w:t xml:space="preserve">To begin to address these obstacles,</w:t>
      </w:r>
      <w:r>
        <w:t xml:space="preserve"> </w:t>
      </w:r>
      <w:hyperlink w:anchor="hdr-insights">
        <w:r>
          <w:rPr>
            <w:rStyle w:val="Hyperlink"/>
          </w:rPr>
          <w:t xml:space="preserve">thirteen insights</w:t>
        </w:r>
      </w:hyperlink>
      <w:r>
        <w:t xml:space="preserve"> </w:t>
      </w:r>
      <w:r>
        <w:t xml:space="preserve">are explained that could seed future research and innovation towards tackling these obstacles:</w:t>
      </w:r>
    </w:p>
    <w:p>
      <w:pPr>
        <w:pStyle w:val="BodyText"/>
      </w:pPr>
      <w:hyperlink w:anchor="insight-1">
        <w:r>
          <w:rPr>
            <w:rStyle w:val="Hyperlink"/>
          </w:rPr>
          <w:t xml:space="preserve">1</w:t>
        </w:r>
      </w:hyperlink>
      <w:r>
        <w:t xml:space="preserve">. Life information makes data relatable.</w:t>
      </w:r>
      <w:r>
        <w:t xml:space="preserve"> </w:t>
      </w:r>
      <w:hyperlink w:anchor="insight-2">
        <w:r>
          <w:rPr>
            <w:rStyle w:val="Hyperlink"/>
          </w:rPr>
          <w:t xml:space="preserve">2</w:t>
        </w:r>
      </w:hyperlink>
      <w:r>
        <w:t xml:space="preserve">. Data needs to be united and unified.</w:t>
      </w:r>
      <w:r>
        <w:t xml:space="preserve"> </w:t>
      </w:r>
      <w:hyperlink w:anchor="insight-3">
        <w:r>
          <w:rPr>
            <w:rStyle w:val="Hyperlink"/>
          </w:rPr>
          <w:t xml:space="preserve">3</w:t>
        </w:r>
      </w:hyperlink>
      <w:r>
        <w:t xml:space="preserve">. Data must be transformed into a versatile material.</w:t>
      </w:r>
      <w:r>
        <w:t xml:space="preserve"> </w:t>
      </w:r>
      <w:hyperlink w:anchor="insight-4">
        <w:r>
          <w:rPr>
            <w:rStyle w:val="Hyperlink"/>
          </w:rPr>
          <w:t xml:space="preserve">4</w:t>
        </w:r>
      </w:hyperlink>
      <w:r>
        <w:t xml:space="preserve">. Ecosystem information is an antidote to digital life complexity.</w:t>
      </w:r>
      <w:r>
        <w:t xml:space="preserve"> </w:t>
      </w:r>
      <w:hyperlink w:anchor="insight-5">
        <w:r>
          <w:rPr>
            <w:rStyle w:val="Hyperlink"/>
          </w:rPr>
          <w:t xml:space="preserve">5</w:t>
        </w:r>
      </w:hyperlink>
      <w:r>
        <w:t xml:space="preserve">. We must know data’s provenance.</w:t>
      </w:r>
      <w:r>
        <w:t xml:space="preserve"> </w:t>
      </w:r>
      <w:hyperlink w:anchor="insight-6">
        <w:r>
          <w:rPr>
            <w:rStyle w:val="Hyperlink"/>
          </w:rPr>
          <w:t xml:space="preserve">6</w:t>
        </w:r>
      </w:hyperlink>
      <w:r>
        <w:t xml:space="preserve">. Data holders exploit four levers of power to manipulate the digital landscape.</w:t>
      </w:r>
      <w:r>
        <w:t xml:space="preserve"> </w:t>
      </w:r>
      <w:hyperlink w:anchor="insight-7">
        <w:r>
          <w:rPr>
            <w:rStyle w:val="Hyperlink"/>
          </w:rPr>
          <w:t xml:space="preserve">7</w:t>
        </w:r>
      </w:hyperlink>
      <w:r>
        <w:t xml:space="preserve">. We need new human-centred information systems that serve human values, relieve pain and deliver new life capabilities.</w:t>
      </w:r>
      <w:r>
        <w:t xml:space="preserve"> </w:t>
      </w:r>
      <w:hyperlink w:anchor="insight-8">
        <w:r>
          <w:rPr>
            <w:rStyle w:val="Hyperlink"/>
          </w:rPr>
          <w:t xml:space="preserve">8</w:t>
        </w:r>
      </w:hyperlink>
      <w:r>
        <w:t xml:space="preserve">. We need to teach computers to understand human information.</w:t>
      </w:r>
      <w:r>
        <w:t xml:space="preserve"> </w:t>
      </w:r>
      <w:hyperlink w:anchor="insight-9">
        <w:r>
          <w:rPr>
            <w:rStyle w:val="Hyperlink"/>
          </w:rPr>
          <w:t xml:space="preserve">9</w:t>
        </w:r>
      </w:hyperlink>
      <w:r>
        <w:t xml:space="preserve">. Individual GDPR requests can compel companies to change data practices.</w:t>
      </w:r>
      <w:r>
        <w:t xml:space="preserve"> </w:t>
      </w:r>
      <w:hyperlink w:anchor="insight-10">
        <w:r>
          <w:rPr>
            <w:rStyle w:val="Hyperlink"/>
          </w:rPr>
          <w:t xml:space="preserve">10</w:t>
        </w:r>
      </w:hyperlink>
      <w:r>
        <w:t xml:space="preserve">. Collectives can compare and unify their data and use it to demand change.</w:t>
      </w:r>
      <w:r>
        <w:t xml:space="preserve"> </w:t>
      </w:r>
      <w:hyperlink w:anchor="insight-11">
        <w:r>
          <w:rPr>
            <w:rStyle w:val="Hyperlink"/>
          </w:rPr>
          <w:t xml:space="preserve">11</w:t>
        </w:r>
      </w:hyperlink>
      <w:r>
        <w:t xml:space="preserve">. Automating the identification of entities can enhance machine understanding and unburden life interface users.</w:t>
      </w:r>
      <w:r>
        <w:t xml:space="preserve"> </w:t>
      </w:r>
      <w:hyperlink w:anchor="insight-12">
        <w:r>
          <w:rPr>
            <w:rStyle w:val="Hyperlink"/>
          </w:rPr>
          <w:t xml:space="preserve">12</w:t>
        </w:r>
      </w:hyperlink>
      <w:r>
        <w:t xml:space="preserve">. The</w:t>
      </w:r>
      <w:r>
        <w:t xml:space="preserve"> </w:t>
      </w:r>
      <w:r>
        <w:t xml:space="preserve">‘</w:t>
      </w:r>
      <w:r>
        <w:t xml:space="preserve">seams</w:t>
      </w:r>
      <w:r>
        <w:t xml:space="preserve">’</w:t>
      </w:r>
      <w:r>
        <w:t xml:space="preserve"> </w:t>
      </w:r>
      <w:r>
        <w:t xml:space="preserve">of Digital Services need to be identified, exploited and protected.</w:t>
      </w:r>
      <w:r>
        <w:t xml:space="preserve"> </w:t>
      </w:r>
      <w:hyperlink w:anchor="insight-13">
        <w:r>
          <w:rPr>
            <w:rStyle w:val="Hyperlink"/>
          </w:rPr>
          <w:t xml:space="preserve">13</w:t>
        </w:r>
      </w:hyperlink>
      <w:r>
        <w:t xml:space="preserve">. It is possible (and necessary) to demonstrate business benefits of transparency and human-centricity.</w:t>
      </w:r>
    </w:p>
    <w:p>
      <w:pPr>
        <w:pStyle w:val="BodyText"/>
      </w:pPr>
      <w:r>
        <w:rPr>
          <w:bCs/>
          <w:b/>
        </w:rPr>
        <w:t xml:space="preserve">C6: Four identified trajectories for advancing Human Data Relations</w:t>
      </w:r>
    </w:p>
    <w:p>
      <w:pPr>
        <w:pStyle w:val="BodyText"/>
      </w:pPr>
      <w:r>
        <w:t xml:space="preserve">Section</w:t>
      </w:r>
      <w:r>
        <w:t xml:space="preserve"> </w:t>
      </w:r>
      <w:hyperlink w:anchor="X40141584308035bb03b454584dbe23925c8bab3">
        <w:r>
          <w:rPr>
            <w:rStyle w:val="Hyperlink"/>
          </w:rPr>
          <w:t xml:space="preserve">7.4</w:t>
        </w:r>
      </w:hyperlink>
      <w:r>
        <w:t xml:space="preserve"> </w:t>
      </w:r>
      <w:r>
        <w:t xml:space="preserve">explains, with detailed real-world examples and original design work from the author’s peripheral work in industry, four distinct approaches for furthering the cause of HDR:</w:t>
      </w:r>
    </w:p>
    <w:p>
      <w:pPr>
        <w:numPr>
          <w:ilvl w:val="0"/>
          <w:numId w:val="1009"/>
        </w:numPr>
        <w:pStyle w:val="Compact"/>
      </w:pPr>
      <w:r>
        <w:rPr>
          <w:bCs/>
          <w:b/>
        </w:rPr>
        <w:t xml:space="preserve">Discovery-Driven Activism</w:t>
      </w:r>
      <w:r>
        <w:t xml:space="preserve"> </w:t>
      </w:r>
      <w:r>
        <w:t xml:space="preserve">[</w:t>
      </w:r>
      <w:hyperlink w:anchor="approach-1">
        <w:r>
          <w:rPr>
            <w:rStyle w:val="Hyperlink"/>
          </w:rPr>
          <w:t xml:space="preserve">7.4.2</w:t>
        </w:r>
      </w:hyperlink>
      <w:r>
        <w:t xml:space="preserve">]</w:t>
      </w:r>
    </w:p>
    <w:p>
      <w:pPr>
        <w:numPr>
          <w:ilvl w:val="0"/>
          <w:numId w:val="1009"/>
        </w:numPr>
        <w:pStyle w:val="Compact"/>
      </w:pPr>
      <w:r>
        <w:rPr>
          <w:bCs/>
          <w:b/>
        </w:rPr>
        <w:t xml:space="preserve">Building the Human-Centric Future</w:t>
      </w:r>
      <w:r>
        <w:t xml:space="preserve"> </w:t>
      </w:r>
      <w:r>
        <w:t xml:space="preserve">[</w:t>
      </w:r>
      <w:hyperlink w:anchor="approach-2">
        <w:r>
          <w:rPr>
            <w:rStyle w:val="Hyperlink"/>
          </w:rPr>
          <w:t xml:space="preserve">7.4.3</w:t>
        </w:r>
      </w:hyperlink>
      <w:r>
        <w:t xml:space="preserve">]</w:t>
      </w:r>
    </w:p>
    <w:p>
      <w:pPr>
        <w:numPr>
          <w:ilvl w:val="0"/>
          <w:numId w:val="1009"/>
        </w:numPr>
        <w:pStyle w:val="Compact"/>
      </w:pPr>
      <w:r>
        <w:rPr>
          <w:bCs/>
          <w:b/>
        </w:rPr>
        <w:t xml:space="preserve">Defending User Autonomy and Hacking the Information Landscape</w:t>
      </w:r>
      <w:r>
        <w:t xml:space="preserve"> </w:t>
      </w:r>
      <w:r>
        <w:t xml:space="preserve">[</w:t>
      </w:r>
      <w:hyperlink w:anchor="approach-3">
        <w:r>
          <w:rPr>
            <w:rStyle w:val="Hyperlink"/>
          </w:rPr>
          <w:t xml:space="preserve">7.4.4</w:t>
        </w:r>
      </w:hyperlink>
      <w:r>
        <w:t xml:space="preserve">]</w:t>
      </w:r>
    </w:p>
    <w:p>
      <w:pPr>
        <w:numPr>
          <w:ilvl w:val="0"/>
          <w:numId w:val="1009"/>
        </w:numPr>
        <w:pStyle w:val="Compact"/>
      </w:pPr>
      <w:r>
        <w:rPr>
          <w:bCs/>
          <w:b/>
        </w:rPr>
        <w:t xml:space="preserve">Teaching, Championing and Selling the HDR Vision</w:t>
      </w:r>
      <w:r>
        <w:t xml:space="preserve"> </w:t>
      </w:r>
      <w:r>
        <w:t xml:space="preserve">[</w:t>
      </w:r>
      <w:hyperlink w:anchor="approach-4">
        <w:r>
          <w:rPr>
            <w:rStyle w:val="Hyperlink"/>
          </w:rPr>
          <w:t xml:space="preserve">7.4.5</w:t>
        </w:r>
      </w:hyperlink>
      <w:r>
        <w:t xml:space="preserve">]</w:t>
      </w:r>
    </w:p>
    <w:p>
      <w:pPr>
        <w:pStyle w:val="FirstParagraph"/>
      </w:pPr>
      <w:r>
        <w:rPr>
          <w:bCs/>
          <w:b/>
        </w:rPr>
        <w:t xml:space="preserve">C7: A reframing of data literacy for the HDR space</w:t>
      </w:r>
    </w:p>
    <w:p>
      <w:pPr>
        <w:pStyle w:val="BodyText"/>
      </w:pPr>
      <w:r>
        <w:t xml:space="preserve">Section</w:t>
      </w:r>
      <w:r>
        <w:t xml:space="preserve"> </w:t>
      </w:r>
      <w:hyperlink w:anchor="X33b4cf25384363ac565ef3c7838bb451c8a241b">
        <w:r>
          <w:rPr>
            <w:rStyle w:val="Hyperlink"/>
          </w:rPr>
          <w:t xml:space="preserve">7.4.5</w:t>
        </w:r>
      </w:hyperlink>
      <w:r>
        <w:t xml:space="preserve"> </w:t>
      </w:r>
      <w:r>
        <w:t xml:space="preserve">broadens existing conceptions of</w:t>
      </w:r>
      <w:r>
        <w:t xml:space="preserve"> </w:t>
      </w:r>
      <w:r>
        <w:rPr>
          <w:iCs/>
          <w:i/>
        </w:rPr>
        <w:t xml:space="preserve">data literacy</w:t>
      </w:r>
      <w:r>
        <w:t xml:space="preserve"> </w:t>
      </w:r>
      <w:r>
        <w:t xml:space="preserve">that include critical thinking, numerical analysis and arguing using data, to describe additional skills that people will need to develop if they are to become fully</w:t>
      </w:r>
      <w:r>
        <w:t xml:space="preserve"> </w:t>
      </w:r>
      <w:r>
        <w:rPr>
          <w:bCs/>
          <w:b/>
          <w:iCs/>
          <w:i/>
        </w:rPr>
        <w:t xml:space="preserve">HDR literate</w:t>
      </w:r>
      <w:r>
        <w:t xml:space="preserve">:</w:t>
      </w:r>
    </w:p>
    <w:p>
      <w:pPr>
        <w:numPr>
          <w:ilvl w:val="0"/>
          <w:numId w:val="1010"/>
        </w:numPr>
        <w:pStyle w:val="Compact"/>
      </w:pPr>
      <w:r>
        <w:t xml:space="preserve">appreciating the value of personal data;</w:t>
      </w:r>
    </w:p>
    <w:p>
      <w:pPr>
        <w:numPr>
          <w:ilvl w:val="0"/>
          <w:numId w:val="1010"/>
        </w:numPr>
        <w:pStyle w:val="Compact"/>
      </w:pPr>
      <w:r>
        <w:t xml:space="preserve">understanding the implications of organisational data use;</w:t>
      </w:r>
    </w:p>
    <w:p>
      <w:pPr>
        <w:numPr>
          <w:ilvl w:val="0"/>
          <w:numId w:val="1010"/>
        </w:numPr>
        <w:pStyle w:val="Compact"/>
      </w:pPr>
      <w:r>
        <w:t xml:space="preserve">recognising why portable data and app/data separation is important;</w:t>
      </w:r>
    </w:p>
    <w:p>
      <w:pPr>
        <w:numPr>
          <w:ilvl w:val="0"/>
          <w:numId w:val="1010"/>
        </w:numPr>
        <w:pStyle w:val="Compact"/>
      </w:pPr>
      <w:r>
        <w:t xml:space="preserve">knowing how to exercise data rights and evaluate responses;</w:t>
      </w:r>
    </w:p>
    <w:p>
      <w:pPr>
        <w:numPr>
          <w:ilvl w:val="0"/>
          <w:numId w:val="1010"/>
        </w:numPr>
        <w:pStyle w:val="Compact"/>
      </w:pPr>
      <w:r>
        <w:t xml:space="preserve">identifying diminishing agency and erosions of a free and fair information landscape.</w:t>
      </w:r>
    </w:p>
    <w:bookmarkEnd w:id="24"/>
    <w:bookmarkStart w:id="25"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C8: Validation and enumeration of supported families’ attitudes and needs around civic data</w:t>
      </w:r>
    </w:p>
    <w:p>
      <w:pPr>
        <w:pStyle w:val="BodyText"/>
      </w:pPr>
      <w:r>
        <w:t xml:space="preserve">The pilot study [</w:t>
      </w:r>
      <w:hyperlink w:anchor="Xcefc2f8651dab1dca3f5569d5c8495d75f8956a">
        <w:r>
          <w:rPr>
            <w:rStyle w:val="Hyperlink"/>
          </w:rPr>
          <w:t xml:space="preserve">1.3.1</w:t>
        </w:r>
      </w:hyperlink>
      <w:r>
        <w:t xml:space="preserve">] and its continuation through Case Study One [</w:t>
      </w:r>
      <w:hyperlink w:anchor="chapter-4">
        <w:r>
          <w:rPr>
            <w:rStyle w:val="Hyperlink"/>
          </w:rPr>
          <w:t xml:space="preserve">Chapter 4</w:t>
        </w:r>
      </w:hyperlink>
      <w:r>
        <w:t xml:space="preserve">] was useful to validate that people do feel the effects of data records about them and, contrary to early expectations, do care about data access.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w:t>
      </w:r>
    </w:p>
    <w:p>
      <w:pPr>
        <w:numPr>
          <w:ilvl w:val="0"/>
          <w:numId w:val="1011"/>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1"/>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1"/>
        </w:numPr>
        <w:pStyle w:val="Compact"/>
      </w:pPr>
      <w:r>
        <w:rPr>
          <w:bCs/>
          <w:b/>
        </w:rPr>
        <w:t xml:space="preserve">Transparency over data can improve trust</w:t>
      </w:r>
      <w:r>
        <w:t xml:space="preserve"> </w:t>
      </w:r>
      <w:r>
        <w:t xml:space="preserve">in support services.</w:t>
      </w:r>
    </w:p>
    <w:p>
      <w:pPr>
        <w:pStyle w:val="FirstParagraph"/>
      </w:pPr>
      <w:r>
        <w:rPr>
          <w:bCs/>
          <w:b/>
        </w:rPr>
        <w:t xml:space="preserve">C9:</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Support service providers want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w:t>
      </w:r>
      <w:hyperlink w:anchor="Xdecc0e8ff84b4e8fdb98d4490fcb5b15d4e95fa">
        <w:r>
          <w:rPr>
            <w:rStyle w:val="Hyperlink"/>
          </w:rPr>
          <w:t xml:space="preserve">4.2.4</w:t>
        </w:r>
      </w:hyperlink>
      <w:r>
        <w:t xml:space="preserve">] describes a novel model that has the potential to address both parties’ conflicting needs and enhance the support relationship:</w:t>
      </w:r>
      <w:r>
        <w:t xml:space="preserve"> </w:t>
      </w:r>
      <w:r>
        <w:rPr>
          <w:iCs/>
          <w:i/>
        </w:rPr>
        <w:t xml:space="preserve">Shared Data Interaction</w:t>
      </w:r>
      <w:r>
        <w:t xml:space="preserve">. While this was not evaluated in the field, it is consistent with emergent practices [</w:t>
      </w:r>
      <w:hyperlink w:anchor="X5c213d3f7d5eb3b3913f2bcc99b547ab52233a9">
        <w:r>
          <w:rPr>
            <w:rStyle w:val="Hyperlink"/>
          </w:rPr>
          <w:t xml:space="preserve">4.3.1</w:t>
        </w:r>
      </w:hyperlink>
      <w:r>
        <w:t xml:space="preserve">], and, after thorough exploration by participants [</w:t>
      </w:r>
      <w:hyperlink w:anchor="table-3.1">
        <w:r>
          <w:rPr>
            <w:rStyle w:val="Hyperlink"/>
          </w:rPr>
          <w:t xml:space="preserve">Table 3.1</w:t>
        </w:r>
      </w:hyperlink>
      <w:r>
        <w:t xml:space="preserve">] - was perceived to be beneficial. The benefits (and challenges) of such an approach are explored thoroughly in [</w:t>
      </w:r>
      <w:hyperlink w:anchor="X8a50e98458a9c28886ed15ffb2cc666b2d3d49b">
        <w:r>
          <w:rPr>
            <w:rStyle w:val="Hyperlink"/>
          </w:rPr>
          <w:t xml:space="preserve">4.4.3</w:t>
        </w:r>
      </w:hyperlink>
      <w:r>
        <w:t xml:space="preserve">]. The success of this study’s methodology [</w:t>
      </w:r>
      <w:hyperlink w:anchor="X464e9f2e5e0cf52e9c26d3864e71249d73ea33a">
        <w:r>
          <w:rPr>
            <w:rStyle w:val="Hyperlink"/>
          </w:rPr>
          <w:t xml:space="preserve">3.5.2</w:t>
        </w:r>
      </w:hyperlink>
      <w:r>
        <w:t xml:space="preserve">] provides further evidence for the effectiveness of bringing people together around representations of data,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5"/>
    <w:bookmarkStart w:id="26"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C10: A model to understand the five different origins of held personal data</w:t>
      </w:r>
    </w:p>
    <w:p>
      <w:pPr>
        <w:pStyle w:val="BodyText"/>
      </w:pPr>
      <w:r>
        <w:t xml:space="preserve">[</w:t>
      </w:r>
      <w:hyperlink w:anchor="table-5.2">
        <w:r>
          <w:rPr>
            <w:rStyle w:val="Hyperlink"/>
          </w:rPr>
          <w:t xml:space="preserve">Table 5.2</w:t>
        </w:r>
      </w:hyperlink>
      <w:r>
        <w:t xml:space="preserve">] describes five different types of data organisations can hold about individuals:</w:t>
      </w:r>
    </w:p>
    <w:p>
      <w:pPr>
        <w:numPr>
          <w:ilvl w:val="0"/>
          <w:numId w:val="1012"/>
        </w:numPr>
        <w:pStyle w:val="Compact"/>
      </w:pPr>
      <w:r>
        <w:rPr>
          <w:bCs/>
          <w:b/>
        </w:rPr>
        <w:t xml:space="preserve">Volunteered Data</w:t>
      </w:r>
    </w:p>
    <w:p>
      <w:pPr>
        <w:numPr>
          <w:ilvl w:val="0"/>
          <w:numId w:val="1012"/>
        </w:numPr>
        <w:pStyle w:val="Compact"/>
      </w:pPr>
      <w:r>
        <w:rPr>
          <w:bCs/>
          <w:b/>
        </w:rPr>
        <w:t xml:space="preserve">Observed Data</w:t>
      </w:r>
    </w:p>
    <w:p>
      <w:pPr>
        <w:numPr>
          <w:ilvl w:val="0"/>
          <w:numId w:val="1012"/>
        </w:numPr>
        <w:pStyle w:val="Compact"/>
      </w:pPr>
      <w:r>
        <w:rPr>
          <w:bCs/>
          <w:b/>
        </w:rPr>
        <w:t xml:space="preserve">Derived Data</w:t>
      </w:r>
    </w:p>
    <w:p>
      <w:pPr>
        <w:numPr>
          <w:ilvl w:val="0"/>
          <w:numId w:val="1012"/>
        </w:numPr>
        <w:pStyle w:val="Compact"/>
      </w:pPr>
      <w:r>
        <w:rPr>
          <w:bCs/>
          <w:b/>
        </w:rPr>
        <w:t xml:space="preserve">Acquired Data</w:t>
      </w:r>
    </w:p>
    <w:p>
      <w:pPr>
        <w:numPr>
          <w:ilvl w:val="0"/>
          <w:numId w:val="1012"/>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C11: A rich understanding of the lived experience of accessing data using GDPR rights and of motivations for GDPR data access</w:t>
      </w:r>
    </w:p>
    <w:p>
      <w:pPr>
        <w:pStyle w:val="BodyText"/>
      </w:pPr>
      <w:r>
        <w:t xml:space="preserve">Case Study Two fills a research gap in understanding the human experience of using GDPR to access one’s personal data. The findings [</w:t>
      </w:r>
      <w:hyperlink w:anchor="Xe764b34bb9cf18ff85fc0a77c2cd10063248c10">
        <w:r>
          <w:rPr>
            <w:rStyle w:val="Hyperlink"/>
          </w:rPr>
          <w:t xml:space="preserve">5.4</w:t>
        </w:r>
      </w:hyperlink>
      <w:r>
        <w:t xml:space="preserve">] confirm previous research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and contribute new knowledge by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w:t>
      </w:r>
      <w:r>
        <w:t xml:space="preserve"> </w:t>
      </w:r>
      <w:hyperlink w:anchor="table-5.4">
        <w:r>
          <w:rPr>
            <w:rStyle w:val="Hyperlink"/>
          </w:rPr>
          <w:t xml:space="preserve">Table 5.4</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C12: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C13: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3"/>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3"/>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3"/>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C14: A proto-methodology for educating individuals about held data, data access and the data ecosystem</w:t>
      </w:r>
    </w:p>
    <w:p>
      <w:pPr>
        <w:pStyle w:val="BodyText"/>
      </w:pPr>
      <w:r>
        <w:t xml:space="preserve">While it was not designed as a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The creation of this methodology resulted in this author being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w:t>
      </w:r>
      <w:r>
        <w:t xml:space="preserve"> </w:t>
      </w:r>
      <w:r>
        <w:rPr>
          <w:bCs/>
          <w:b/>
        </w:rPr>
        <w:t xml:space="preserve">adopted Case Study Two’s methodology</w:t>
      </w:r>
      <w:r>
        <w:t xml:space="preserve">, with some adaptation and broadening of scope, for an extensive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6"/>
    <w:bookmarkEnd w:id="27"/>
    <w:bookmarkStart w:id="52" w:name="Xafe7d50c10921ac0f9f899939231a737e7dc2b2"/>
    <w:p>
      <w:pPr>
        <w:pStyle w:val="Heading2"/>
      </w:pPr>
      <w:r>
        <w:rPr>
          <w:rStyle w:val="SectionNumber"/>
        </w:rPr>
        <w:t xml:space="preserve">1.3</w:t>
      </w:r>
      <w:r>
        <w:tab/>
      </w:r>
      <w:r>
        <w:t xml:space="preserve">Publications arising from and connected to this research</w:t>
      </w:r>
    </w:p>
    <w:bookmarkStart w:id="31"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28"/>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29">
        <w:r>
          <w:rPr>
            <w:rStyle w:val="Hyperlink"/>
          </w:rPr>
          <w:t xml:space="preserve">presented at</w:t>
        </w:r>
      </w:hyperlink>
      <w:r>
        <w:t xml:space="preserve"> </w:t>
      </w:r>
      <w:r>
        <w:t xml:space="preserve">CHI 2018:</w:t>
      </w:r>
    </w:p>
    <w:p>
      <w:pPr>
        <w:numPr>
          <w:ilvl w:val="0"/>
          <w:numId w:val="1014"/>
        </w:numPr>
        <w:pStyle w:val="Compact"/>
      </w:pPr>
      <w:r>
        <w:t xml:space="preserve">“</w:t>
      </w:r>
      <w:hyperlink r:id="rId30">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w:t>
      </w:r>
      <w:r>
        <w:t xml:space="preserve"> </w:t>
      </w:r>
      <w:hyperlink w:anchor="chapter-4">
        <w:r>
          <w:rPr>
            <w:rStyle w:val="Hyperlink"/>
          </w:rPr>
          <w:t xml:space="preserve">4</w:t>
        </w:r>
      </w:hyperlink>
      <w:r>
        <w:t xml:space="preserve">,</w:t>
      </w:r>
      <w:r>
        <w:t xml:space="preserve"> </w:t>
      </w:r>
      <w:hyperlink w:anchor="chapter-6">
        <w:r>
          <w:rPr>
            <w:rStyle w:val="Hyperlink"/>
          </w:rPr>
          <w:t xml:space="preserve">6</w:t>
        </w:r>
      </w:hyperlink>
      <w:r>
        <w:t xml:space="preserve"> </w:t>
      </w:r>
      <w:r>
        <w:t xml:space="preserve">and</w:t>
      </w:r>
      <w:r>
        <w:t xml:space="preserve"> </w:t>
      </w:r>
      <w:hyperlink w:anchor="chapter-7">
        <w:r>
          <w:rPr>
            <w:rStyle w:val="Hyperlink"/>
          </w:rPr>
          <w:t xml:space="preserve">7</w:t>
        </w:r>
      </w:hyperlink>
      <w:r>
        <w:t xml:space="preserve">. The paper is included in full in</w:t>
      </w:r>
      <w:r>
        <w:t xml:space="preserve"> </w:t>
      </w:r>
      <w:hyperlink w:anchor="appendix-A">
        <w:r>
          <w:rPr>
            <w:rStyle w:val="Hyperlink"/>
          </w:rPr>
          <w:t xml:space="preserve">Appendix A</w:t>
        </w:r>
      </w:hyperlink>
      <w:r>
        <w:t xml:space="preserve">.</w:t>
      </w:r>
    </w:p>
    <w:bookmarkEnd w:id="31"/>
    <w:bookmarkStart w:id="51" w:name="X12922418c775c428a953a3113e443ec31059d4f"/>
    <w:p>
      <w:pPr>
        <w:pStyle w:val="Heading3"/>
      </w:pPr>
      <w:r>
        <w:rPr>
          <w:rStyle w:val="SectionNumber"/>
        </w:rPr>
        <w:t xml:space="preserve">1.3.2</w:t>
      </w:r>
      <w:r>
        <w:tab/>
      </w:r>
      <w:r>
        <w:t xml:space="preserve">Primary Case studies</w:t>
      </w:r>
    </w:p>
    <w:p>
      <w:pPr>
        <w:pStyle w:val="FirstParagraph"/>
      </w:pPr>
      <w:r>
        <w:rPr>
          <w:bCs/>
          <w:b/>
        </w:rPr>
        <w:t xml:space="preserve">Publications from Case Study One</w:t>
      </w:r>
    </w:p>
    <w:p>
      <w:pPr>
        <w:pStyle w:val="BodyText"/>
      </w:pPr>
      <w:r>
        <w:t xml:space="preserve">The work exploring shared data interaction in Early Help carried out in Case Study One has been initially published as an Extended Abstract at CHI 2019:</w:t>
      </w:r>
    </w:p>
    <w:p>
      <w:pPr>
        <w:numPr>
          <w:ilvl w:val="0"/>
          <w:numId w:val="1015"/>
        </w:numPr>
        <w:pStyle w:val="Compact"/>
      </w:pPr>
      <w:r>
        <w:t xml:space="preserve">“</w:t>
      </w:r>
      <w:hyperlink r:id="rId32">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full journal paper of Case Study One is in prep.</w:t>
      </w:r>
    </w:p>
    <w:p>
      <w:pPr>
        <w:pStyle w:val="CaptionedFigure"/>
      </w:pPr>
      <w:bookmarkStart w:id="36" w:name="figure-1.1"/>
      <w:r>
        <w:drawing>
          <wp:inline>
            <wp:extent cx="5334000" cy="7541887"/>
            <wp:effectExtent b="0" l="0" r="0" t="0"/>
            <wp:docPr descr="Figure 1.1: Poster Presentation of Case Study One" title="" id="34" name="Picture"/>
            <a:graphic>
              <a:graphicData uri="http://schemas.openxmlformats.org/drawingml/2006/picture">
                <pic:pic>
                  <pic:nvPicPr>
                    <pic:cNvPr descr="./src/figs/fig1.1-hdi-in-care-poster.png" id="35" name="Picture"/>
                    <pic:cNvPicPr>
                      <a:picLocks noChangeArrowheads="1" noChangeAspect="1"/>
                    </pic:cNvPicPr>
                  </pic:nvPicPr>
                  <pic:blipFill>
                    <a:blip r:embed="rId33"/>
                    <a:stretch>
                      <a:fillRect/>
                    </a:stretch>
                  </pic:blipFill>
                  <pic:spPr bwMode="auto">
                    <a:xfrm>
                      <a:off x="0" y="0"/>
                      <a:ext cx="5334000" cy="7541887"/>
                    </a:xfrm>
                    <a:prstGeom prst="rect">
                      <a:avLst/>
                    </a:prstGeom>
                    <a:noFill/>
                    <a:ln w="9525">
                      <a:noFill/>
                      <a:headEnd/>
                      <a:tailEnd/>
                    </a:ln>
                  </pic:spPr>
                </pic:pic>
              </a:graphicData>
            </a:graphic>
          </wp:inline>
        </w:drawing>
      </w:r>
      <w:bookmarkEnd w:id="36"/>
    </w:p>
    <w:p>
      <w:pPr>
        <w:pStyle w:val="ImageCaption"/>
      </w:pPr>
      <w:r>
        <w:t xml:space="preserve">Figure 1.1: Poster Presentation of Case Study One</w:t>
      </w:r>
    </w:p>
    <w:p>
      <w:pPr>
        <w:pStyle w:val="BodyText"/>
      </w:pPr>
      <w:r>
        <w:rPr>
          <w:bCs/>
          <w:b/>
        </w:rPr>
        <w:t xml:space="preserve">Publication from Case Study Two</w:t>
      </w:r>
    </w:p>
    <w:p>
      <w:pPr>
        <w:pStyle w:val="BodyText"/>
      </w:pPr>
      <w:r>
        <w:t xml:space="preserve">The work exploring the human experience of GDPR data access carried out in Case Study Two has been published</w:t>
      </w:r>
      <w:r>
        <w:t xml:space="preserve"> </w:t>
      </w:r>
      <w:hyperlink r:id="rId37">
        <w:r>
          <w:rPr>
            <w:rStyle w:val="Hyperlink"/>
          </w:rPr>
          <w:t xml:space="preserve">and presented</w:t>
        </w:r>
      </w:hyperlink>
      <w:r>
        <w:t xml:space="preserve"> </w:t>
      </w:r>
      <w:r>
        <w:t xml:space="preserve">as a full first-author paper at CHI 2022, where it was awarded an</w:t>
      </w:r>
      <w:r>
        <w:t xml:space="preserve"> </w:t>
      </w:r>
      <w:r>
        <w:rPr>
          <w:iCs/>
          <w:i/>
        </w:rPr>
        <w:t xml:space="preserve">Honourable Mention</w:t>
      </w:r>
      <w:r>
        <w:t xml:space="preserve">:</w:t>
      </w:r>
    </w:p>
    <w:p>
      <w:pPr>
        <w:numPr>
          <w:ilvl w:val="0"/>
          <w:numId w:val="1016"/>
        </w:numPr>
        <w:pStyle w:val="Compact"/>
      </w:pPr>
      <w:hyperlink r:id="rId38">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p>
      <w:pPr>
        <w:pStyle w:val="BodyText"/>
      </w:pPr>
      <w:r>
        <w:rPr>
          <w:bCs/>
          <w:b/>
        </w:rPr>
        <w:t xml:space="preserve">Workshop Papers &amp; Presentations</w:t>
      </w:r>
    </w:p>
    <w:p>
      <w:pPr>
        <w:pStyle w:val="BodyText"/>
      </w:pPr>
      <w:r>
        <w:t xml:space="preserve">During the PhD, I gave a number of additional presentations and published three workshop papers which included material from, or directly contributed to, this thesis and its arguments.</w:t>
      </w:r>
    </w:p>
    <w:p>
      <w:pPr>
        <w:numPr>
          <w:ilvl w:val="0"/>
          <w:numId w:val="1017"/>
        </w:numPr>
        <w:pStyle w:val="Compact"/>
      </w:pPr>
      <w:hyperlink r:id="rId39">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7"/>
        </w:numPr>
        <w:pStyle w:val="Compact"/>
      </w:pPr>
      <w:hyperlink r:id="rId40">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7"/>
        </w:numPr>
        <w:pStyle w:val="Compact"/>
      </w:pPr>
      <w:hyperlink r:id="rId41">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7"/>
        </w:numPr>
        <w:pStyle w:val="Compact"/>
      </w:pPr>
      <w:hyperlink r:id="rId42">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w:t>
      </w:r>
      <w:hyperlink w:anchor="ref-bowyer2020lecture">
        <w:r>
          <w:rPr>
            <w:rStyle w:val="Hyperlink"/>
          </w:rPr>
          <w:t xml:space="preserve">Bowyer, 2020b</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7"/>
        </w:numPr>
        <w:pStyle w:val="Compact"/>
      </w:pPr>
      <w:hyperlink r:id="rId43">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3-minute thesis competition, and was co-winner of the people’s choice prize;</w:t>
      </w:r>
    </w:p>
    <w:p>
      <w:pPr>
        <w:numPr>
          <w:ilvl w:val="0"/>
          <w:numId w:val="1017"/>
        </w:numPr>
        <w:pStyle w:val="Compact"/>
      </w:pPr>
      <w:hyperlink r:id="rId44">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A workshop paper I presented at CHI 2021, where I first outlined my model of the two motivating factors for interacting with personal data.</w:t>
      </w:r>
    </w:p>
    <w:p>
      <w:pPr>
        <w:pStyle w:val="FirstParagraph"/>
      </w:pPr>
      <w:r>
        <w:rPr>
          <w:bCs/>
          <w:b/>
        </w:rPr>
        <w:t xml:space="preserve">Publications from Peripheral Work</w:t>
      </w:r>
    </w:p>
    <w:p>
      <w:pPr>
        <w:pStyle w:val="BodyText"/>
      </w:pPr>
      <w:r>
        <w:t xml:space="preserve">During the same timeframe as this PhD, I have also contributed to a number of publications through peripheral work [</w:t>
      </w:r>
      <w:hyperlink w:anchor="X04ca063b6845d470c10139c5272853c062aa84e">
        <w:r>
          <w:rPr>
            <w:rStyle w:val="Hyperlink"/>
          </w:rPr>
          <w:t xml:space="preserve">7.1.2</w:t>
        </w:r>
      </w:hyperlink>
      <w:r>
        <w:t xml:space="preserve">]:</w:t>
      </w:r>
    </w:p>
    <w:p>
      <w:pPr>
        <w:numPr>
          <w:ilvl w:val="0"/>
          <w:numId w:val="1018"/>
        </w:numPr>
        <w:pStyle w:val="Compact"/>
      </w:pPr>
      <w:r>
        <w:t xml:space="preserve">As a researcher and developer on the SILVER project [</w:t>
      </w:r>
      <w:hyperlink w:anchor="Xd1b935e29e3fe3be100369af902a8e47d687d29">
        <w:r>
          <w:rPr>
            <w:rStyle w:val="Hyperlink"/>
          </w:rPr>
          <w:t xml:space="preserve">3.4.1</w:t>
        </w:r>
      </w:hyperlink>
      <w:r>
        <w:t xml:space="preserve">], my work contributed towards an internal report to CHC as well and the</w:t>
      </w:r>
      <w:r>
        <w:t xml:space="preserve"> </w:t>
      </w:r>
      <w:hyperlink r:id="rId45">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w:t>
      </w:r>
    </w:p>
    <w:p>
      <w:pPr>
        <w:numPr>
          <w:ilvl w:val="0"/>
          <w:numId w:val="1018"/>
        </w:numPr>
        <w:pStyle w:val="Compact"/>
      </w:pPr>
      <w:r>
        <w:t xml:space="preserve">Also for SILVER, I published</w:t>
      </w:r>
      <w:r>
        <w:t xml:space="preserve"> </w:t>
      </w:r>
      <w:hyperlink r:id="rId46">
        <w:r>
          <w:rPr>
            <w:rStyle w:val="Hyperlink"/>
          </w:rPr>
          <w:t xml:space="preserve">demonstration videos</w:t>
        </w:r>
      </w:hyperlink>
      <w:r>
        <w:t xml:space="preserve"> </w:t>
      </w:r>
      <w:r>
        <w:t xml:space="preserve">(</w:t>
      </w:r>
      <w:hyperlink w:anchor="ref-bowyer2019silvervideo">
        <w:r>
          <w:rPr>
            <w:rStyle w:val="Hyperlink"/>
          </w:rPr>
          <w:t xml:space="preserve">Bowyer and Wheater, no date</w:t>
        </w:r>
      </w:hyperlink>
      <w:r>
        <w:t xml:space="preserve">)</w:t>
      </w:r>
      <w:r>
        <w:t xml:space="preserve"> </w:t>
      </w:r>
      <w:r>
        <w:t xml:space="preserve">of a health data interface prototype developed by myself and Stuart Wheater.</w:t>
      </w:r>
    </w:p>
    <w:p>
      <w:pPr>
        <w:numPr>
          <w:ilvl w:val="0"/>
          <w:numId w:val="1018"/>
        </w:numPr>
        <w:pStyle w:val="Compact"/>
      </w:pPr>
      <w:r>
        <w:t xml:space="preserve">I was co-author to two research publications</w:t>
      </w:r>
      <w:r>
        <w:t xml:space="preserve"> </w:t>
      </w:r>
      <w:hyperlink r:id="rId47">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48">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8"/>
        </w:numPr>
        <w:pStyle w:val="Compact"/>
      </w:pPr>
      <w:r>
        <w:t xml:space="preserve">As a presearch intern at BBC R&amp;D](#ari-bbc), I published an internal research report</w:t>
      </w:r>
      <w:r>
        <w:t xml:space="preserve"> </w:t>
      </w:r>
      <w:r>
        <w:t xml:space="preserve">(</w:t>
      </w:r>
      <w:hyperlink w:anchor="ref-bowyer2020bbcreport">
        <w:r>
          <w:rPr>
            <w:rStyle w:val="Hyperlink"/>
          </w:rPr>
          <w:t xml:space="preserve">Bowyer, 2020a</w:t>
        </w:r>
      </w:hyperlink>
      <w:r>
        <w:t xml:space="preserve">)</w:t>
      </w:r>
      <w:r>
        <w:t xml:space="preserve"> </w:t>
      </w:r>
      <w:r>
        <w:t xml:space="preserve">into personal data store design, as well as a</w:t>
      </w:r>
      <w:r>
        <w:t xml:space="preserve"> </w:t>
      </w:r>
      <w:r>
        <w:t xml:space="preserve">‘</w:t>
      </w:r>
      <w:r>
        <w:t xml:space="preserve">stimulus presentation</w:t>
      </w:r>
      <w:r>
        <w:t xml:space="preserve">’</w:t>
      </w:r>
      <w:r>
        <w:t xml:space="preserve"> </w:t>
      </w:r>
      <w:r>
        <w:t xml:space="preserve">to launch an internal hack week.</w:t>
      </w:r>
    </w:p>
    <w:p>
      <w:pPr>
        <w:numPr>
          <w:ilvl w:val="0"/>
          <w:numId w:val="1018"/>
        </w:numPr>
        <w:pStyle w:val="Compact"/>
      </w:pPr>
      <w:r>
        <w:t xml:space="preserve">At Hestia.ai, I was a lead author on</w:t>
      </w:r>
      <w:r>
        <w:t xml:space="preserve"> </w:t>
      </w:r>
      <w:hyperlink r:id="rId49">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0">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1"/>
    <w:bookmarkEnd w:id="52"/>
    <w:bookmarkStart w:id="57"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The overall structure of this thesis is illustrated in</w:t>
      </w:r>
      <w:r>
        <w:t xml:space="preserve"> </w:t>
      </w:r>
      <w:hyperlink w:anchor="figure-1.2">
        <w:r>
          <w:rPr>
            <w:rStyle w:val="Hyperlink"/>
          </w:rPr>
          <w:t xml:space="preserve">Figure 1.2</w:t>
        </w:r>
      </w:hyperlink>
      <w:r>
        <w:t xml:space="preserve">.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RQ1 and RQ2 are examined in both Case Studies, separately documented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In [</w:t>
      </w:r>
      <w:hyperlink w:anchor="chapter-6">
        <w:r>
          <w:rPr>
            <w:rStyle w:val="Hyperlink"/>
          </w:rPr>
          <w:t xml:space="preserve">Chapter 6</w:t>
        </w:r>
      </w:hyperlink>
      <w:r>
        <w:t xml:space="preserve">] the findings and insights from the Case Studies are synthesised to explain what people want from data and from data holders, concluding the academic investigation of the two research questions. [</w:t>
      </w:r>
      <w:hyperlink w:anchor="chapter-7">
        <w:r>
          <w:rPr>
            <w:rStyle w:val="Hyperlink"/>
          </w:rPr>
          <w:t xml:space="preserve">Chapter 7</w:t>
        </w:r>
      </w:hyperlink>
      <w:r>
        <w:t xml:space="preserve">] looks beyond the theoretical to the practical, making recommendations for future research and innovation in the HDR landscape.</w:t>
      </w:r>
      <w:r>
        <w:t xml:space="preserve"> </w:t>
      </w:r>
      <w:hyperlink w:anchor="chapter-8">
        <w:r>
          <w:rPr>
            <w:rStyle w:val="Hyperlink"/>
          </w:rPr>
          <w:t xml:space="preserve">Chapter 8</w:t>
        </w:r>
      </w:hyperlink>
      <w:r>
        <w:t xml:space="preserve"> </w:t>
      </w:r>
      <w:r>
        <w:t xml:space="preserve">concludes the thesis.</w:t>
      </w:r>
    </w:p>
    <w:p>
      <w:pPr>
        <w:pStyle w:val="CaptionedFigure"/>
      </w:pPr>
      <w:bookmarkStart w:id="56" w:name="figure-1.2"/>
      <w:r>
        <w:drawing>
          <wp:inline>
            <wp:extent cx="5334000" cy="2160253"/>
            <wp:effectExtent b="0" l="0" r="0" t="0"/>
            <wp:docPr descr="Figure 1.2: The Structure of This Thesis" title="" id="54" name="Picture"/>
            <a:graphic>
              <a:graphicData uri="http://schemas.openxmlformats.org/drawingml/2006/picture">
                <pic:pic>
                  <pic:nvPicPr>
                    <pic:cNvPr descr="./src/figs/fig1.2-thesis-structure.jpg" id="55" name="Picture"/>
                    <pic:cNvPicPr>
                      <a:picLocks noChangeArrowheads="1" noChangeAspect="1"/>
                    </pic:cNvPicPr>
                  </pic:nvPicPr>
                  <pic:blipFill>
                    <a:blip r:embed="rId53"/>
                    <a:stretch>
                      <a:fillRect/>
                    </a:stretch>
                  </pic:blipFill>
                  <pic:spPr bwMode="auto">
                    <a:xfrm>
                      <a:off x="0" y="0"/>
                      <a:ext cx="5334000" cy="2160253"/>
                    </a:xfrm>
                    <a:prstGeom prst="rect">
                      <a:avLst/>
                    </a:prstGeom>
                    <a:noFill/>
                    <a:ln w="9525">
                      <a:noFill/>
                      <a:headEnd/>
                      <a:tailEnd/>
                    </a:ln>
                  </pic:spPr>
                </pic:pic>
              </a:graphicData>
            </a:graphic>
          </wp:inline>
        </w:drawing>
      </w:r>
      <w:bookmarkEnd w:id="56"/>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contains a literature review. The first part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w:t>
      </w:r>
      <w:r>
        <w:t xml:space="preserve"> </w:t>
      </w:r>
      <w:r>
        <w:rPr>
          <w:iCs/>
          <w:i/>
        </w:rPr>
        <w:t xml:space="preserve">HCI</w:t>
      </w:r>
      <w:r>
        <w:t xml:space="preserve"> </w:t>
      </w:r>
      <w:r>
        <w:t xml:space="preserve">and</w:t>
      </w:r>
      <w:r>
        <w:t xml:space="preserve"> </w:t>
      </w:r>
      <w:r>
        <w:rPr>
          <w:iCs/>
          <w:i/>
        </w:rPr>
        <w:t xml:space="preserve">Human-Data Interaction</w:t>
      </w:r>
      <w:r>
        <w:t xml:space="preserve"> </w:t>
      </w:r>
      <w:r>
        <w:t xml:space="preserve">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p>
    <w:p>
      <w:pPr>
        <w:pStyle w:val="BlockText"/>
      </w:pPr>
      <w:r>
        <w:rPr>
          <w:iCs/>
          <w:i/>
        </w:rPr>
        <w:t xml:space="preserve">“</w:t>
      </w:r>
      <w:r>
        <w:rPr>
          <w:iCs/>
          <w:i/>
        </w:rPr>
        <w:t xml:space="preserve">What relationship do people need with their personal data?</w:t>
      </w:r>
      <w:r>
        <w:rPr>
          <w:iCs/>
          <w:i/>
        </w:rPr>
        <w:t xml:space="preserve">”</w:t>
      </w:r>
      <w:r>
        <w:t xml:space="preserve"> </w:t>
      </w:r>
      <w:r>
        <w:t xml:space="preserve">[</w:t>
      </w:r>
      <w:hyperlink w:anchor="RQ">
        <w:r>
          <w:rPr>
            <w:rStyle w:val="Hyperlink"/>
          </w:rPr>
          <w:t xml:space="preserve">2.4</w:t>
        </w:r>
      </w:hyperlink>
      <w:r>
        <w:t xml:space="preserve">].</w:t>
      </w:r>
    </w:p>
    <w:p>
      <w:pPr>
        <w:pStyle w:val="FirstParagraph"/>
      </w:pPr>
      <w:hyperlink w:anchor="chapter-3">
        <w:r>
          <w:rPr>
            <w:rStyle w:val="Hyperlink"/>
          </w:rPr>
          <w:t xml:space="preserve">Chapter 3</w:t>
        </w:r>
      </w:hyperlink>
      <w:r>
        <w:t xml:space="preserve"> </w:t>
      </w:r>
      <w:r>
        <w:t xml:space="preserve">describes the methodology used in this research, explaining first the constructivist ontology and pragmatist, individualist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RQ from Chapter 2 is split into two—RQ1 and RQ2 [</w:t>
      </w:r>
      <w:hyperlink w:anchor="X9c68c54449dd45e3ffc6d16d2e2e55125c2895d">
        <w:r>
          <w:rPr>
            <w:rStyle w:val="Hyperlink"/>
          </w:rPr>
          <w:t xml:space="preserve">3.3</w:t>
        </w:r>
      </w:hyperlink>
      <w:r>
        <w:t xml:space="preserve">]—and the contexts for the Case Studies are introduced from a</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workshop activities, sentisation, stimuli and recruitment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reports on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its inherent contradiction with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Shared Data Interaction</w:t>
      </w:r>
      <w:r>
        <w:t xml:space="preserve"> </w:t>
      </w:r>
      <w:r>
        <w:t xml:space="preserve">vision and workshop design. The key findings are presented [</w:t>
      </w:r>
      <w:hyperlink w:anchor="X5d05199b7d43b0bd203a9cf2e8e874dad4ff45f">
        <w:r>
          <w:rPr>
            <w:rStyle w:val="Hyperlink"/>
          </w:rPr>
          <w:t xml:space="preserve">4.3</w:t>
        </w:r>
      </w:hyperlink>
      <w:r>
        <w:t xml:space="preserve">] and discussed [</w:t>
      </w:r>
      <w:hyperlink w:anchor="X3883f9a9f04a04af0c790df93d414e14826cfb7">
        <w:r>
          <w:rPr>
            <w:rStyle w:val="Hyperlink"/>
          </w:rPr>
          <w:t xml:space="preserve">4.4</w:t>
        </w:r>
      </w:hyperlink>
      <w:r>
        <w:t xml:space="preserve">] in terms of involving people with their data, effective data access, and shifting the Locus of Decision-making.</w:t>
      </w:r>
    </w:p>
    <w:p>
      <w:pPr>
        <w:pStyle w:val="BodyText"/>
      </w:pPr>
      <w:hyperlink w:anchor="chapter-5">
        <w:r>
          <w:rPr>
            <w:rStyle w:val="Hyperlink"/>
          </w:rPr>
          <w:t xml:space="preserve">Chapter 5</w:t>
        </w:r>
      </w:hyperlink>
      <w:r>
        <w:t xml:space="preserve"> </w:t>
      </w:r>
      <w:r>
        <w:t xml:space="preserve">reports on Case Study Two. [</w:t>
      </w:r>
      <w:hyperlink w:anchor="X746a82081d852d58b152584407d5b80d3ac43f3">
        <w:r>
          <w:rPr>
            <w:rStyle w:val="Hyperlink"/>
          </w:rPr>
          <w:t xml:space="preserve">5.1</w:t>
        </w:r>
      </w:hyperlink>
      <w:r>
        <w:t xml:space="preserve">] contextualises data access in light of the GDPR and explains the human-centric approach to this study, which is detailed in</w:t>
      </w:r>
      <w:r>
        <w:t xml:space="preserve"> </w:t>
      </w:r>
      <w:hyperlink w:anchor="X380b93c5f9e9e252ac9ac548449d65f955603c4">
        <w:r>
          <w:rPr>
            <w:rStyle w:val="Hyperlink"/>
          </w:rPr>
          <w:t xml:space="preserve">5.2</w:t>
        </w:r>
      </w:hyperlink>
      <w:r>
        <w:t xml:space="preserve">. Findings are presented in [</w:t>
      </w:r>
      <w:hyperlink w:anchor="X710dd44fa12f98194f8bba2bb20cba7bee18ff6">
        <w:r>
          <w:rPr>
            <w:rStyle w:val="Hyperlink"/>
          </w:rPr>
          <w:t xml:space="preserve">5.3</w:t>
        </w:r>
      </w:hyperlink>
      <w:r>
        <w:t xml:space="preserve">] reporting on quantitative outcomes based on analysis of participants’ GDPR requests, interview responses and participant-assigned scores. These are followed by presentation of key themes from qualitative analysis of interviews and observations [</w:t>
      </w:r>
      <w:hyperlink w:anchor="Xe764b34bb9cf18ff85fc0a77c2cd10063248c10">
        <w:r>
          <w:rPr>
            <w:rStyle w:val="Hyperlink"/>
          </w:rPr>
          <w:t xml:space="preserve">5.4</w:t>
        </w:r>
      </w:hyperlink>
      <w:r>
        <w:t xml:space="preserve">]. The discussion [</w:t>
      </w:r>
      <w:hyperlink w:anchor="Xf66ffa0d783df84c67ba37533f91b9f3782a063">
        <w:r>
          <w:rPr>
            <w:rStyle w:val="Hyperlink"/>
          </w:rPr>
          <w:t xml:space="preserve">5.5</w:t>
        </w:r>
      </w:hyperlink>
      <w:r>
        <w:t xml:space="preserve">] builds upon these findings to form GDPR-improving guidelines for policymakers, data holders and individuals, in line with a human-centric philosophy.</w:t>
      </w:r>
    </w:p>
    <w:p>
      <w:pPr>
        <w:pStyle w:val="BodyText"/>
      </w:pPr>
      <w:hyperlink w:anchor="chapter-6">
        <w:r>
          <w:rPr>
            <w:rStyle w:val="Hyperlink"/>
          </w:rPr>
          <w:t xml:space="preserve">Chapter 6</w:t>
        </w:r>
      </w:hyperlink>
      <w:r>
        <w:t xml:space="preserve"> </w:t>
      </w:r>
      <w:r>
        <w:t xml:space="preserve">synthesises the two Case Studies, and answers RQ1 [in</w:t>
      </w:r>
      <w:r>
        <w:t xml:space="preserve"> </w:t>
      </w:r>
      <w:hyperlink w:anchor="X8258c05de79d267cff0777b650c09dd0e24396f">
        <w:r>
          <w:rPr>
            <w:rStyle w:val="Hyperlink"/>
          </w:rPr>
          <w:t xml:space="preserve">6.1</w:t>
        </w:r>
      </w:hyperlink>
      <w:r>
        <w:t xml:space="preserve">] and RQ2 [in</w:t>
      </w:r>
      <w:r>
        <w:t xml:space="preserve"> </w:t>
      </w:r>
      <w:hyperlink w:anchor="X86a6a7bbe6a4ae5c1502558f013f6ed6b9ae6f2">
        <w:r>
          <w:rPr>
            <w:rStyle w:val="Hyperlink"/>
          </w:rPr>
          <w:t xml:space="preserve">6.2</w:t>
        </w:r>
      </w:hyperlink>
      <w:r>
        <w:t xml:space="preserve">], bringing the central academic research of the thesis to a close with clear statements about what people want from data—visibility, understanding and useability—and from data holders—transparency, oversight and involvement. [</w:t>
      </w:r>
      <w:hyperlink w:anchor="X3c10c50990743199cc887aaacd3f88a0a0a026e">
        <w:r>
          <w:rPr>
            <w:rStyle w:val="Hyperlink"/>
          </w:rPr>
          <w:t xml:space="preserve">6.3</w:t>
        </w:r>
      </w:hyperlink>
      <w:r>
        <w:t xml:space="preserve">] concludes the chapter by outlining this thesis’s perspective on addressing the power imbalance over personal data, and positions of these six</w:t>
      </w:r>
      <w:r>
        <w:t xml:space="preserve"> </w:t>
      </w:r>
      <w:r>
        <w:t xml:space="preserve">‘</w:t>
      </w:r>
      <w:r>
        <w:t xml:space="preserve">data wants</w:t>
      </w:r>
      <w:r>
        <w:t xml:space="preserve">’</w:t>
      </w:r>
      <w:r>
        <w:t xml:space="preserve"> </w:t>
      </w:r>
      <w:r>
        <w:t xml:space="preserve">as</w:t>
      </w:r>
      <w:r>
        <w:t xml:space="preserve"> </w:t>
      </w:r>
      <w:r>
        <w:rPr>
          <w:iCs/>
          <w:i/>
        </w:rPr>
        <w:t xml:space="preserve">empowerment</w:t>
      </w:r>
      <w:r>
        <w:t xml:space="preserve"> </w:t>
      </w:r>
      <w:r>
        <w:t xml:space="preserve">relative to that perspective, motivating their practical pursuit.</w:t>
      </w:r>
    </w:p>
    <w:p>
      <w:pPr>
        <w:pStyle w:val="BodyText"/>
      </w:pPr>
      <w:hyperlink w:anchor="chapter-7">
        <w:r>
          <w:rPr>
            <w:rStyle w:val="Hyperlink"/>
          </w:rPr>
          <w:t xml:space="preserve">Chapter 7</w:t>
        </w:r>
      </w:hyperlink>
      <w:r>
        <w:t xml:space="preserve"> </w:t>
      </w:r>
      <w:r>
        <w:t xml:space="preserve">is a deliberately broad and open-ended chapter, exploring the pursuit of the goals of the previous chapter in order to draw out designerly and practical insights. It extends the traditional thesis structure in order to provide ideas on</w:t>
      </w:r>
      <w:r>
        <w:t xml:space="preserve"> </w:t>
      </w:r>
      <w:r>
        <w:rPr>
          <w:iCs/>
          <w:i/>
        </w:rPr>
        <w:t xml:space="preserve">how human-centric empowerment might be achieved</w:t>
      </w:r>
      <w:r>
        <w:t xml:space="preserve">. These ideas can become valuable and actionable reference material for future researchers, activists and innovators. [</w:t>
      </w:r>
      <w:hyperlink w:anchor="Xc8e800b130e88f8d15b2c092b8d2fd1e5eaa830">
        <w:r>
          <w:rPr>
            <w:rStyle w:val="Hyperlink"/>
          </w:rPr>
          <w:t xml:space="preserve">7.1</w:t>
        </w:r>
      </w:hyperlink>
      <w:r>
        <w:t xml:space="preserve">] introduces the peripheral contexts from which the insights arise. In [</w:t>
      </w:r>
      <w:hyperlink w:anchor="Xd90f00e19f5543904caf9ab2abd5b800e0613c0">
        <w:r>
          <w:rPr>
            <w:rStyle w:val="Hyperlink"/>
          </w:rPr>
          <w:t xml:space="preserve">7.2</w:t>
        </w:r>
      </w:hyperlink>
      <w:r>
        <w:t xml:space="preserve">], insights from the thesis’s findings and external experiences are synthesised to frame the pursuit of this thesis’s data wants as a defined field of future research, called</w:t>
      </w:r>
      <w:r>
        <w:t xml:space="preserve"> </w:t>
      </w:r>
      <w:r>
        <w:rPr>
          <w:bCs/>
          <w:b/>
        </w:rPr>
        <w:t xml:space="preserve">Human Data Relations (HDR)</w:t>
      </w:r>
      <w:r>
        <w:t xml:space="preserve">, whose practitioners act as a</w:t>
      </w:r>
      <w:r>
        <w:t xml:space="preserve"> </w:t>
      </w:r>
      <w:r>
        <w:rPr>
          <w:iCs/>
          <w:i/>
        </w:rPr>
        <w:t xml:space="preserve">recursive public</w:t>
      </w:r>
      <w:r>
        <w:t xml:space="preserve">, pursuing four objectives for increased awareness, understanding and negotiability. The landscape of HDR is mapped out in two parts. [</w:t>
      </w:r>
      <w:hyperlink w:anchor="X96c51c3d98f021d42ee8c458ed421add6b4adde">
        <w:r>
          <w:rPr>
            <w:rStyle w:val="Hyperlink"/>
          </w:rPr>
          <w:t xml:space="preserve">7.3</w:t>
        </w:r>
      </w:hyperlink>
      <w:r>
        <w:t xml:space="preserve">], focuses on identifying obstacles to pursuit of the HDR objectives. Then [</w:t>
      </w:r>
      <w:hyperlink w:anchor="X40141584308035bb03b454584dbe23925c8bab3">
        <w:r>
          <w:rPr>
            <w:rStyle w:val="Hyperlink"/>
          </w:rPr>
          <w:t xml:space="preserve">7.4</w:t>
        </w:r>
      </w:hyperlink>
      <w:r>
        <w:t xml:space="preserve">], using a</w:t>
      </w:r>
      <w:r>
        <w:t xml:space="preserve"> </w:t>
      </w:r>
      <w:r>
        <w:rPr>
          <w:iCs/>
          <w:i/>
        </w:rPr>
        <w:t xml:space="preserve">Theories of Change (ToC)</w:t>
      </w:r>
      <w:r>
        <w:t xml:space="preserve"> </w:t>
      </w:r>
      <w:r>
        <w:t xml:space="preserve">framing, introduces opportunities for progress, arranged as</w:t>
      </w:r>
      <w:r>
        <w:t xml:space="preserve"> </w:t>
      </w:r>
      <w:r>
        <w:rPr>
          <w:iCs/>
          <w:i/>
        </w:rPr>
        <w:t xml:space="preserve">four different trajectories of change</w:t>
      </w:r>
      <w:r>
        <w:t xml:space="preserve"> </w:t>
      </w:r>
      <w:r>
        <w:t xml:space="preserve">that could be executed to pursue better HDR.</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w:t>
      </w:r>
      <w:r>
        <w:t xml:space="preserve">are interspersed with 13 actionable</w:t>
      </w:r>
      <w:r>
        <w:t xml:space="preserve"> </w:t>
      </w:r>
      <w:r>
        <w:rPr>
          <w:iCs/>
          <w:i/>
        </w:rPr>
        <w:t xml:space="preserve">insights</w:t>
      </w:r>
      <w:r>
        <w:t xml:space="preserve"> </w:t>
      </w:r>
      <w:r>
        <w:t xml:space="preserve">that could help tackle the obstacles and pursue the change trajectories.</w:t>
      </w:r>
    </w:p>
    <w:p>
      <w:pPr>
        <w:pStyle w:val="BodyText"/>
      </w:pPr>
      <w:hyperlink w:anchor="chapter-8">
        <w:r>
          <w:rPr>
            <w:rStyle w:val="Hyperlink"/>
          </w:rPr>
          <w:t xml:space="preserve">Chapter 8</w:t>
        </w:r>
      </w:hyperlink>
      <w:r>
        <w:t xml:space="preserve"> </w:t>
      </w:r>
      <w:r>
        <w:t xml:space="preserve">concludes the thesis, reflecting first on this researcher’s journey, before summarising the legacy and contributions of this body of work, positioning HDR and this thesis as call to arms for activist research and innovation to tackle the power imbalance around personal data in society.</w:t>
      </w:r>
    </w:p>
    <w:p>
      <w:r>
        <w:pict>
          <v:rect style="width:0;height:1.5pt" o:hralign="center" o:hrstd="t" o:hr="t"/>
        </w:pict>
      </w:r>
    </w:p>
    <w:bookmarkEnd w:id="57"/>
    <w:bookmarkEnd w:id="58"/>
    <w:bookmarkStart w:id="135" w:name="bibliography"/>
    <w:p>
      <w:pPr>
        <w:pStyle w:val="Heading1"/>
      </w:pPr>
      <w:r>
        <w:t xml:space="preserve">Bibliography</w:t>
      </w:r>
    </w:p>
    <w:bookmarkStart w:id="134" w:name="refs"/>
    <w:bookmarkStart w:id="60"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9">
        <w:r>
          <w:rPr>
            <w:rStyle w:val="Hyperlink"/>
          </w:rPr>
          <w:t xml:space="preserve">10.1145/2670528</w:t>
        </w:r>
      </w:hyperlink>
      <w:r>
        <w:t xml:space="preserve">.</w:t>
      </w:r>
    </w:p>
    <w:bookmarkEnd w:id="60"/>
    <w:bookmarkStart w:id="62"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1">
        <w:r>
          <w:rPr>
            <w:rStyle w:val="Hyperlink"/>
          </w:rPr>
          <w:t xml:space="preserve">www.irissproject.eu https://papers.ssrn.com/sol3/papers.cfm?abstract_id=3106632</w:t>
        </w:r>
      </w:hyperlink>
      <w:r>
        <w:t xml:space="preserve">.</w:t>
      </w:r>
    </w:p>
    <w:bookmarkEnd w:id="62"/>
    <w:bookmarkStart w:id="64"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3">
        <w:r>
          <w:rPr>
            <w:rStyle w:val="Hyperlink"/>
          </w:rPr>
          <w:t xml:space="preserve">10.1145/2804405</w:t>
        </w:r>
      </w:hyperlink>
      <w:r>
        <w:t xml:space="preserve">.</w:t>
      </w:r>
    </w:p>
    <w:bookmarkEnd w:id="64"/>
    <w:bookmarkStart w:id="66" w:name="ref-bowyer2009bitnorth"/>
    <w:p>
      <w:pPr>
        <w:pStyle w:val="Bibliography"/>
      </w:pPr>
      <w:r>
        <w:t xml:space="preserve">Bowyer, A. (2009)</w:t>
      </w:r>
      <w:r>
        <w:t xml:space="preserve"> </w:t>
      </w:r>
      <w:r>
        <w:t xml:space="preserve">‘The importance of persona: Why your computer needs to know which hat you’re wearing’</w:t>
      </w:r>
      <w:r>
        <w:t xml:space="preserve">. Available at:</w:t>
      </w:r>
      <w:r>
        <w:t xml:space="preserve"> </w:t>
      </w:r>
      <w:hyperlink r:id="rId65">
        <w:r>
          <w:rPr>
            <w:rStyle w:val="Hyperlink"/>
          </w:rPr>
          <w:t xml:space="preserve">http://bitnorth.com/shortbits/</w:t>
        </w:r>
      </w:hyperlink>
      <w:r>
        <w:t xml:space="preserve">.</w:t>
      </w:r>
    </w:p>
    <w:bookmarkEnd w:id="66"/>
    <w:bookmarkStart w:id="67" w:name="ref-bowyer2010bitnorth"/>
    <w:p>
      <w:pPr>
        <w:pStyle w:val="Bibliography"/>
      </w:pPr>
      <w:r>
        <w:t xml:space="preserve">Bowyer, A. (2010)</w:t>
      </w:r>
      <w:r>
        <w:t xml:space="preserve"> </w:t>
      </w:r>
      <w:r>
        <w:t xml:space="preserve">‘Why files need to die’</w:t>
      </w:r>
      <w:r>
        <w:t xml:space="preserve">. Available at:</w:t>
      </w:r>
      <w:r>
        <w:t xml:space="preserve"> </w:t>
      </w:r>
      <w:hyperlink r:id="rId65">
        <w:r>
          <w:rPr>
            <w:rStyle w:val="Hyperlink"/>
          </w:rPr>
          <w:t xml:space="preserve">http://bitnorth.com/shortbits/</w:t>
        </w:r>
      </w:hyperlink>
      <w:r>
        <w:t xml:space="preserve">.</w:t>
      </w:r>
    </w:p>
    <w:bookmarkEnd w:id="67"/>
    <w:bookmarkStart w:id="69" w:name="ref-bowyer2011filesdie"/>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68">
        <w:r>
          <w:rPr>
            <w:rStyle w:val="Hyperlink"/>
          </w:rPr>
          <w:t xml:space="preserve">http://radar.oreilly.com/2011/07/why-files-need-to-die.html</w:t>
        </w:r>
      </w:hyperlink>
      <w:r>
        <w:t xml:space="preserve">.</w:t>
      </w:r>
    </w:p>
    <w:bookmarkEnd w:id="69"/>
    <w:bookmarkStart w:id="70" w:name="ref-bowyer2012bitnorth"/>
    <w:p>
      <w:pPr>
        <w:pStyle w:val="Bibliography"/>
      </w:pPr>
      <w:r>
        <w:t xml:space="preserve">Bowyer, A. (2012a)</w:t>
      </w:r>
      <w:r>
        <w:t xml:space="preserve"> </w:t>
      </w:r>
      <w:r>
        <w:t xml:space="preserve">‘How internet economics threaten useful computing’</w:t>
      </w:r>
      <w:r>
        <w:t xml:space="preserve">. Available at:</w:t>
      </w:r>
      <w:r>
        <w:t xml:space="preserve"> </w:t>
      </w:r>
      <w:hyperlink r:id="rId65">
        <w:r>
          <w:rPr>
            <w:rStyle w:val="Hyperlink"/>
          </w:rPr>
          <w:t xml:space="preserve">http://bitnorth.com/shortbits/</w:t>
        </w:r>
      </w:hyperlink>
      <w:r>
        <w:t xml:space="preserve">.</w:t>
      </w:r>
    </w:p>
    <w:bookmarkEnd w:id="70"/>
    <w:bookmarkStart w:id="72" w:name="ref-bowyer2012timespace"/>
    <w:p>
      <w:pPr>
        <w:pStyle w:val="Bibliography"/>
      </w:pPr>
      <w:r>
        <w:t xml:space="preserve">Bowyer, A. (2012b)</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1">
        <w:r>
          <w:rPr>
            <w:rStyle w:val="Hyperlink"/>
          </w:rPr>
          <w:t xml:space="preserve">https://eprints.ncl.ac.uk/273829</w:t>
        </w:r>
      </w:hyperlink>
      <w:r>
        <w:t xml:space="preserve">.</w:t>
      </w:r>
    </w:p>
    <w:bookmarkEnd w:id="72"/>
    <w:bookmarkStart w:id="73" w:name="ref-bowyer2013bitnorth"/>
    <w:p>
      <w:pPr>
        <w:pStyle w:val="Bibliography"/>
      </w:pPr>
      <w:r>
        <w:t xml:space="preserve">Bowyer, A. (2013)</w:t>
      </w:r>
      <w:r>
        <w:t xml:space="preserve"> </w:t>
      </w:r>
      <w:r>
        <w:t xml:space="preserve">‘The interfaces no-one is building: What would a human-centric computer look like’</w:t>
      </w:r>
      <w:r>
        <w:t xml:space="preserve">. Available at:</w:t>
      </w:r>
      <w:r>
        <w:t xml:space="preserve"> </w:t>
      </w:r>
      <w:hyperlink r:id="rId65">
        <w:r>
          <w:rPr>
            <w:rStyle w:val="Hyperlink"/>
          </w:rPr>
          <w:t xml:space="preserve">http://bitnorth.com/shortbits/</w:t>
        </w:r>
      </w:hyperlink>
      <w:r>
        <w:t xml:space="preserve">.</w:t>
      </w:r>
    </w:p>
    <w:bookmarkEnd w:id="73"/>
    <w:bookmarkStart w:id="74"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39">
        <w:r>
          <w:rPr>
            <w:rStyle w:val="Hyperlink"/>
          </w:rPr>
          <w:t xml:space="preserve">https://eprints.ncl.ac.uk/273832</w:t>
        </w:r>
      </w:hyperlink>
      <w:r>
        <w:t xml:space="preserve">.</w:t>
      </w:r>
    </w:p>
    <w:bookmarkEnd w:id="74"/>
    <w:bookmarkStart w:id="75"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1">
        <w:r>
          <w:rPr>
            <w:rStyle w:val="Hyperlink"/>
          </w:rPr>
          <w:t xml:space="preserve">https://eprints.ncl.ac.uk/273826</w:t>
        </w:r>
      </w:hyperlink>
      <w:r>
        <w:t xml:space="preserve">.</w:t>
      </w:r>
    </w:p>
    <w:bookmarkEnd w:id="75"/>
    <w:bookmarkStart w:id="76"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0">
        <w:r>
          <w:rPr>
            <w:rStyle w:val="Hyperlink"/>
          </w:rPr>
          <w:t xml:space="preserve">https://eprints.ncl.ac.uk/273825</w:t>
        </w:r>
      </w:hyperlink>
      <w:r>
        <w:t xml:space="preserve">.</w:t>
      </w:r>
    </w:p>
    <w:bookmarkEnd w:id="76"/>
    <w:bookmarkStart w:id="7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7">
        <w:r>
          <w:rPr>
            <w:rStyle w:val="Hyperlink"/>
          </w:rPr>
          <w:t xml:space="preserve">10.1145/3173574.3173710</w:t>
        </w:r>
      </w:hyperlink>
      <w:r>
        <w:t xml:space="preserve">.</w:t>
      </w:r>
    </w:p>
    <w:bookmarkEnd w:id="78"/>
    <w:bookmarkStart w:id="79"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2">
        <w:r>
          <w:rPr>
            <w:rStyle w:val="Hyperlink"/>
          </w:rPr>
          <w:t xml:space="preserve">10.1145/3290607.3312998</w:t>
        </w:r>
      </w:hyperlink>
      <w:r>
        <w:t xml:space="preserve">.</w:t>
      </w:r>
    </w:p>
    <w:bookmarkEnd w:id="79"/>
    <w:bookmarkStart w:id="81"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80">
        <w:r>
          <w:rPr>
            <w:rStyle w:val="Hyperlink"/>
          </w:rPr>
          <w:t xml:space="preserve">https://bit.ly/bbc-pds-research-bowyer</w:t>
        </w:r>
      </w:hyperlink>
      <w:r>
        <w:t xml:space="preserve">.</w:t>
      </w:r>
    </w:p>
    <w:bookmarkEnd w:id="81"/>
    <w:bookmarkStart w:id="82" w:name="ref-bowyer2020lecture"/>
    <w:p>
      <w:pPr>
        <w:pStyle w:val="Bibliography"/>
      </w:pPr>
      <w:r>
        <w:t xml:space="preserve">Bowyer, A. (2020b)</w:t>
      </w:r>
      <w:r>
        <w:t xml:space="preserve"> </w:t>
      </w:r>
      <w:r>
        <w:t xml:space="preserve">‘Personal data use: A human-centric perspective’</w:t>
      </w:r>
      <w:r>
        <w:t xml:space="preserve">. Available at:</w:t>
      </w:r>
      <w:r>
        <w:t xml:space="preserve"> </w:t>
      </w:r>
      <w:hyperlink r:id="rId42">
        <w:r>
          <w:rPr>
            <w:rStyle w:val="Hyperlink"/>
          </w:rPr>
          <w:t xml:space="preserve">https://eprints.ncl.ac.uk/273834</w:t>
        </w:r>
      </w:hyperlink>
      <w:r>
        <w:t xml:space="preserve">.</w:t>
      </w:r>
    </w:p>
    <w:bookmarkEnd w:id="82"/>
    <w:bookmarkStart w:id="84"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3">
        <w:r>
          <w:rPr>
            <w:rStyle w:val="Hyperlink"/>
          </w:rPr>
          <w:t xml:space="preserve">https://eprints.ncl.ac.uk/273832#.</w:t>
        </w:r>
      </w:hyperlink>
    </w:p>
    <w:bookmarkEnd w:id="84"/>
    <w:bookmarkStart w:id="85"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3">
        <w:r>
          <w:rPr>
            <w:rStyle w:val="Hyperlink"/>
          </w:rPr>
          <w:t xml:space="preserve">https://www.youtube.com/watch?v=YFHXc_TfM5c</w:t>
        </w:r>
      </w:hyperlink>
      <w:r>
        <w:t xml:space="preserve">.</w:t>
      </w:r>
    </w:p>
    <w:bookmarkEnd w:id="85"/>
    <w:bookmarkStart w:id="86"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49">
        <w:r>
          <w:rPr>
            <w:rStyle w:val="Hyperlink"/>
          </w:rPr>
          <w:t xml:space="preserve">10.5281/zenodo.6554177</w:t>
        </w:r>
      </w:hyperlink>
      <w:r>
        <w:t xml:space="preserve">.</w:t>
      </w:r>
    </w:p>
    <w:bookmarkEnd w:id="86"/>
    <w:bookmarkStart w:id="87"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7"/>
    <w:bookmarkStart w:id="89" w:name="ref-bowyer2009human"/>
    <w:p>
      <w:pPr>
        <w:pStyle w:val="Bibliography"/>
      </w:pPr>
      <w:r>
        <w:t xml:space="preserve">Bowyer, A. and Croll, A. (2009-2011)</w:t>
      </w:r>
      <w:r>
        <w:t xml:space="preserve"> </w:t>
      </w:r>
      <w:r>
        <w:t xml:space="preserve">‘Human 2.0’</w:t>
      </w:r>
      <w:r>
        <w:t xml:space="preserve">. Available at:</w:t>
      </w:r>
      <w:r>
        <w:t xml:space="preserve"> </w:t>
      </w:r>
      <w:hyperlink r:id="rId88">
        <w:r>
          <w:rPr>
            <w:rStyle w:val="Hyperlink"/>
          </w:rPr>
          <w:t xml:space="preserve">https://web.archive.org/web/20111231165329/http://www.human20.com/</w:t>
        </w:r>
      </w:hyperlink>
      <w:r>
        <w:t xml:space="preserve">.</w:t>
      </w:r>
    </w:p>
    <w:bookmarkEnd w:id="89"/>
    <w:bookmarkStart w:id="90" w:name="ref-bowyer2019silvervideo"/>
    <w:p>
      <w:pPr>
        <w:pStyle w:val="Bibliography"/>
      </w:pPr>
      <w:r>
        <w:t xml:space="preserve">Bowyer, A. and Wheater, S. (no date)</w:t>
      </w:r>
      <w:r>
        <w:t xml:space="preserve"> </w:t>
      </w:r>
      <w:r>
        <w:t xml:space="preserve">‘SILVER family health data interface: Demo screencasts / showcase’</w:t>
      </w:r>
      <w:r>
        <w:t xml:space="preserve">. Available at:</w:t>
      </w:r>
      <w:r>
        <w:t xml:space="preserve"> </w:t>
      </w:r>
      <w:hyperlink r:id="rId46">
        <w:r>
          <w:rPr>
            <w:rStyle w:val="Hyperlink"/>
          </w:rPr>
          <w:t xml:space="preserve">https://eprints.ncl.ac.uk/273839</w:t>
        </w:r>
      </w:hyperlink>
      <w:r>
        <w:t xml:space="preserve">.</w:t>
      </w:r>
    </w:p>
    <w:bookmarkEnd w:id="90"/>
    <w:bookmarkStart w:id="92"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91">
        <w:r>
          <w:rPr>
            <w:rStyle w:val="Hyperlink"/>
          </w:rPr>
          <w:t xml:space="preserve">10.1145/1011870.1011885</w:t>
        </w:r>
      </w:hyperlink>
      <w:r>
        <w:t xml:space="preserve">.</w:t>
      </w:r>
    </w:p>
    <w:bookmarkEnd w:id="92"/>
    <w:bookmarkStart w:id="94"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3">
        <w:r>
          <w:rPr>
            <w:rStyle w:val="Hyperlink"/>
          </w:rPr>
          <w:t xml:space="preserve">https://www.businessinsider.com/cambridge-analytica-whistleblower-christopher-wylie-facebook-data-2019-10?r=US&amp;IR=T</w:t>
        </w:r>
      </w:hyperlink>
      <w:r>
        <w:t xml:space="preserve">.</w:t>
      </w:r>
    </w:p>
    <w:bookmarkEnd w:id="94"/>
    <w:bookmarkStart w:id="96"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5">
        <w:r>
          <w:rPr>
            <w:rStyle w:val="Hyperlink"/>
          </w:rPr>
          <w:t xml:space="preserve">https://www.collinsdictionary.com/dictionary/english/bleeding-edge</w:t>
        </w:r>
      </w:hyperlink>
      <w:r>
        <w:t xml:space="preserve"> </w:t>
      </w:r>
      <w:r>
        <w:t xml:space="preserve">(Accessed: 29 July 2022).</w:t>
      </w:r>
    </w:p>
    <w:bookmarkEnd w:id="96"/>
    <w:bookmarkStart w:id="97"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45">
        <w:r>
          <w:rPr>
            <w:rStyle w:val="Hyperlink"/>
          </w:rPr>
          <w:t xml:space="preserve">https://web.archive.org/web/20211225192408/https://www.chc-impact-report.co.uk/</w:t>
        </w:r>
      </w:hyperlink>
      <w:r>
        <w:t xml:space="preserve"> </w:t>
      </w:r>
      <w:r>
        <w:t xml:space="preserve">(Accessed: 25 December 2021).</w:t>
      </w:r>
    </w:p>
    <w:bookmarkEnd w:id="97"/>
    <w:bookmarkStart w:id="98" w:name="ref-crossley2022"/>
    <w:p>
      <w:pPr>
        <w:pStyle w:val="Bibliography"/>
      </w:pPr>
      <w:r>
        <w:t xml:space="preserve">Crossley, S. (2022)</w:t>
      </w:r>
      <w:r>
        <w:t xml:space="preserve"> </w:t>
      </w:r>
      <w:r>
        <w:t xml:space="preserve">‘Misrecognising ‘complex’families: A social harm perspective’</w:t>
      </w:r>
      <w:r>
        <w:t xml:space="preserve">, in</w:t>
      </w:r>
      <w:r>
        <w:t xml:space="preserve"> </w:t>
      </w:r>
      <w:r>
        <w:rPr>
          <w:iCs/>
          <w:i/>
        </w:rPr>
        <w:t xml:space="preserve">Negotiating families and personal lives in the 21st century</w:t>
      </w:r>
      <w:r>
        <w:t xml:space="preserve">. Routledge, pp. 30–45.</w:t>
      </w:r>
    </w:p>
    <w:bookmarkEnd w:id="98"/>
    <w:bookmarkStart w:id="100"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99">
        <w:r>
          <w:rPr>
            <w:rStyle w:val="Hyperlink"/>
          </w:rPr>
          <w:t xml:space="preserve">10.1016/j.ipm.2020.102307</w:t>
        </w:r>
      </w:hyperlink>
      <w:r>
        <w:t xml:space="preserve">.</w:t>
      </w:r>
    </w:p>
    <w:bookmarkEnd w:id="100"/>
    <w:bookmarkStart w:id="101"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1"/>
    <w:bookmarkStart w:id="102"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2"/>
    <w:bookmarkStart w:id="103"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3"/>
    <w:bookmarkStart w:id="105"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4">
        <w:r>
          <w:rPr>
            <w:rStyle w:val="Hyperlink"/>
          </w:rPr>
          <w:t xml:space="preserve">https://www.sitra.fi/en/publications/tracking-digipower/</w:t>
        </w:r>
      </w:hyperlink>
      <w:r>
        <w:t xml:space="preserve">.</w:t>
      </w:r>
    </w:p>
    <w:bookmarkEnd w:id="105"/>
    <w:bookmarkStart w:id="107" w:name="ref-härkönen2022project"/>
    <w:p>
      <w:pPr>
        <w:pStyle w:val="Bibliography"/>
      </w:pPr>
      <w:r>
        <w:t xml:space="preserve">Härkönen, T. and Vänskä, R. (2021). Sitra. Available at:</w:t>
      </w:r>
      <w:r>
        <w:t xml:space="preserve"> </w:t>
      </w:r>
      <w:hyperlink r:id="rId106">
        <w:r>
          <w:rPr>
            <w:rStyle w:val="Hyperlink"/>
          </w:rPr>
          <w:t xml:space="preserve">https://www.sitra.fi/en/projects/digipower-investigation/#what-is-it-about</w:t>
        </w:r>
      </w:hyperlink>
      <w:r>
        <w:t xml:space="preserve">.</w:t>
      </w:r>
    </w:p>
    <w:bookmarkEnd w:id="107"/>
    <w:bookmarkStart w:id="109"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08">
        <w:r>
          <w:rPr>
            <w:rStyle w:val="Hyperlink"/>
          </w:rPr>
          <w:t xml:space="preserve">http://www3.weforum.org/docs/WEF_RethinkingPersonalData_TrustandContext_Report_2014.pdf</w:t>
        </w:r>
      </w:hyperlink>
      <w:r>
        <w:t xml:space="preserve">.</w:t>
      </w:r>
    </w:p>
    <w:bookmarkEnd w:id="109"/>
    <w:bookmarkStart w:id="111"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10">
        <w:r>
          <w:rPr>
            <w:rStyle w:val="Hyperlink"/>
          </w:rPr>
          <w:t xml:space="preserve">https://perma.cc/92LZ-B8DN].</w:t>
        </w:r>
      </w:hyperlink>
    </w:p>
    <w:bookmarkEnd w:id="111"/>
    <w:bookmarkStart w:id="113"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12">
        <w:r>
          <w:rPr>
            <w:rStyle w:val="Hyperlink"/>
          </w:rPr>
          <w:t xml:space="preserve">10.1145/2493432.2493446</w:t>
        </w:r>
      </w:hyperlink>
      <w:r>
        <w:t xml:space="preserve">.</w:t>
      </w:r>
    </w:p>
    <w:bookmarkEnd w:id="113"/>
    <w:bookmarkStart w:id="115" w:name="ref-mortier2013"/>
    <w:p>
      <w:pPr>
        <w:pStyle w:val="Bibliography"/>
      </w:pPr>
      <w:r>
        <w:t xml:space="preserve">Mortier, R.</w:t>
      </w:r>
      <w:r>
        <w:t xml:space="preserve"> </w:t>
      </w:r>
      <w:r>
        <w:rPr>
          <w:iCs/>
          <w:i/>
        </w:rPr>
        <w:t xml:space="preserve">et al.</w:t>
      </w:r>
      <w:r>
        <w:t xml:space="preserve"> </w:t>
      </w:r>
      <w:r>
        <w:t xml:space="preserve">(2013)</w:t>
      </w:r>
      <w:r>
        <w:t xml:space="preserve"> </w:t>
      </w:r>
      <w:r>
        <w:t xml:space="preserve">‘</w:t>
      </w:r>
      <w:r>
        <w:t xml:space="preserve">Challenges &amp; opportunities in human-data interaction</w:t>
      </w:r>
      <w:r>
        <w:t xml:space="preserve">’</w:t>
      </w:r>
      <w:r>
        <w:t xml:space="preserve">,</w:t>
      </w:r>
      <w:r>
        <w:t xml:space="preserve"> </w:t>
      </w:r>
      <w:r>
        <w:rPr>
          <w:iCs/>
          <w:i/>
        </w:rPr>
        <w:t xml:space="preserve">University of Cambridge, Computer Laboratory</w:t>
      </w:r>
      <w:r>
        <w:t xml:space="preserve">. Citeseer. doi:</w:t>
      </w:r>
      <w:r>
        <w:t xml:space="preserve"> </w:t>
      </w:r>
      <w:hyperlink r:id="rId114">
        <w:r>
          <w:rPr>
            <w:rStyle w:val="Hyperlink"/>
          </w:rPr>
          <w:t xml:space="preserve">10.5210/fm.v17i5.4013</w:t>
        </w:r>
      </w:hyperlink>
      <w:r>
        <w:t xml:space="preserve">.</w:t>
      </w:r>
    </w:p>
    <w:bookmarkEnd w:id="115"/>
    <w:bookmarkStart w:id="117"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6">
        <w:r>
          <w:rPr>
            <w:rStyle w:val="Hyperlink"/>
          </w:rPr>
          <w:t xml:space="preserve">10.2139/ssrn.2508051</w:t>
        </w:r>
      </w:hyperlink>
      <w:r>
        <w:t xml:space="preserve">.</w:t>
      </w:r>
    </w:p>
    <w:bookmarkEnd w:id="117"/>
    <w:bookmarkStart w:id="119"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18">
        <w:r>
          <w:rPr>
            <w:rStyle w:val="Hyperlink"/>
          </w:rPr>
          <w:t xml:space="preserve">https://web.archive.org/web/20180727024332/https://digitalcivics.io/apply/</w:t>
        </w:r>
      </w:hyperlink>
      <w:r>
        <w:t xml:space="preserve"> </w:t>
      </w:r>
      <w:r>
        <w:t xml:space="preserve">(Accessed: 6 July 2022).</w:t>
      </w:r>
    </w:p>
    <w:bookmarkEnd w:id="119"/>
    <w:bookmarkStart w:id="120"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0">
        <w:r>
          <w:rPr>
            <w:rStyle w:val="Hyperlink"/>
          </w:rPr>
          <w:t xml:space="preserve">10.5281/zenodo.6554155</w:t>
        </w:r>
      </w:hyperlink>
      <w:r>
        <w:t xml:space="preserve">.</w:t>
      </w:r>
    </w:p>
    <w:bookmarkEnd w:id="120"/>
    <w:bookmarkStart w:id="122"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21">
        <w:r>
          <w:rPr>
            <w:rStyle w:val="Hyperlink"/>
          </w:rPr>
          <w:t xml:space="preserve">10.1016/b978-1-55860-092-8.50006-x</w:t>
        </w:r>
      </w:hyperlink>
      <w:r>
        <w:t xml:space="preserve">.</w:t>
      </w:r>
    </w:p>
    <w:bookmarkEnd w:id="122"/>
    <w:bookmarkStart w:id="123"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23"/>
    <w:bookmarkStart w:id="125"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24">
        <w:r>
          <w:rPr>
            <w:rStyle w:val="Hyperlink"/>
          </w:rPr>
          <w:t xml:space="preserve">https://memory.ai/timely-blog/the-attention-economy</w:t>
        </w:r>
      </w:hyperlink>
      <w:r>
        <w:t xml:space="preserve">.</w:t>
      </w:r>
    </w:p>
    <w:bookmarkEnd w:id="125"/>
    <w:bookmarkStart w:id="127"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6">
        <w:r>
          <w:rPr>
            <w:rStyle w:val="Hyperlink"/>
          </w:rPr>
          <w:t xml:space="preserve">https://www.wired.com/insights/2014/07/data-new-oil-digital-economy/</w:t>
        </w:r>
      </w:hyperlink>
      <w:r>
        <w:t xml:space="preserve">.</w:t>
      </w:r>
    </w:p>
    <w:bookmarkEnd w:id="127"/>
    <w:bookmarkStart w:id="129"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28">
        <w:r>
          <w:rPr>
            <w:rStyle w:val="Hyperlink"/>
          </w:rPr>
          <w:t xml:space="preserve">https://www.ted.com/talks/zeynep_tufekci_we_re_building_a_dystopia_just_to_make_people_click_on_ads</w:t>
        </w:r>
      </w:hyperlink>
      <w:r>
        <w:t xml:space="preserve">.</w:t>
      </w:r>
    </w:p>
    <w:bookmarkEnd w:id="129"/>
    <w:bookmarkStart w:id="131"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30">
        <w:r>
          <w:rPr>
            <w:rStyle w:val="Hyperlink"/>
          </w:rPr>
          <w:t xml:space="preserve">10.1145/2851581.2886436</w:t>
        </w:r>
      </w:hyperlink>
      <w:r>
        <w:t xml:space="preserve">.</w:t>
      </w:r>
    </w:p>
    <w:bookmarkEnd w:id="131"/>
    <w:bookmarkStart w:id="133"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32">
        <w:r>
          <w:rPr>
            <w:rStyle w:val="Hyperlink"/>
          </w:rPr>
          <w:t xml:space="preserve">https://books.google.co.uk/books?id=W7ZEDgAAQBAJ</w:t>
        </w:r>
      </w:hyperlink>
      <w:r>
        <w:t xml:space="preserve">.</w:t>
      </w:r>
    </w:p>
    <w:bookmarkEnd w:id="133"/>
    <w:bookmarkEnd w:id="134"/>
    <w:bookmarkEnd w:id="1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3" Target="media/rId53.jpg" /><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08" Target="http://www3.weforum.org/docs/WEF_RethinkingPersonalData_TrustandContext_Report_2014.pdf" TargetMode="External" /><Relationship Type="http://schemas.openxmlformats.org/officeDocument/2006/relationships/hyperlink" Id="rId80" Target="https://bit.ly/bbc-pds-research-bowyer" TargetMode="External" /><Relationship Type="http://schemas.openxmlformats.org/officeDocument/2006/relationships/hyperlink" Id="rId132"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1" Target="https://doi.org/10.1016/b978-1-55860-092-8.50006-x" TargetMode="External" /><Relationship Type="http://schemas.openxmlformats.org/officeDocument/2006/relationships/hyperlink" Id="rId99"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1" Target="https://doi.org/10.1145/1011870.1011885" TargetMode="External" /><Relationship Type="http://schemas.openxmlformats.org/officeDocument/2006/relationships/hyperlink" Id="rId112"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0"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6" Target="https://doi.org/10.2139/ssrn.2508051" TargetMode="External" /><Relationship Type="http://schemas.openxmlformats.org/officeDocument/2006/relationships/hyperlink" Id="rId114"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4" Target="https://memory.ai/timely-blog/the-attention-economy" TargetMode="External" /><Relationship Type="http://schemas.openxmlformats.org/officeDocument/2006/relationships/hyperlink" Id="rId110" Target="https://perma.cc/92LZ-B8DN]." TargetMode="External" /><Relationship Type="http://schemas.openxmlformats.org/officeDocument/2006/relationships/hyperlink" Id="rId88" Target="https://web.archive.org/web/20111231165329/http://www.human20.com/" TargetMode="External" /><Relationship Type="http://schemas.openxmlformats.org/officeDocument/2006/relationships/hyperlink" Id="rId118"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3" Target="https://www.businessinsider.com/cambridge-analytica-whistleblower-christopher-wylie-facebook-data-2019-10?r=US&amp;IR=T" TargetMode="External" /><Relationship Type="http://schemas.openxmlformats.org/officeDocument/2006/relationships/hyperlink" Id="rId95" Target="https://www.collinsdictionary.com/dictionary/english/bleeding-edge" TargetMode="External" /><Relationship Type="http://schemas.openxmlformats.org/officeDocument/2006/relationships/hyperlink" Id="rId106" Target="https://www.sitra.fi/en/projects/digipower-investigation/#what-is-it-about" TargetMode="External" /><Relationship Type="http://schemas.openxmlformats.org/officeDocument/2006/relationships/hyperlink" Id="rId104" Target="https://www.sitra.fi/en/publications/tracking-digipower/" TargetMode="External" /><Relationship Type="http://schemas.openxmlformats.org/officeDocument/2006/relationships/hyperlink" Id="rId128" Target="https://www.ted.com/talks/zeynep_tufekci_we_re_building_a_dystopia_just_to_make_people_click_on_ads" TargetMode="External" /><Relationship Type="http://schemas.openxmlformats.org/officeDocument/2006/relationships/hyperlink" Id="rId126"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08" Target="http://www3.weforum.org/docs/WEF_RethinkingPersonalData_TrustandContext_Report_2014.pdf" TargetMode="External" /><Relationship Type="http://schemas.openxmlformats.org/officeDocument/2006/relationships/hyperlink" Id="rId80" Target="https://bit.ly/bbc-pds-research-bowyer" TargetMode="External" /><Relationship Type="http://schemas.openxmlformats.org/officeDocument/2006/relationships/hyperlink" Id="rId132"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1" Target="https://doi.org/10.1016/b978-1-55860-092-8.50006-x" TargetMode="External" /><Relationship Type="http://schemas.openxmlformats.org/officeDocument/2006/relationships/hyperlink" Id="rId99"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1" Target="https://doi.org/10.1145/1011870.1011885" TargetMode="External" /><Relationship Type="http://schemas.openxmlformats.org/officeDocument/2006/relationships/hyperlink" Id="rId112"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0"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6" Target="https://doi.org/10.2139/ssrn.2508051" TargetMode="External" /><Relationship Type="http://schemas.openxmlformats.org/officeDocument/2006/relationships/hyperlink" Id="rId114"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4" Target="https://memory.ai/timely-blog/the-attention-economy" TargetMode="External" /><Relationship Type="http://schemas.openxmlformats.org/officeDocument/2006/relationships/hyperlink" Id="rId110" Target="https://perma.cc/92LZ-B8DN]." TargetMode="External" /><Relationship Type="http://schemas.openxmlformats.org/officeDocument/2006/relationships/hyperlink" Id="rId88" Target="https://web.archive.org/web/20111231165329/http://www.human20.com/" TargetMode="External" /><Relationship Type="http://schemas.openxmlformats.org/officeDocument/2006/relationships/hyperlink" Id="rId118"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3" Target="https://www.businessinsider.com/cambridge-analytica-whistleblower-christopher-wylie-facebook-data-2019-10?r=US&amp;IR=T" TargetMode="External" /><Relationship Type="http://schemas.openxmlformats.org/officeDocument/2006/relationships/hyperlink" Id="rId95" Target="https://www.collinsdictionary.com/dictionary/english/bleeding-edge" TargetMode="External" /><Relationship Type="http://schemas.openxmlformats.org/officeDocument/2006/relationships/hyperlink" Id="rId106" Target="https://www.sitra.fi/en/projects/digipower-investigation/#what-is-it-about" TargetMode="External" /><Relationship Type="http://schemas.openxmlformats.org/officeDocument/2006/relationships/hyperlink" Id="rId104" Target="https://www.sitra.fi/en/publications/tracking-digipower/" TargetMode="External" /><Relationship Type="http://schemas.openxmlformats.org/officeDocument/2006/relationships/hyperlink" Id="rId128" Target="https://www.ted.com/talks/zeynep_tufekci_we_re_building_a_dystopia_just_to_make_people_click_on_ads" TargetMode="External" /><Relationship Type="http://schemas.openxmlformats.org/officeDocument/2006/relationships/hyperlink" Id="rId126"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2022-08-20T21:10:19Z</dcterms:created>
  <dcterms:modified xsi:type="dcterms:W3CDTF">2022-08-20T21:10:19Z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