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 </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w:t>
      </w:r>
      <w:r>
        <w:t xml:space="preserve"> </w:t>
      </w:r>
      <w:r>
        <w:rPr>
          <w:bCs/>
          <w:b/>
        </w:rPr>
        <w:t xml:space="preserve">a more effective relationship with their own data</w:t>
      </w:r>
      <w:r>
        <w:t xml:space="preserve">.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First, through academic inquiry, it makes a novel contribution to knowledge, examining deeply how people relate to data, what capabilities people need, and how they would like service providers to handle their data. The thesis takes a broader perspective than current work in the field of Human-Computer Interaction (HCI), which tends to focus upon the mechanisms by which humans interact with data without considering the problem of asymmetric power over data from a sociotechnical perspective, which is necessary if societal benefits are to be achieved.</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w:t>
      </w:r>
      <w:r>
        <w:t xml:space="preserve"> </w:t>
      </w:r>
      <w:r>
        <w:rPr>
          <w:bCs/>
          <w:b/>
        </w:rPr>
        <w:t xml:space="preserve">a tool to be exploited</w:t>
      </w:r>
      <w:r>
        <w:t xml:space="preserve">, mastered and bent to your will. Then, in my formative years approaching the turn of the millennium, I lived through the birth of the public Internet and marvelled at the ability for computers to connect people across the world,</w:t>
      </w:r>
      <w:r>
        <w:t xml:space="preserve"> </w:t>
      </w:r>
      <w:r>
        <w:rPr>
          <w:bCs/>
          <w:b/>
        </w:rPr>
        <w:t xml:space="preserve">empower individuals</w:t>
      </w:r>
      <w:r>
        <w:t xml:space="preserve"> </w:t>
      </w:r>
      <w:r>
        <w:t xml:space="preserve">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w:t>
      </w:r>
      <w:r>
        <w:t xml:space="preserve"> </w:t>
      </w:r>
      <w:r>
        <w:rPr>
          <w:bCs/>
          <w:b/>
        </w:rPr>
        <w:t xml:space="preserve">directly benefit users and improve their lives</w:t>
      </w:r>
      <w:r>
        <w:t xml:space="preserve">. Keenly tracking and embracing the Web 2.0 revolution while observing the digitisation and disruption of so many industries, I became fascinated with the ways in which</w:t>
      </w:r>
      <w:r>
        <w:t xml:space="preserve"> </w:t>
      </w:r>
      <w:r>
        <w:rPr>
          <w:bCs/>
          <w:b/>
        </w:rPr>
        <w:t xml:space="preserve">humans were shaping computer systems which in turn were shaping our habits and our society</w:t>
      </w:r>
      <w:r>
        <w:t xml:space="preserve">,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w:t>
      </w:r>
      <w:r>
        <w:t xml:space="preserve"> </w:t>
      </w:r>
      <w:r>
        <w:rPr>
          <w:bCs/>
          <w:b/>
        </w:rPr>
        <w:t xml:space="preserve">Internet-era computing give us new capabilities</w:t>
      </w:r>
      <w:r>
        <w:t xml:space="preserve">, and knowing the potential of computers to become tools for positive change in society, I bore witness to a changing world, where, through the digitalisation of businesses and the shift to data-centric cloud-centric business models, we began, and continue to,</w:t>
      </w:r>
      <w:r>
        <w:t xml:space="preserve"> </w:t>
      </w:r>
      <w:r>
        <w:rPr>
          <w:bCs/>
          <w:b/>
        </w:rPr>
        <w:t xml:space="preserve">lose the ability to harness computers for our own ends</w:t>
      </w:r>
      <w:r>
        <w:t xml:space="preserve">.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w:t>
      </w:r>
      <w:r>
        <w:t xml:space="preserve"> </w:t>
      </w:r>
      <w:r>
        <w:rPr>
          <w:bCs/>
          <w:b/>
        </w:rPr>
        <w:t xml:space="preserve">withered away in the shadow of new data giants</w:t>
      </w:r>
      <w:r>
        <w:t xml:space="preserve"> </w:t>
      </w:r>
      <w:r>
        <w:t xml:space="preserve">Google, Facebook, Apple and Amazon and their</w:t>
      </w:r>
      <w:r>
        <w:t xml:space="preserve"> </w:t>
      </w:r>
      <w:r>
        <w:rPr>
          <w:bCs/>
          <w:b/>
        </w:rPr>
        <w:t xml:space="preserve">reshaping and usurping of Internet and smartphone technologies</w:t>
      </w:r>
      <w:r>
        <w:t xml:space="preserve">.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w:t>
      </w:r>
      <w:r>
        <w:t xml:space="preserve"> </w:t>
      </w:r>
      <w:r>
        <w:rPr>
          <w:bCs/>
          <w:b/>
        </w:rPr>
        <w:t xml:space="preserve">how people relate to data</w:t>
      </w:r>
      <w:r>
        <w:t xml:space="preserve">, how they understand and use it, and</w:t>
      </w:r>
      <w:r>
        <w:t xml:space="preserve"> </w:t>
      </w:r>
      <w:r>
        <w:rPr>
          <w:bCs/>
          <w:b/>
        </w:rPr>
        <w:t xml:space="preserve">what they need from it and its holders</w:t>
      </w:r>
      <w:r>
        <w:t xml:space="preserve"> </w:t>
      </w:r>
      <w:r>
        <w:t xml:space="preserve">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numPr>
          <w:ilvl w:val="0"/>
          <w:numId w:val="1001"/>
        </w:numPr>
        <w:pStyle w:val="Compact"/>
      </w:pPr>
      <w:r>
        <w:rPr>
          <w:bCs/>
          <w:b/>
        </w:rPr>
        <w:t xml:space="preserve">RQ1. What is the human experience of personal data, and what do people want from their data?</w:t>
      </w:r>
      <w:r>
        <w:t xml:space="preserve"> </w:t>
      </w:r>
      <w:r>
        <w:t xml:space="preserve">[</w:t>
      </w:r>
      <w:hyperlink w:anchor="RQ1">
        <w:r>
          <w:rPr>
            <w:rStyle w:val="Hyperlink"/>
          </w:rPr>
          <w:t xml:space="preserve">3.3.1</w:t>
        </w:r>
      </w:hyperlink>
      <w:r>
        <w:t xml:space="preserve">]</w:t>
      </w:r>
    </w:p>
    <w:p>
      <w:pPr>
        <w:numPr>
          <w:ilvl w:val="0"/>
          <w:numId w:val="1001"/>
        </w:numPr>
        <w:pStyle w:val="Compact"/>
      </w:pPr>
      <w:r>
        <w:rPr>
          <w:bCs/>
          <w:b/>
        </w:rPr>
        <w:t xml:space="preserve">RQ2. What role does data play in people’s service relationships, and how could relationships involving data be improved?</w:t>
      </w:r>
      <w:r>
        <w:t xml:space="preserve"> </w:t>
      </w:r>
      <w:r>
        <w:t xml:space="preserve">[</w:t>
      </w:r>
      <w:hyperlink w:anchor="RQ2">
        <w:r>
          <w:rPr>
            <w:rStyle w:val="Hyperlink"/>
          </w:rPr>
          <w:t xml:space="preserve">3.3.2</w:t>
        </w:r>
      </w:hyperlink>
      <w:r>
        <w:t xml:space="preserve">]</w:t>
      </w:r>
    </w:p>
    <w:p>
      <w:pPr>
        <w:pStyle w:val="FirstParagraph"/>
      </w:pPr>
      <w:r>
        <w:t xml:space="preserve">This thesis assumes that if the</w:t>
      </w:r>
      <w:r>
        <w:t xml:space="preserve"> </w:t>
      </w:r>
      <w:r>
        <w:rPr>
          <w:bCs/>
          <w:b/>
        </w:rPr>
        <w:t xml:space="preserve">asymmetry over data access and use between individuals and organisations holding data is to be addressed</w:t>
      </w:r>
      <w:r>
        <w:t xml:space="preserve">, that a greater understanding of current data use issues is needed by all parties, and that the</w:t>
      </w:r>
      <w:r>
        <w:t xml:space="preserve"> </w:t>
      </w:r>
      <w:r>
        <w:rPr>
          <w:bCs/>
          <w:b/>
        </w:rPr>
        <w:t xml:space="preserve">production of knowledge and insights</w:t>
      </w:r>
      <w:r>
        <w:t xml:space="preserve"> </w:t>
      </w:r>
      <w:r>
        <w:t xml:space="preserve">is therefore a vital first step towards the pursuit of a more balanced model of data use that can deliver</w:t>
      </w:r>
      <w:r>
        <w:t xml:space="preserve"> </w:t>
      </w:r>
      <w:r>
        <w:rPr>
          <w:bCs/>
          <w:b/>
        </w:rPr>
        <w:t xml:space="preserve">increased agency and negotiability</w:t>
      </w:r>
      <w:r>
        <w:t xml:space="preserve">.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rPr>
          <w:iCs/>
          <w:i/>
        </w:rPr>
        <w:t xml:space="preserve">‘</w:t>
      </w:r>
      <w:r>
        <w:rPr>
          <w:iCs/>
          <w:i/>
        </w:rPr>
        <w:t xml:space="preserve">look behind the curtain</w:t>
      </w:r>
      <w:r>
        <w:rPr>
          <w:iCs/>
          <w:i/>
        </w:rP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2"/>
        </w:numPr>
        <w:pStyle w:val="Compact"/>
      </w:pPr>
      <w:r>
        <w:rPr>
          <w:bCs/>
          <w:b/>
        </w:rPr>
        <w:t xml:space="preserve">Case Study One</w:t>
      </w:r>
      <w:r>
        <w:t xml:space="preserve">: 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2"/>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w:t>
      </w:r>
      <w:r>
        <w:t xml:space="preserve"> </w:t>
      </w:r>
      <w:r>
        <w:rPr>
          <w:bCs/>
          <w:b/>
        </w:rPr>
        <w:t xml:space="preserve">synthesis and analysis of interview data</w:t>
      </w:r>
      <w:r>
        <w:t xml:space="preserve"> </w:t>
      </w:r>
      <w:r>
        <w:t xml:space="preserve">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w:t>
      </w:r>
      <w:r>
        <w:t xml:space="preserve"> </w:t>
      </w:r>
      <w:r>
        <w:rPr>
          <w:bCs/>
          <w:b/>
        </w:rPr>
        <w:t xml:space="preserve">generation of a descriptive model to address the research gap</w:t>
      </w:r>
      <w:r>
        <w:t xml:space="preserve">,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w:t>
      </w:r>
      <w:r>
        <w:t xml:space="preserve"> </w:t>
      </w:r>
      <w:r>
        <w:rPr>
          <w:bCs/>
          <w:b/>
        </w:rPr>
        <w:t xml:space="preserve">designerly thoughts, models and ideas</w:t>
      </w:r>
      <w:r>
        <w:t xml:space="preserve"> </w:t>
      </w:r>
      <w:r>
        <w:t xml:space="preserve">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rPr>
          <w:iCs/>
          <w:i/>
        </w:rPr>
        <w:t xml:space="preserve">‘</w:t>
      </w:r>
      <w:r>
        <w:rPr>
          <w:iCs/>
          <w:i/>
        </w:rPr>
        <w:t xml:space="preserve">in the wild</w:t>
      </w:r>
      <w:r>
        <w:rPr>
          <w:iCs/>
          <w:i/>
        </w:rPr>
        <w:t xml:space="preserve">’</w:t>
      </w:r>
      <w:r>
        <w:t xml:space="preserve"> </w:t>
      </w:r>
      <w:r>
        <w:t xml:space="preserve">evaluation of particular data interaction approaches or interface designs. Instead, drawing upon</w:t>
      </w:r>
      <w:r>
        <w:t xml:space="preserve"> </w:t>
      </w:r>
      <w:r>
        <w:rPr>
          <w:bCs/>
          <w:b/>
        </w:rPr>
        <w:t xml:space="preserve">direct experience in related industrial research</w:t>
      </w:r>
      <w:r>
        <w:t xml:space="preserve"> </w:t>
      </w:r>
      <w:r>
        <w:t xml:space="preserve">as well as the work of other researchers and innovators in this space, this thesis prioritises the documentation of obstacles, important insights and opportunities for future work. The primary contribution here, as the thesis concludes, is to</w:t>
      </w:r>
      <w:r>
        <w:t xml:space="preserve"> </w:t>
      </w:r>
      <w:r>
        <w:rPr>
          <w:bCs/>
          <w:b/>
        </w:rPr>
        <w:t xml:space="preserve">map out current, emergent and future approaches for improving people’s agency and negotiability</w:t>
      </w:r>
      <w:r>
        <w:t xml:space="preserve">,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3">
        <w:r>
          <w:rPr>
            <w:rStyle w:val="Hyperlink"/>
          </w:rPr>
          <w:t xml:space="preserve">13</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7"/>
        </w:numPr>
        <w:pStyle w:val="Compact"/>
      </w:pPr>
      <w:r>
        <w:rPr>
          <w:bCs/>
          <w:b/>
        </w:rPr>
        <w:t xml:space="preserve">data awareness and understanding</w:t>
      </w:r>
    </w:p>
    <w:p>
      <w:pPr>
        <w:numPr>
          <w:ilvl w:val="0"/>
          <w:numId w:val="1007"/>
        </w:numPr>
        <w:pStyle w:val="Compact"/>
      </w:pPr>
      <w:r>
        <w:rPr>
          <w:bCs/>
          <w:b/>
        </w:rPr>
        <w:t xml:space="preserve">data useability</w:t>
      </w:r>
    </w:p>
    <w:p>
      <w:pPr>
        <w:numPr>
          <w:ilvl w:val="0"/>
          <w:numId w:val="1007"/>
        </w:numPr>
        <w:pStyle w:val="Compact"/>
      </w:pPr>
      <w:r>
        <w:rPr>
          <w:bCs/>
          <w:b/>
        </w:rPr>
        <w:t xml:space="preserve">ecosystem awareness and understanding</w:t>
      </w:r>
    </w:p>
    <w:p>
      <w:pPr>
        <w:numPr>
          <w:ilvl w:val="0"/>
          <w:numId w:val="1007"/>
        </w:numPr>
        <w:pStyle w:val="Compact"/>
      </w:pPr>
      <w:r>
        <w:rPr>
          <w:bCs/>
          <w:b/>
        </w:rPr>
        <w:t xml:space="preserve">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8"/>
        </w:numPr>
        <w:pStyle w:val="Compact"/>
      </w:pPr>
      <w:r>
        <w:rPr>
          <w:bCs/>
          <w:b/>
        </w:rPr>
        <w:t xml:space="preserve">Life Information Utilisation</w:t>
      </w:r>
      <w:r>
        <w:t xml:space="preserve">, and</w:t>
      </w:r>
    </w:p>
    <w:p>
      <w:pPr>
        <w:numPr>
          <w:ilvl w:val="0"/>
          <w:numId w:val="1008"/>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9"/>
        </w:numPr>
        <w:pStyle w:val="Compact"/>
      </w:pPr>
      <w:r>
        <w:t xml:space="preserve">the personal data diaspora,</w:t>
      </w:r>
    </w:p>
    <w:p>
      <w:pPr>
        <w:numPr>
          <w:ilvl w:val="0"/>
          <w:numId w:val="1009"/>
        </w:numPr>
        <w:pStyle w:val="Compact"/>
      </w:pPr>
      <w:r>
        <w:t xml:space="preserve">the intractable data self,</w:t>
      </w:r>
    </w:p>
    <w:p>
      <w:pPr>
        <w:numPr>
          <w:ilvl w:val="0"/>
          <w:numId w:val="1009"/>
        </w:numPr>
        <w:pStyle w:val="Compact"/>
      </w:pPr>
      <w:r>
        <w:t xml:space="preserve">immobile, illegible and unmalleable data,</w:t>
      </w:r>
    </w:p>
    <w:p>
      <w:pPr>
        <w:numPr>
          <w:ilvl w:val="0"/>
          <w:numId w:val="1009"/>
        </w:numPr>
        <w:pStyle w:val="Compact"/>
      </w:pPr>
      <w:r>
        <w:t xml:space="preserve">hegemony and active diminishing of user agency by data holders,</w:t>
      </w:r>
    </w:p>
    <w:p>
      <w:pPr>
        <w:numPr>
          <w:ilvl w:val="0"/>
          <w:numId w:val="1009"/>
        </w:numPr>
        <w:pStyle w:val="Compact"/>
      </w:pPr>
      <w:r>
        <w:t xml:space="preserve">closed, introspective and insular practices,</w:t>
      </w:r>
    </w:p>
    <w:p>
      <w:pPr>
        <w:numPr>
          <w:ilvl w:val="0"/>
          <w:numId w:val="1009"/>
        </w:numPr>
        <w:pStyle w:val="Compact"/>
      </w:pPr>
      <w:r>
        <w:t xml:space="preserve">a lack of demand and investment in HDR from individuals and organisations, and</w:t>
      </w:r>
    </w:p>
    <w:p>
      <w:pPr>
        <w:numPr>
          <w:ilvl w:val="0"/>
          <w:numId w:val="1009"/>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10"/>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10"/>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10"/>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10"/>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1"/>
        </w:numPr>
        <w:pStyle w:val="Compact"/>
      </w:pPr>
      <w:r>
        <w:t xml:space="preserve">appreciating the value of personal data;</w:t>
      </w:r>
    </w:p>
    <w:p>
      <w:pPr>
        <w:numPr>
          <w:ilvl w:val="0"/>
          <w:numId w:val="1011"/>
        </w:numPr>
        <w:pStyle w:val="Compact"/>
      </w:pPr>
      <w:r>
        <w:t xml:space="preserve">understanding the implications of organisational data use;</w:t>
      </w:r>
    </w:p>
    <w:p>
      <w:pPr>
        <w:numPr>
          <w:ilvl w:val="0"/>
          <w:numId w:val="1011"/>
        </w:numPr>
        <w:pStyle w:val="Compact"/>
      </w:pPr>
      <w:r>
        <w:t xml:space="preserve">recognising why portable data and app/data separation is important;</w:t>
      </w:r>
    </w:p>
    <w:p>
      <w:pPr>
        <w:numPr>
          <w:ilvl w:val="0"/>
          <w:numId w:val="1011"/>
        </w:numPr>
        <w:pStyle w:val="Compact"/>
      </w:pPr>
      <w:r>
        <w:t xml:space="preserve">knowing how to exercise data rights and evaluate responses;</w:t>
      </w:r>
    </w:p>
    <w:p>
      <w:pPr>
        <w:numPr>
          <w:ilvl w:val="0"/>
          <w:numId w:val="1011"/>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2"/>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2"/>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2"/>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3"/>
        </w:numPr>
        <w:pStyle w:val="Compact"/>
      </w:pPr>
      <w:r>
        <w:rPr>
          <w:bCs/>
          <w:b/>
        </w:rPr>
        <w:t xml:space="preserve">Volunteered Data</w:t>
      </w:r>
    </w:p>
    <w:p>
      <w:pPr>
        <w:numPr>
          <w:ilvl w:val="0"/>
          <w:numId w:val="1013"/>
        </w:numPr>
        <w:pStyle w:val="Compact"/>
      </w:pPr>
      <w:r>
        <w:rPr>
          <w:bCs/>
          <w:b/>
        </w:rPr>
        <w:t xml:space="preserve">Observed Data</w:t>
      </w:r>
    </w:p>
    <w:p>
      <w:pPr>
        <w:numPr>
          <w:ilvl w:val="0"/>
          <w:numId w:val="1013"/>
        </w:numPr>
        <w:pStyle w:val="Compact"/>
      </w:pPr>
      <w:r>
        <w:rPr>
          <w:bCs/>
          <w:b/>
        </w:rPr>
        <w:t xml:space="preserve">Derived Data</w:t>
      </w:r>
    </w:p>
    <w:p>
      <w:pPr>
        <w:numPr>
          <w:ilvl w:val="0"/>
          <w:numId w:val="1013"/>
        </w:numPr>
        <w:pStyle w:val="Compact"/>
      </w:pPr>
      <w:r>
        <w:rPr>
          <w:bCs/>
          <w:b/>
        </w:rPr>
        <w:t xml:space="preserve">Acquired Data</w:t>
      </w:r>
    </w:p>
    <w:p>
      <w:pPr>
        <w:numPr>
          <w:ilvl w:val="0"/>
          <w:numId w:val="1013"/>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5">
        <w:r>
          <w:rPr>
            <w:rStyle w:val="Hyperlink"/>
          </w:rPr>
          <w:t xml:space="preserve">Table 5.5</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4"/>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4"/>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4"/>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5"/>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6"/>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7"/>
        </w:numPr>
        <w:pStyle w:val="Compact"/>
      </w:pPr>
      <w:hyperlink r:id="rId38">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8"/>
        </w:numPr>
        <w:pStyle w:val="Compact"/>
      </w:pPr>
      <w:hyperlink r:id="rId39">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8"/>
        </w:numPr>
        <w:pStyle w:val="Compact"/>
      </w:pPr>
      <w:hyperlink r:id="rId40">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8"/>
        </w:numPr>
        <w:pStyle w:val="Compact"/>
      </w:pPr>
      <w:hyperlink r:id="rId41">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8"/>
        </w:numPr>
        <w:pStyle w:val="Compact"/>
      </w:pPr>
      <w:hyperlink r:id="rId42">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lecture">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8"/>
        </w:numPr>
        <w:pStyle w:val="Compact"/>
      </w:pPr>
      <w:hyperlink r:id="rId43">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8"/>
        </w:numPr>
        <w:pStyle w:val="Compact"/>
      </w:pPr>
      <w:hyperlink r:id="rId44">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from peripheral work [</w:t>
      </w:r>
      <w:hyperlink w:anchor="appendix-d">
        <w:r>
          <w:rPr>
            <w:rStyle w:val="Hyperlink"/>
          </w:rPr>
          <w:t xml:space="preserve">Appendix D</w:t>
        </w:r>
      </w:hyperlink>
      <w:r>
        <w:t xml:space="preserve">] tangential to my primary research agenda:</w:t>
      </w:r>
    </w:p>
    <w:p>
      <w:pPr>
        <w:numPr>
          <w:ilvl w:val="0"/>
          <w:numId w:val="1019"/>
        </w:numPr>
        <w:pStyle w:val="Compact"/>
      </w:pPr>
      <w:r>
        <w:t xml:space="preserve">As a researcher and developer on the Connected Health Cities SILVER project [</w:t>
      </w:r>
      <w:hyperlink w:anchor="Xd1b935e29e3fe3be100369af902a8e47d687d29">
        <w:r>
          <w:rPr>
            <w:rStyle w:val="Hyperlink"/>
          </w:rPr>
          <w:t xml:space="preserve">3.4.1</w:t>
        </w:r>
      </w:hyperlink>
      <w:r>
        <w:t xml:space="preserve">], I contributed to work published through Newcastle University’s internal report to CHC (not publicly available) and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9"/>
        </w:numPr>
        <w:pStyle w:val="Compact"/>
      </w:pPr>
      <w:r>
        <w:t xml:space="preserve">As a researcher and developer on DERC’s Healthy Eating project, I developed interface prototypes (no longer online) and was co-author to two research publications</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9"/>
        </w:numPr>
        <w:pStyle w:val="Compact"/>
      </w:pPr>
      <w:r>
        <w:t xml:space="preserve">As a research intern on BBC R&amp;D’s Cornmarket project</w:t>
      </w:r>
      <w:r>
        <w:t xml:space="preserve"> </w:t>
      </w:r>
      <w:r>
        <w:t xml:space="preserve">(</w:t>
      </w:r>
      <w:hyperlink w:anchor="ref-sharp2021">
        <w:r>
          <w:rPr>
            <w:rStyle w:val="Hyperlink"/>
          </w:rPr>
          <w:t xml:space="preserve">Sharp, 2021</w:t>
        </w:r>
      </w:hyperlink>
      <w:r>
        <w:t xml:space="preserve">)</w:t>
      </w:r>
      <w:r>
        <w:t xml:space="preserve">, I published an internal research report [TODO 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[TODO ADD REF].</w:t>
      </w:r>
    </w:p>
    <w:p>
      <w:pPr>
        <w:numPr>
          <w:ilvl w:val="0"/>
          <w:numId w:val="1019"/>
        </w:numPr>
        <w:pStyle w:val="Compact"/>
      </w:pPr>
      <w:r>
        <w:t xml:space="preserve">As project leader, data access coach and researcher 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56" w:name="figure-1.2"/>
      <w:r>
        <w:drawing>
          <wp:inline>
            <wp:extent cx="5334000" cy="2160253"/>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160253"/>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central academic research of the thesis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p>
    <w:p>
      <w:r>
        <w:pict>
          <v:rect style="width:0;height:1.5pt" o:hralign="center" o:hrstd="t" o:hr="t"/>
        </w:pict>
      </w:r>
    </w:p>
    <w:bookmarkEnd w:id="57"/>
    <w:bookmarkEnd w:id="58"/>
    <w:bookmarkStart w:id="132" w:name="bibliography"/>
    <w:p>
      <w:pPr>
        <w:pStyle w:val="Heading1"/>
      </w:pPr>
      <w:r>
        <w:t xml:space="preserve">Bibliography</w:t>
      </w:r>
    </w:p>
    <w:bookmarkStart w:id="131"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79"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79"/>
    <w:bookmarkStart w:id="80" w:name="ref-bowyer2020lecture"/>
    <w:p>
      <w:pPr>
        <w:pStyle w:val="Bibliography"/>
      </w:pPr>
      <w:r>
        <w:t xml:space="preserve">Bowyer, A. (2020)</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0"/>
    <w:bookmarkStart w:id="82"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1">
        <w:r>
          <w:rPr>
            <w:rStyle w:val="Hyperlink"/>
          </w:rPr>
          <w:t xml:space="preserve">https://eprints.ncl.ac.uk/273832#.</w:t>
        </w:r>
      </w:hyperlink>
    </w:p>
    <w:bookmarkEnd w:id="82"/>
    <w:bookmarkStart w:id="83"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3"/>
    <w:bookmarkStart w:id="84"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4"/>
    <w:bookmarkStart w:id="85"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5"/>
    <w:bookmarkStart w:id="87" w:name="ref-bowyer2009human"/>
    <w:p>
      <w:pPr>
        <w:pStyle w:val="Bibliography"/>
      </w:pPr>
      <w:r>
        <w:t xml:space="preserve">Bowyer, A. and Croll, A. (2009-2011)</w:t>
      </w:r>
      <w:r>
        <w:t xml:space="preserve"> </w:t>
      </w:r>
      <w:r>
        <w:t xml:space="preserve">‘Human 2.0’</w:t>
      </w:r>
      <w:r>
        <w:t xml:space="preserve">. Available at:</w:t>
      </w:r>
      <w:r>
        <w:t xml:space="preserve"> </w:t>
      </w:r>
      <w:hyperlink r:id="rId86">
        <w:r>
          <w:rPr>
            <w:rStyle w:val="Hyperlink"/>
          </w:rPr>
          <w:t xml:space="preserve">https://web.archive.org/web/20111231165329/http://www.human20.com/</w:t>
        </w:r>
      </w:hyperlink>
      <w:r>
        <w:t xml:space="preserve">.</w:t>
      </w:r>
    </w:p>
    <w:bookmarkEnd w:id="87"/>
    <w:bookmarkStart w:id="88"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88"/>
    <w:bookmarkStart w:id="90"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9">
        <w:r>
          <w:rPr>
            <w:rStyle w:val="Hyperlink"/>
          </w:rPr>
          <w:t xml:space="preserve">10.1145/1011870.1011885</w:t>
        </w:r>
      </w:hyperlink>
      <w:r>
        <w:t xml:space="preserve">.</w:t>
      </w:r>
    </w:p>
    <w:bookmarkEnd w:id="90"/>
    <w:bookmarkStart w:id="92"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1">
        <w:r>
          <w:rPr>
            <w:rStyle w:val="Hyperlink"/>
          </w:rPr>
          <w:t xml:space="preserve">https://www.businessinsider.com/cambridge-analytica-whistleblower-christopher-wylie-facebook-data-2019-10?r=US&amp;IR=T</w:t>
        </w:r>
      </w:hyperlink>
      <w:r>
        <w:t xml:space="preserve">.</w:t>
      </w:r>
    </w:p>
    <w:bookmarkEnd w:id="92"/>
    <w:bookmarkStart w:id="94"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3">
        <w:r>
          <w:rPr>
            <w:rStyle w:val="Hyperlink"/>
          </w:rPr>
          <w:t xml:space="preserve">https://www.collinsdictionary.com/dictionary/english/bleeding-edge</w:t>
        </w:r>
      </w:hyperlink>
      <w:r>
        <w:t xml:space="preserve"> </w:t>
      </w:r>
      <w:r>
        <w:t xml:space="preserve">(Accessed: 29 July 2022).</w:t>
      </w:r>
    </w:p>
    <w:bookmarkEnd w:id="94"/>
    <w:bookmarkStart w:id="95"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5"/>
    <w:bookmarkStart w:id="97"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6">
        <w:r>
          <w:rPr>
            <w:rStyle w:val="Hyperlink"/>
          </w:rPr>
          <w:t xml:space="preserve">10.1016/j.ipm.2020.102307</w:t>
        </w:r>
      </w:hyperlink>
      <w:r>
        <w:t xml:space="preserve">.</w:t>
      </w:r>
    </w:p>
    <w:bookmarkEnd w:id="97"/>
    <w:bookmarkStart w:id="9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8"/>
    <w:bookmarkStart w:id="9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9"/>
    <w:bookmarkStart w:id="100"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0"/>
    <w:bookmarkStart w:id="102"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1">
        <w:r>
          <w:rPr>
            <w:rStyle w:val="Hyperlink"/>
          </w:rPr>
          <w:t xml:space="preserve">https://www.sitra.fi/en/publications/tracking-digipower/</w:t>
        </w:r>
      </w:hyperlink>
      <w:r>
        <w:t xml:space="preserve">.</w:t>
      </w:r>
    </w:p>
    <w:bookmarkEnd w:id="102"/>
    <w:bookmarkStart w:id="104" w:name="ref-härkönen2022project"/>
    <w:p>
      <w:pPr>
        <w:pStyle w:val="Bibliography"/>
      </w:pPr>
      <w:r>
        <w:t xml:space="preserve">Härkönen, T. and Vänskä, R. (2021). Sitra. Available at:</w:t>
      </w:r>
      <w:r>
        <w:t xml:space="preserve"> </w:t>
      </w:r>
      <w:hyperlink r:id="rId103">
        <w:r>
          <w:rPr>
            <w:rStyle w:val="Hyperlink"/>
          </w:rPr>
          <w:t xml:space="preserve">https://www.sitra.fi/en/projects/digipower-investigation/#what-is-it-about</w:t>
        </w:r>
      </w:hyperlink>
      <w:r>
        <w:t xml:space="preserve">.</w:t>
      </w:r>
    </w:p>
    <w:bookmarkEnd w:id="104"/>
    <w:bookmarkStart w:id="106"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5">
        <w:r>
          <w:rPr>
            <w:rStyle w:val="Hyperlink"/>
          </w:rPr>
          <w:t xml:space="preserve">http://www3.weforum.org/docs/WEF_RethinkingPersonalData_TrustandContext_Report_2014.pdf</w:t>
        </w:r>
      </w:hyperlink>
      <w:r>
        <w:t xml:space="preserve">.</w:t>
      </w:r>
    </w:p>
    <w:bookmarkEnd w:id="106"/>
    <w:bookmarkStart w:id="108"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07">
        <w:r>
          <w:rPr>
            <w:rStyle w:val="Hyperlink"/>
          </w:rPr>
          <w:t xml:space="preserve">https://perma.cc/92LZ-B8DN].</w:t>
        </w:r>
      </w:hyperlink>
    </w:p>
    <w:bookmarkEnd w:id="108"/>
    <w:bookmarkStart w:id="11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09">
        <w:r>
          <w:rPr>
            <w:rStyle w:val="Hyperlink"/>
          </w:rPr>
          <w:t xml:space="preserve">10.1145/2493432.2493446</w:t>
        </w:r>
      </w:hyperlink>
      <w:r>
        <w:t xml:space="preserve">.</w:t>
      </w:r>
    </w:p>
    <w:bookmarkEnd w:id="110"/>
    <w:bookmarkStart w:id="11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1">
        <w:r>
          <w:rPr>
            <w:rStyle w:val="Hyperlink"/>
          </w:rPr>
          <w:t xml:space="preserve">10.2139/ssrn.2508051</w:t>
        </w:r>
      </w:hyperlink>
      <w:r>
        <w:t xml:space="preserve">.</w:t>
      </w:r>
    </w:p>
    <w:bookmarkEnd w:id="112"/>
    <w:bookmarkStart w:id="114"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3">
        <w:r>
          <w:rPr>
            <w:rStyle w:val="Hyperlink"/>
          </w:rPr>
          <w:t xml:space="preserve">https://web.archive.org/web/20180727024332/https://digitalcivics.io/apply/</w:t>
        </w:r>
      </w:hyperlink>
      <w:r>
        <w:t xml:space="preserve"> </w:t>
      </w:r>
      <w:r>
        <w:t xml:space="preserve">(Accessed: 6 July 2022).</w:t>
      </w:r>
    </w:p>
    <w:bookmarkEnd w:id="114"/>
    <w:bookmarkStart w:id="115"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15"/>
    <w:bookmarkStart w:id="117"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16">
        <w:r>
          <w:rPr>
            <w:rStyle w:val="Hyperlink"/>
          </w:rPr>
          <w:t xml:space="preserve">https://www.bbc.co.uk/rd/blog/2021-09-personal-data-store-research</w:t>
        </w:r>
      </w:hyperlink>
      <w:r>
        <w:t xml:space="preserve">.</w:t>
      </w:r>
    </w:p>
    <w:bookmarkEnd w:id="117"/>
    <w:bookmarkStart w:id="119"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18">
        <w:r>
          <w:rPr>
            <w:rStyle w:val="Hyperlink"/>
          </w:rPr>
          <w:t xml:space="preserve">10.1016/b978-1-55860-092-8.50006-x</w:t>
        </w:r>
      </w:hyperlink>
      <w:r>
        <w:t xml:space="preserve">.</w:t>
      </w:r>
    </w:p>
    <w:bookmarkEnd w:id="119"/>
    <w:bookmarkStart w:id="120"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0"/>
    <w:bookmarkStart w:id="122"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1">
        <w:r>
          <w:rPr>
            <w:rStyle w:val="Hyperlink"/>
          </w:rPr>
          <w:t xml:space="preserve">https://memory.ai/timely-blog/the-attention-economy</w:t>
        </w:r>
      </w:hyperlink>
      <w:r>
        <w:t xml:space="preserve">.</w:t>
      </w:r>
    </w:p>
    <w:bookmarkEnd w:id="122"/>
    <w:bookmarkStart w:id="124"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3">
        <w:r>
          <w:rPr>
            <w:rStyle w:val="Hyperlink"/>
          </w:rPr>
          <w:t xml:space="preserve">https://www.wired.com/insights/2014/07/data-new-oil-digital-economy/</w:t>
        </w:r>
      </w:hyperlink>
      <w:r>
        <w:t xml:space="preserve">.</w:t>
      </w:r>
    </w:p>
    <w:bookmarkEnd w:id="124"/>
    <w:bookmarkStart w:id="126"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5">
        <w:r>
          <w:rPr>
            <w:rStyle w:val="Hyperlink"/>
          </w:rPr>
          <w:t xml:space="preserve">https://www.ted.com/talks/zeynep_tufekci_we_re_building_a_dystopia_just_to_make_people_click_on_ads</w:t>
        </w:r>
      </w:hyperlink>
      <w:r>
        <w:t xml:space="preserve">.</w:t>
      </w:r>
    </w:p>
    <w:bookmarkEnd w:id="126"/>
    <w:bookmarkStart w:id="128"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7">
        <w:r>
          <w:rPr>
            <w:rStyle w:val="Hyperlink"/>
          </w:rPr>
          <w:t xml:space="preserve">10.1145/2851581.2886436</w:t>
        </w:r>
      </w:hyperlink>
      <w:r>
        <w:t xml:space="preserve">.</w:t>
      </w:r>
    </w:p>
    <w:bookmarkEnd w:id="128"/>
    <w:bookmarkStart w:id="130"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29">
        <w:r>
          <w:rPr>
            <w:rStyle w:val="Hyperlink"/>
          </w:rPr>
          <w:t xml:space="preserve">https://books.google.co.uk/books?id=W7ZEDgAAQBAJ</w:t>
        </w:r>
      </w:hyperlink>
      <w:r>
        <w:t xml:space="preserve">.</w:t>
      </w:r>
    </w:p>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9"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18"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27"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1"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1"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86" Target="https://web.archive.org/web/20111231165329/http://www.human20.com/"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116" Target="https://www.bbc.co.uk/rd/blog/2021-09-personal-data-store-research"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5" Target="https://www.ted.com/talks/zeynep_tufekci_we_re_building_a_dystopia_just_to_make_people_click_on_ads" TargetMode="External" /><Relationship Type="http://schemas.openxmlformats.org/officeDocument/2006/relationships/hyperlink" Id="rId123"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9"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18"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27"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1"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1"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86" Target="https://web.archive.org/web/20111231165329/http://www.human20.com/"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116" Target="https://www.bbc.co.uk/rd/blog/2021-09-personal-data-store-research"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5" Target="https://www.ted.com/talks/zeynep_tufekci_we_re_building_a_dystopia_just_to_make_people_click_on_ads" TargetMode="External" /><Relationship Type="http://schemas.openxmlformats.org/officeDocument/2006/relationships/hyperlink" Id="rId123"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2022-08-19T13:35:56Z</dcterms:created>
  <dcterms:modified xsi:type="dcterms:W3CDTF">2022-08-19T13:35:56Z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