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approach-1">
        <w:r>
          <w:rPr>
            <w:rStyle w:val="Hyperlink"/>
          </w:rPr>
          <w:t xml:space="preserve">7.4.2</w:t>
        </w:r>
      </w:hyperlink>
      <w:r>
        <w:t xml:space="preserve">]</w:t>
      </w:r>
    </w:p>
    <w:p>
      <w:pPr>
        <w:numPr>
          <w:ilvl w:val="0"/>
          <w:numId w:val="1009"/>
        </w:numPr>
        <w:pStyle w:val="Compact"/>
      </w:pPr>
      <w:r>
        <w:t xml:space="preserve">Building the Human-Centric Future [</w:t>
      </w:r>
      <w:hyperlink w:anchor="approach-2">
        <w:r>
          <w:rPr>
            <w:rStyle w:val="Hyperlink"/>
          </w:rPr>
          <w:t xml:space="preserve">7.4.3</w:t>
        </w:r>
      </w:hyperlink>
      <w:r>
        <w:t xml:space="preserve">]</w:t>
      </w:r>
    </w:p>
    <w:p>
      <w:pPr>
        <w:numPr>
          <w:ilvl w:val="0"/>
          <w:numId w:val="1009"/>
        </w:numPr>
        <w:pStyle w:val="Compact"/>
      </w:pPr>
      <w:r>
        <w:t xml:space="preserve">Defending User Autonomy and Hacking the Information Landscape [</w:t>
      </w:r>
      <w:hyperlink w:anchor="approach-3">
        <w:r>
          <w:rPr>
            <w:rStyle w:val="Hyperlink"/>
          </w:rPr>
          <w:t xml:space="preserve">7.4.4</w:t>
        </w:r>
      </w:hyperlink>
      <w:r>
        <w:t xml:space="preserve">]</w:t>
      </w:r>
    </w:p>
    <w:p>
      <w:pPr>
        <w:numPr>
          <w:ilvl w:val="0"/>
          <w:numId w:val="1009"/>
        </w:numPr>
        <w:pStyle w:val="Compact"/>
      </w:pPr>
      <w:r>
        <w:t xml:space="preserve">Teaching, Championing and Selling the HDR Vision [</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 insights 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2022-08-22T10:45:20Z</dcterms:created>
  <dcterms:modified xsi:type="dcterms:W3CDTF">2022-08-22T10:45:20Z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