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5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63"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5"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[TODO address JG feedback]</w:t>
      </w:r>
    </w:p>
    <w:p>
      <w:pPr>
        <w:pStyle w:val="BodyText"/>
      </w:pPr>
      <w:r>
        <w:t xml:space="preserve">The collection, storage and exploitation of personal data about individuals has been a driving force in shaping the</w:t>
      </w:r>
      <w:r>
        <w:t xml:space="preserve"> </w:t>
      </w:r>
      <w:r>
        <w:rPr>
          <w:bCs/>
          <w:b/>
        </w:rPr>
        <w:t xml:space="preserve">data-centric</w:t>
      </w:r>
      <w:r>
        <w:t xml:space="preserve"> </w:t>
      </w:r>
      <w:r>
        <w:t xml:space="preserve">world we inhabit today. Every aspect of our lives involves the direct or indirect use of computer systems that attempt to</w:t>
      </w:r>
      <w:r>
        <w:t xml:space="preserve"> </w:t>
      </w:r>
      <w:r>
        <w:rPr>
          <w:bCs/>
          <w:b/>
        </w:rPr>
        <w:t xml:space="preserve">capture and represent individuals as data</w:t>
      </w:r>
      <w:r>
        <w:t xml:space="preserve">, so that organisations can serve more customers at scale, by reducing costly human interactions and relying increasingly (often algorithmically or in aggregate)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to choosing which advertisements or recommendations to serve to those individuals in an attempt to better persuade them to act. Data about people has become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the central resource underpinning the</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driving profit for many businesses today. This splintering</w:t>
      </w:r>
      <w:r>
        <w:t xml:space="preserve"> </w:t>
      </w:r>
      <w:r>
        <w:t xml:space="preserve">(</w:t>
      </w:r>
      <w:hyperlink w:anchor="ref-lemley2021">
        <w:r>
          <w:rPr>
            <w:rStyle w:val="Hyperlink"/>
          </w:rPr>
          <w:t xml:space="preserve">Lemley, 2021</w:t>
        </w:r>
      </w:hyperlink>
      <w:r>
        <w:t xml:space="preserve">)</w:t>
      </w:r>
      <w:r>
        <w:t xml:space="preserve"> </w:t>
      </w:r>
      <w:r>
        <w:t xml:space="preserve">of our digital selves across hundreds of different organisations’ computer systems has not only created</w:t>
      </w:r>
      <w:r>
        <w:t xml:space="preserve"> </w:t>
      </w:r>
      <w:r>
        <w:rPr>
          <w:iCs/>
          <w:i/>
        </w:rPr>
        <w:t xml:space="preserve">“</w:t>
      </w:r>
      <w:r>
        <w:rPr>
          <w:iCs/>
          <w:i/>
        </w:rPr>
        <w:t xml:space="preserve">a chaos of multiplicity in terms of technologies, use situations, methods and concepts</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for people to manage, but is</w:t>
      </w:r>
      <w:r>
        <w:t xml:space="preserve"> </w:t>
      </w:r>
      <w:r>
        <w:rPr>
          <w:bCs/>
          <w:b/>
        </w:rPr>
        <w:t xml:space="preserve">causing real harm both to individuals</w:t>
      </w:r>
      <w:r>
        <w:t xml:space="preserve"> </w:t>
      </w:r>
      <w:r>
        <w:t xml:space="preserve">- increasing overload, anxiety and distraction</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w:t>
      </w:r>
      <w:r>
        <w:t xml:space="preserve">-</w:t>
      </w:r>
      <w:r>
        <w:t xml:space="preserve"> </w:t>
      </w:r>
      <w:r>
        <w:rPr>
          <w:bCs/>
          <w:b/>
        </w:rPr>
        <w:t xml:space="preserve">and to society</w:t>
      </w:r>
      <w:r>
        <w:t xml:space="preserve"> </w:t>
      </w:r>
      <w:r>
        <w:t xml:space="preserve">- manipulating our attention, radicalising people and distorting democracy</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hyperlink w:anchor="ref-wef2014context">
        <w:r>
          <w:rPr>
            <w:rStyle w:val="Hyperlink"/>
          </w:rPr>
          <w:t xml:space="preserve">Hoffman, 2014</w:t>
        </w:r>
      </w:hyperlink>
      <w:r>
        <w:t xml:space="preserve">)</w:t>
      </w:r>
      <w:r>
        <w:t xml:space="preserve">.</w:t>
      </w:r>
    </w:p>
    <w:p>
      <w:pPr>
        <w:pStyle w:val="BodyText"/>
      </w:pPr>
      <w:r>
        <w:t xml:space="preserve">In this context, it is clear that it is very hard for people to have</w:t>
      </w:r>
      <w:r>
        <w:t xml:space="preserve"> </w:t>
      </w:r>
      <w:r>
        <w:rPr>
          <w:bCs/>
          <w:b/>
        </w:rPr>
        <w:t xml:space="preserve">an effective relationship with their own data</w:t>
      </w:r>
      <w:r>
        <w:t xml:space="preserve"> </w:t>
      </w:r>
      <w:r>
        <w:t xml:space="preserve">– they lack</w:t>
      </w:r>
      <w:r>
        <w:t xml:space="preserve"> </w:t>
      </w:r>
      <w:r>
        <w:rPr>
          <w:iCs/>
          <w:i/>
        </w:rPr>
        <w:t xml:space="preserve">agency</w:t>
      </w:r>
      <w:r>
        <w:t xml:space="preserve">,</w:t>
      </w:r>
      <w:r>
        <w:t xml:space="preserve"> </w:t>
      </w:r>
      <w:r>
        <w:rPr>
          <w:iCs/>
          <w:i/>
        </w:rPr>
        <w:t xml:space="preserve">negotiability</w:t>
      </w:r>
      <w:r>
        <w:t xml:space="preserve">, and</w:t>
      </w:r>
      <w:r>
        <w:t xml:space="preserve"> </w:t>
      </w:r>
      <w:r>
        <w:rPr>
          <w:iCs/>
          <w:i/>
        </w:rPr>
        <w:t xml:space="preserve">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Put simply, once the inevitable sacrifice of personal data has occurreed, there is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w:t>
      </w:r>
      <w:r>
        <w:t xml:space="preserve">beyond which individuals are cut out of the loop. Yet nonetheless,</w:t>
      </w:r>
      <w:r>
        <w:t xml:space="preserve"> </w:t>
      </w:r>
      <w:r>
        <w:rPr>
          <w:bCs/>
          <w:b/>
        </w:rPr>
        <w:t xml:space="preserve">people need to understand</w:t>
      </w:r>
      <w:r>
        <w:t xml:space="preserve"> </w:t>
      </w:r>
      <w:r>
        <w:t xml:space="preserve">the changing ways in which they are seen through data, or</w:t>
      </w:r>
      <w:r>
        <w:t xml:space="preserve"> </w:t>
      </w:r>
      <w:r>
        <w:rPr>
          <w:bCs/>
          <w:b/>
        </w:rPr>
        <w:t xml:space="preserve">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More than this, people need to be able to exert influence over their data, to express or adjust their consent dynamically as things change. Left unexplored and unchallenged, the situation will not improve, as the datafication of society grows, and user agency continues to diminish.</w:t>
      </w:r>
    </w:p>
    <w:p>
      <w:pPr>
        <w:pStyle w:val="BodyText"/>
      </w:pPr>
      <w:r>
        <w:t xml:space="preserve">This power imbalance and lack of agency &amp; negotiability is the problem space which this thesis delves into. Clearly, this is a critical problem for society, and in order to understand and validate these problems, and design possible solutions, there is a need for research into how people relate to data in today’s world, what capabilities they need from personal data, and how they would like service providers to handle their data. While many, especially in the field of Human-Computer Interaction (HCI), have researched the specific mechanisms by which humans interact with data, hew have looked at the sociotechnical nature of this problem of humans existing in a world where they have limited access to or agency over their personal data.</w:t>
      </w:r>
    </w:p>
    <w:p>
      <w:pPr>
        <w:pStyle w:val="BodyText"/>
      </w:pPr>
      <w:r>
        <w:t xml:space="preserve">I will now explain my personal motivation for conducting research in this problem space before outlining the objectives and structure of the research.</w:t>
      </w:r>
    </w:p>
    <w:bookmarkStart w:id="23"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[TODO update per JG feedback - split into short motivation here, and longer reflection later (7.5/8?)]</w:t>
      </w:r>
    </w:p>
    <w:p>
      <w:pPr>
        <w:pStyle w:val="BodyText"/>
      </w:pPr>
      <w:r>
        <w:t xml:space="preserve">This PhD and this thesis represent the culmination of my lifelong passion to help people get more value from our computers. Over 30 years ago, I learned from an early age about computers by programming my Acorn Electron, one of the many 1980s home computers that taught their users that the computer was a tool to be exploited, one that you could master and bend to your will. In my formative years at University and beyond, I lived through the birth of the public Internet and marvelled at the ability for computers to connect people across the world, empower individuals as creators, innovators and broadcasters, level the playing field and transform the way people interact. Keenly tracking and embracing the Web 2.0 revolution while observing the digitisation and disruption of so many industries, I became fascinated with the ways in which humans were shaping computer systems which in turn were shaping our habits and our society.</w:t>
      </w:r>
    </w:p>
    <w:p>
      <w:pPr>
        <w:pStyle w:val="BodyText"/>
      </w:pPr>
      <w:r>
        <w:t xml:space="preserve">As a graduate software engineer at IBM in the 2000s, I podcasted about new ways to be more productive with computers, and participated in an innovation club with colleagues imagining new ways to relate to digital information, and I gradually moved from back-end development to front-end development to user experience, getting closer to a place where I could help end users benefit from technology. From 2009-2011, while working in Canadian startups, I founded and was a lead writer on a blog called Human 2.0</w:t>
      </w:r>
      <w:r>
        <w:rPr>
          <w:rStyle w:val="FootnoteReference"/>
        </w:rPr>
        <w:footnoteReference w:id="20"/>
      </w:r>
      <w:r>
        <w:t xml:space="preserve">, examining the inter-relationship between society and emerging technology. I was witness to a changing world, where we were gaining new capabilities, but also, through the digitalisation of businesses and the shift to data-centric cloud-centric business models, losing our agency to harness computers for our own ends. I presented short talks on my developing ideas about these changes and what better human data interaction might look like four times at Bitnorth conferences</w:t>
      </w:r>
      <w:r>
        <w:rPr>
          <w:rStyle w:val="FootnoteReference"/>
        </w:rPr>
        <w:footnoteReference w:id="21"/>
      </w:r>
      <w:r>
        <w:t xml:space="preserve"> </w:t>
      </w:r>
      <w:r>
        <w:t xml:space="preserve">and had essays published at O’Reilly Radar</w:t>
      </w:r>
      <w:r>
        <w:t xml:space="preserve">(</w:t>
      </w:r>
      <w:hyperlink w:anchor="ref-bowyer2011">
        <w:r>
          <w:rPr>
            <w:rStyle w:val="Hyperlink"/>
          </w:rPr>
          <w:t xml:space="preserve">Bowyer, 2011</w:t>
        </w:r>
      </w:hyperlink>
      <w:r>
        <w:t xml:space="preserve">)</w:t>
      </w:r>
      <w:r>
        <w:t xml:space="preserve"> </w:t>
      </w:r>
      <w:r>
        <w:t xml:space="preserve">and in print</w:t>
      </w:r>
      <w:r>
        <w:t xml:space="preserve"> </w:t>
      </w:r>
      <w:r>
        <w:t xml:space="preserve">(</w:t>
      </w:r>
      <w:hyperlink w:anchor="ref-bowyer2012">
        <w:r>
          <w:rPr>
            <w:rStyle w:val="Hyperlink"/>
          </w:rPr>
          <w:t xml:space="preserve">Bowyer, 2012</w:t>
        </w:r>
      </w:hyperlink>
      <w:r>
        <w:t xml:space="preserve">)</w:t>
      </w:r>
      <w:r>
        <w:t xml:space="preserve">.</w:t>
      </w:r>
    </w:p>
    <w:p>
      <w:pPr>
        <w:pStyle w:val="BodyText"/>
      </w:pPr>
      <w:r>
        <w:t xml:space="preserve">Despite seeing further potential for smarter, more helpful computer systems through my participation in the Semantic Web community and being a senior developer of semantic text analysis software at Open Text, 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face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via a web science architect position at citizen science platform Zooniverse that gave further understanding of user motivation and of the power of collaboration around data,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this most important of problems – understanding and improving Human Data Relations.</w:t>
      </w:r>
    </w:p>
    <w:p>
      <w:pPr>
        <w:pStyle w:val="BodyText"/>
      </w:pPr>
      <w:r>
        <w:t xml:space="preserve">It has been a tremendous privilege to spend six years understanding in great detail the nature of the problems facing our data-centric society, to map those impacts into to tangible needs, and to be able to map out the landscape for improving the way we relate to data. As well as allowing me to discover grounded evidence to quantify and qualify the losses of agency I had observed and theorised, this programme has given me space to experiment with using using both GDPR and web-scraping to access data and push boundaries, and to design and prototype new models and views of data and of information which have transformed the way I look at digital information and how we relate to it, and which I hope can help others in the same way. Looking forward, this opportunity has opened doors that have enabled me to begin to put these learnings into action, working on important projects [see</w:t>
      </w:r>
      <w:r>
        <w:t xml:space="preserve"> </w:t>
      </w:r>
      <w:hyperlink r:id="rId22">
        <w:r>
          <w:rPr>
            <w:rStyle w:val="Hyperlink"/>
          </w:rPr>
          <w:t xml:space="preserve">7.1.1</w:t>
        </w:r>
      </w:hyperlink>
      <w:r>
        <w:t xml:space="preserve">] with Connected Health Cities, BBC R&amp;D, and Hestia.ai to explore how data interaction reforms can be realised in practice, and how we can come not just innovators but social data activists to begin to have an impact and to build that better future. It is the journey of a lifetime, and also one that is in many ways just beginning. I hope that my work and this thesis can, in some small way, contribute to a better, more human-centric digital world, and I can’t wait to see where this leads.</w:t>
      </w:r>
    </w:p>
    <w:bookmarkEnd w:id="23"/>
    <w:bookmarkStart w:id="24"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[TODO address JG feedback]</w:t>
      </w:r>
    </w:p>
    <w:p>
      <w:pPr>
        <w:pStyle w:val="BodyText"/>
      </w:pPr>
      <w:r>
        <w:t xml:space="preserve">Given the societal importance of this problem as outlined at the start, the goal of this research and of this thesis is</w:t>
      </w:r>
      <w:r>
        <w:t xml:space="preserve"> </w:t>
      </w:r>
      <w:r>
        <w:rPr>
          <w:bCs/>
          <w:b/>
        </w:rPr>
        <w:t xml:space="preserve">to produce knowledge and insights</w:t>
      </w:r>
      <w:r>
        <w:t xml:space="preserve"> </w:t>
      </w:r>
      <w:r>
        <w:t xml:space="preserve">that can enable researchers, innovators and activists to make progress in</w:t>
      </w:r>
      <w:r>
        <w:t xml:space="preserve"> </w:t>
      </w:r>
      <w:r>
        <w:rPr>
          <w:bCs/>
          <w:b/>
        </w:rPr>
        <w:t xml:space="preserve">redressing the power balance between individuals and data holders</w:t>
      </w:r>
      <w:r>
        <w:t xml:space="preserve"> </w:t>
      </w:r>
      <w:r>
        <w:t xml:space="preserve">and in delivering</w:t>
      </w:r>
      <w:r>
        <w:t xml:space="preserve"> </w:t>
      </w:r>
      <w:r>
        <w:rPr>
          <w:bCs/>
          <w:b/>
        </w:rPr>
        <w:t xml:space="preserve">increased agency and negotiability</w:t>
      </w:r>
      <w:r>
        <w:t xml:space="preserve"> </w:t>
      </w:r>
      <w:r>
        <w:t xml:space="preserve">to individuals. Informed by a constructivist ontology and a pragmatist epistemology (further detailed in</w:t>
      </w:r>
      <w:r>
        <w:t xml:space="preserve"> </w:t>
      </w:r>
      <w:hyperlink w:anchor="chapter-3">
        <w:r>
          <w:rPr>
            <w:rStyle w:val="Hyperlink"/>
          </w:rPr>
          <w:t xml:space="preserve">Chapter 3</w:t>
        </w:r>
      </w:hyperlink>
      <w:r>
        <w:t xml:space="preserve">), and employing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this objective will be approached by conducting participatory research in relevant contexts, to understand and synthesise a clear model of how people relate to data, how they understand and use it, and what they need from it in order to thrive and to meet their own goals.</w:t>
      </w:r>
    </w:p>
    <w:p>
      <w:pPr>
        <w:pStyle w:val="BodyText"/>
      </w:pPr>
      <w:r>
        <w:t xml:space="preserve">To do this, two key settings in which individuals have some remit to</w:t>
      </w:r>
      <w:r>
        <w:t xml:space="preserve"> </w:t>
      </w:r>
      <w:r>
        <w:rPr>
          <w:iCs/>
          <w:i/>
        </w:rPr>
        <w:t xml:space="preserve">‘</w:t>
      </w:r>
      <w:r>
        <w:rPr>
          <w:iCs/>
          <w:i/>
        </w:rPr>
        <w:t xml:space="preserve">look behind the curtain</w:t>
      </w:r>
      <w:r>
        <w:rPr>
          <w:iCs/>
          <w:i/>
        </w:rPr>
        <w:t xml:space="preserve">’</w:t>
      </w:r>
      <w:r>
        <w:t xml:space="preserve"> </w:t>
      </w:r>
      <w:r>
        <w:t xml:space="preserve">of the previously opaque data-centric organisations they interact with have been identified, creating spaces where individuals can be interviewed and probed to uncover their attitudes and desires:</w:t>
      </w:r>
    </w:p>
    <w:p>
      <w:pPr>
        <w:numPr>
          <w:ilvl w:val="0"/>
          <w:numId w:val="1001"/>
        </w:numPr>
        <w:pStyle w:val="Compact"/>
      </w:pPr>
      <w:r>
        <w:t xml:space="preserve">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 forming the context for Case Study One of this thesis [</w:t>
      </w:r>
      <w:hyperlink w:anchor="chapter-4">
        <w:r>
          <w:rPr>
            <w:rStyle w:val="Hyperlink"/>
          </w:rPr>
          <w:t xml:space="preserve">Chapter 4</w:t>
        </w:r>
      </w:hyperlink>
      <w:r>
        <w:t xml:space="preserve">]; and</w:t>
      </w:r>
    </w:p>
    <w:p>
      <w:pPr>
        <w:numPr>
          <w:ilvl w:val="0"/>
          <w:numId w:val="1001"/>
        </w:numPr>
        <w:pStyle w:val="Compact"/>
      </w:pPr>
      <w:r>
        <w:t xml:space="preserve">Ordinary British and European citizens, who gained new legal rights via 2018’s</w:t>
      </w:r>
      <w:r>
        <w:t xml:space="preserve"> </w:t>
      </w:r>
      <w:r>
        <w:rPr>
          <w:iCs/>
          <w:i/>
        </w:rPr>
        <w:t xml:space="preserve">GDPR</w:t>
      </w:r>
      <w:r>
        <w:t xml:space="preserve"> </w:t>
      </w:r>
      <w:r>
        <w:t xml:space="preserve">legislation, enabling them to request copies of held personal data along with other relevant information from the companies and service providers in their lives - this forms the context for Case Study Two of this thesis [</w:t>
      </w:r>
      <w:hyperlink w:anchor="chapter-5">
        <w:r>
          <w:rPr>
            <w:rStyle w:val="Hyperlink"/>
          </w:rPr>
          <w:t xml:space="preserve">Chapter 5</w:t>
        </w:r>
      </w:hyperlink>
      <w:r>
        <w:t xml:space="preserve">].</w:t>
      </w:r>
    </w:p>
    <w:p>
      <w:pPr>
        <w:pStyle w:val="FirstParagraph"/>
      </w:pPr>
      <w:r>
        <w:t xml:space="preserve">These Case Studies were designed to enable the collecting of interview transcripts and other data as primary data sources that can be examined in order to attempt to answer two key research questions (RQ):</w:t>
      </w:r>
    </w:p>
    <w:p>
      <w:pPr>
        <w:numPr>
          <w:ilvl w:val="0"/>
          <w:numId w:val="1002"/>
        </w:numPr>
        <w:pStyle w:val="Compact"/>
      </w:pPr>
      <w:r>
        <w:rPr>
          <w:bCs/>
          <w:b/>
        </w:rPr>
        <w:t xml:space="preserve">RQ1. What is the human experience of personal data, and what do people want from their data?</w:t>
      </w:r>
    </w:p>
    <w:p>
      <w:pPr>
        <w:numPr>
          <w:ilvl w:val="0"/>
          <w:numId w:val="1002"/>
        </w:numPr>
        <w:pStyle w:val="Compact"/>
      </w:pPr>
      <w:r>
        <w:rPr>
          <w:bCs/>
          <w:b/>
        </w:rPr>
        <w:t xml:space="preserve">RQ2. What role does data play in people’s service relationships, and how could relationships involving data be improved?</w:t>
      </w:r>
    </w:p>
    <w:p>
      <w:pPr>
        <w:pStyle w:val="FirstParagraph"/>
      </w:pPr>
      <w:r>
        <w:t xml:space="preserve">Having gathered data and insights from these settings, the further objective is to is look for commonalities across the two settings that can serve to validate each other and be distilled into clear insights about people’s relationships to personal data that can serve as answers to the two RQs. This synthesis and analyis of interview data will form the core empirical element of this PhD research.</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w:t>
      </w:r>
      <w:r>
        <w:t xml:space="preserve"> </w:t>
      </w:r>
      <w:hyperlink w:anchor="X3e66c166813c6ccb5819daf234787040c248650">
        <w:r>
          <w:rPr>
            <w:rStyle w:val="Hyperlink"/>
          </w:rPr>
          <w:t xml:space="preserve">3.5</w:t>
        </w:r>
      </w:hyperlink>
      <w:r>
        <w:t xml:space="preserve">) forms a key part of the approach to exploring the problem space. However, despite initial consideration, it was explicitly decided that</w:t>
      </w:r>
      <w:r>
        <w:t xml:space="preserve"> </w:t>
      </w:r>
      <w:r>
        <w:rPr>
          <w:bCs/>
          <w:b/>
        </w:rPr>
        <w:t xml:space="preserve">field evaluation of particular interface designs or processes would not be done as part of this PhD</w:t>
      </w:r>
      <w:r>
        <w:t xml:space="preserve">. Given the broad and far-reaching nature of the problem space described, such work would be technically difficult and, highly resource-intensive and time-consuming. The formation of clear underlying models around data attitudes and needs is viewed as a more critical first step that should and must precede any implementation of systems or processes aiming to improve the way in which people can acquire improved agency and negotiability</w:t>
      </w:r>
      <w:r>
        <w:t xml:space="preserve"> </w:t>
      </w:r>
      <w:r>
        <w:rPr>
          <w:iCs/>
          <w:i/>
        </w:rPr>
        <w:t xml:space="preserve">‘</w:t>
      </w:r>
      <w:r>
        <w:rPr>
          <w:iCs/>
          <w:i/>
        </w:rPr>
        <w:t xml:space="preserve">in the wild</w:t>
      </w:r>
      <w:r>
        <w:rPr>
          <w:iCs/>
          <w:i/>
        </w:rPr>
        <w:t xml:space="preserve">’</w:t>
      </w:r>
      <w:r>
        <w:t xml:space="preserve">. Nonetheless, given this research’s purpose of enabling others to have meaningful impact on the world, a significant piece of this thesis (</w:t>
      </w:r>
      <w:hyperlink w:anchor="chapter-7">
        <w:r>
          <w:rPr>
            <w:rStyle w:val="Hyperlink"/>
          </w:rPr>
          <w:t xml:space="preserve">Chapter 7</w:t>
        </w:r>
      </w:hyperlink>
      <w:r>
        <w:t xml:space="preserve">) will be dedicated to</w:t>
      </w:r>
      <w:r>
        <w:t xml:space="preserve"> </w:t>
      </w:r>
      <w:r>
        <w:rPr>
          <w:bCs/>
          <w:b/>
        </w:rPr>
        <w:t xml:space="preserve">sharing the designerly thoughts, models and ideas</w:t>
      </w:r>
      <w:r>
        <w:t xml:space="preserve"> </w:t>
      </w:r>
      <w:r>
        <w:t xml:space="preserve">I formulate both from talking to participants of the Case Studies, and from parallel research and development activities I will conduct alongside the primary empirical research of this PhD. Therefore, while this thesis will not be able to be definitive about which precise interfaces, processes or practices will succeed in combatting the power imbalance over data, it will not shy away from offering untested theories, ideas and insights, originating from both</w:t>
      </w:r>
      <w:r>
        <w:t xml:space="preserve"> </w:t>
      </w:r>
      <w:r>
        <w:rPr>
          <w:bCs/>
          <w:b/>
        </w:rPr>
        <w:t xml:space="preserve">participant-expressed needs</w:t>
      </w:r>
      <w:r>
        <w:t xml:space="preserve"> </w:t>
      </w:r>
      <w:r>
        <w:t xml:space="preserve">and</w:t>
      </w:r>
      <w:r>
        <w:t xml:space="preserve"> </w:t>
      </w:r>
      <w:r>
        <w:rPr>
          <w:bCs/>
          <w:b/>
        </w:rPr>
        <w:t xml:space="preserve">my own research-and-practice-informed expertise</w:t>
      </w:r>
      <w:r>
        <w:t xml:space="preserve">, which are presented so that future researchers and innovators might explore or evaluate them and build upon the contributions of this thesis.</w:t>
      </w:r>
    </w:p>
    <w:p>
      <w:pPr>
        <w:pStyle w:val="BodyText"/>
      </w:pPr>
      <w:r>
        <w:t xml:space="preserve">This dual approach of focusing the PhD on empirical grounded academic research, while also operating outside of the PhD as a researcher and developer working on real-world innovation in the same space, will produce a</w:t>
      </w:r>
      <w:r>
        <w:t xml:space="preserve"> </w:t>
      </w:r>
      <w:r>
        <w:rPr>
          <w:bCs/>
          <w:b/>
        </w:rPr>
        <w:t xml:space="preserve">powerful feedback loop</w:t>
      </w:r>
      <w:r>
        <w:t xml:space="preserve"> </w:t>
      </w:r>
      <w:r>
        <w:t xml:space="preserve">where practical realities of tackling the problem space can inform the participatory research explorations of the space, and vice-versa, feeding into the</w:t>
      </w:r>
      <w:r>
        <w:t xml:space="preserve"> </w:t>
      </w:r>
      <w:r>
        <w:rPr>
          <w:bCs/>
          <w:b/>
        </w:rPr>
        <w:t xml:space="preserve">action research cycle</w:t>
      </w:r>
      <w:r>
        <w:t xml:space="preserve"> </w:t>
      </w:r>
      <w:r>
        <w:t xml:space="preserve">[</w:t>
      </w:r>
      <w:hyperlink w:anchor="X7ffd93865bc60f6431831db2605565dffbb7509">
        <w:r>
          <w:rPr>
            <w:rStyle w:val="Hyperlink"/>
          </w:rPr>
          <w:t xml:space="preserve">3.2</w:t>
        </w:r>
      </w:hyperlink>
      <w:r>
        <w:t xml:space="preserve">] of the PhD through more than just the participatory empirical research itself.</w:t>
      </w:r>
    </w:p>
    <w:p>
      <w:pPr>
        <w:pStyle w:val="BodyText"/>
      </w:pPr>
      <w:r>
        <w:t xml:space="preserve">I will now explain the primary contributions of this thesis [</w:t>
      </w:r>
      <w:hyperlink w:anchor="X114b9dabe64741f5700c676da07d4182530a754">
        <w:r>
          <w:rPr>
            <w:rStyle w:val="Hyperlink"/>
          </w:rPr>
          <w:t xml:space="preserve">1.2</w:t>
        </w:r>
      </w:hyperlink>
      <w:r>
        <w:t xml:space="preserve">], and the publications resulting from the research [</w:t>
      </w:r>
      <w:hyperlink w:anchor="Xafe7d50c10921ac0f9f899939231a737e7dc2b2">
        <w:r>
          <w:rPr>
            <w:rStyle w:val="Hyperlink"/>
          </w:rPr>
          <w:t xml:space="preserve">1.3</w:t>
        </w:r>
      </w:hyperlink>
      <w:r>
        <w:t xml:space="preserve">], before explaining the structure of the thesis across the subsequent chapters [</w:t>
      </w:r>
      <w:hyperlink w:anchor="X26f83404b3689e9473b90563ae874b959b849ed">
        <w:r>
          <w:rPr>
            <w:rStyle w:val="Hyperlink"/>
          </w:rPr>
          <w:t xml:space="preserve">1.4</w:t>
        </w:r>
      </w:hyperlink>
      <w:r>
        <w:t xml:space="preserve">].</w:t>
      </w:r>
    </w:p>
    <w:bookmarkEnd w:id="24"/>
    <w:bookmarkEnd w:id="25"/>
    <w:bookmarkStart w:id="30"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[TODO address JG feedback]</w:t>
      </w:r>
    </w:p>
    <w:p>
      <w:pPr>
        <w:pStyle w:val="BodyText"/>
      </w:pPr>
      <w:r>
        <w:t xml:space="preserve">This section lists the contributions (</w:t>
      </w:r>
      <w:r>
        <w:rPr>
          <w:bCs/>
          <w:b/>
        </w:rPr>
        <w:t xml:space="preserve">Cn</w:t>
      </w:r>
      <w:r>
        <w:t xml:space="preserve">) of this thesis: specifically:</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6"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rPr>
          <w:bCs/>
          <w:b/>
        </w:rPr>
        <w:t xml:space="preserve">C1: An understanding of what People want in Direct Data Relations</w:t>
      </w:r>
    </w:p>
    <w:p>
      <w:pPr>
        <w:pStyle w:val="BodyText"/>
      </w:pPr>
      <w:r>
        <w:t xml:space="preserve">Through the concluding sections of Chapters 4 and 5, the reader will be able to see that research participants across both studies (and the pilot study) shared common issues around personal data. In section</w:t>
      </w:r>
      <w:r>
        <w:t xml:space="preserve"> </w:t>
      </w:r>
      <w:hyperlink w:anchor="X8258c05de79d267cff0777b650c09dd0e24396f">
        <w:r>
          <w:rPr>
            <w:rStyle w:val="Hyperlink"/>
          </w:rPr>
          <w:t xml:space="preserve">6.1</w:t>
        </w:r>
      </w:hyperlink>
      <w:r>
        <w:t xml:space="preserve"> </w:t>
      </w:r>
      <w:r>
        <w:t xml:space="preserve">of Chapter 6, those commonalities that address RQ1</w:t>
      </w:r>
      <w:r>
        <w:t xml:space="preserve"> </w:t>
      </w:r>
      <w:r>
        <w:rPr>
          <w:iCs/>
          <w:i/>
        </w:rPr>
        <w:t xml:space="preserve">what people need in direct data relations</w:t>
      </w:r>
      <w:r>
        <w:t xml:space="preserve"> </w:t>
      </w:r>
      <w:r>
        <w:t xml:space="preserve">are specifically expressed in answer to that question as three specific needs:</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hyperlink w:anchor="fn15">
        <w:r>
          <w:rPr>
            <w:rStyle w:val="Hyperlink"/>
          </w:rPr>
          <w:t xml:space="preserve">15</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Similarly, in section</w:t>
      </w:r>
      <w:r>
        <w:t xml:space="preserve"> </w:t>
      </w:r>
      <w:hyperlink w:anchor="X86a6a7bbe6a4ae5c1502558f013f6ed6b9ae6f2">
        <w:r>
          <w:rPr>
            <w:rStyle w:val="Hyperlink"/>
          </w:rPr>
          <w:t xml:space="preserve">6.2</w:t>
        </w:r>
      </w:hyperlink>
      <w:r>
        <w:t xml:space="preserve"> </w:t>
      </w:r>
      <w:r>
        <w:t xml:space="preserve">of Chapter 6, those commonalities that address RQ2 –</w:t>
      </w:r>
      <w:r>
        <w:t xml:space="preserve"> </w:t>
      </w:r>
      <w:r>
        <w:rPr>
          <w:iCs/>
          <w:i/>
        </w:rPr>
        <w:t xml:space="preserve">what people need when they have an indirect relationship to their data because it is held by someone else</w:t>
      </w:r>
      <w:r>
        <w:t xml:space="preserve"> </w:t>
      </w:r>
      <w:r>
        <w:t xml:space="preserve">(such as their service provider) – are specifically expressed to answer RQ2 as three specific needs:</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decision-making [</w:t>
      </w:r>
      <w:hyperlink w:anchor="X7481ad987ac6949d28340eb658a28e09f325713">
        <w:r>
          <w:rPr>
            <w:rStyle w:val="Hyperlink"/>
          </w:rPr>
          <w:t xml:space="preserve">6.2.3</w:t>
        </w:r>
      </w:hyperlink>
      <w:r>
        <w:t xml:space="preserve">].</w:t>
      </w:r>
    </w:p>
    <w:bookmarkEnd w:id="26"/>
    <w:bookmarkStart w:id="27"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the contribution of this thesis is to establish and map out a new field of research and innovation,</w:t>
      </w:r>
      <w:r>
        <w:t xml:space="preserve"> </w:t>
      </w:r>
      <w:r>
        <w:rPr>
          <w:bCs/>
          <w:b/>
        </w:rPr>
        <w:t xml:space="preserve">Human Data Relations</w:t>
      </w:r>
      <w:r>
        <w:t xml:space="preserve"> </w:t>
      </w:r>
      <w:r>
        <w:t xml:space="preserve">(HDR). This begins with a broad literature review in</w:t>
      </w:r>
      <w:r>
        <w:t xml:space="preserve"> </w:t>
      </w:r>
      <w:hyperlink w:anchor="chapter-2">
        <w:r>
          <w:rPr>
            <w:rStyle w:val="Hyperlink"/>
          </w:rPr>
          <w:t xml:space="preserve">Chapter 2</w:t>
        </w:r>
      </w:hyperlink>
      <w:r>
        <w:t xml:space="preserve"> </w:t>
      </w:r>
      <w:r>
        <w:t xml:space="preserve">of prior areas of research and established thinking that contribute to this field, specifically the problems of data-centricism and limited access to data [</w:t>
      </w:r>
      <w:hyperlink w:anchor="X1f566259c1a3f810256e3679e10faa457bb4a0b">
        <w:r>
          <w:rPr>
            <w:rStyle w:val="Hyperlink"/>
          </w:rPr>
          <w:t xml:space="preserve">2.1</w:t>
        </w:r>
      </w:hyperlink>
      <w:r>
        <w:t xml:space="preserve">], a review of prior work in personal information management and interaction [</w:t>
      </w:r>
      <w:hyperlink w:anchor="X0d5f5f3d469570bf8d9559b0daabada2e4fadfc">
        <w:r>
          <w:rPr>
            <w:rStyle w:val="Hyperlink"/>
          </w:rPr>
          <w:t xml:space="preserve">2.2</w:t>
        </w:r>
      </w:hyperlink>
      <w:r>
        <w:t xml:space="preserve">], and of existing research and innovation around human-centric perspectives on data [</w:t>
      </w:r>
      <w:hyperlink w:anchor="Xe0d88c5002b6cf7664052f1fc7d652cbdadccec">
        <w:r>
          <w:rPr>
            <w:rStyle w:val="Hyperlink"/>
          </w:rPr>
          <w:t xml:space="preserve">2.3</w:t>
        </w:r>
      </w:hyperlink>
      <w:r>
        <w:t xml:space="preserve">].</w:t>
      </w:r>
      <w:r>
        <w:t xml:space="preserve"> </w:t>
      </w:r>
      <w:r>
        <w:t xml:space="preserve">The HDR field is then explored and understood through the two research questions RQ1 [</w:t>
      </w:r>
      <w:hyperlink w:anchor="RQ1">
        <w:r>
          <w:rPr>
            <w:rStyle w:val="Hyperlink"/>
          </w:rPr>
          <w:t xml:space="preserve">3.3.1</w:t>
        </w:r>
      </w:hyperlink>
      <w:r>
        <w:t xml:space="preserve">] and RQ2 [</w:t>
      </w:r>
      <w:hyperlink w:anchor="RQ2">
        <w:r>
          <w:rPr>
            <w:rStyle w:val="Hyperlink"/>
          </w:rPr>
          <w:t xml:space="preserve">3.3.2</w:t>
        </w:r>
      </w:hyperlink>
      <w:r>
        <w:t xml:space="preserve">]. Both RQs are explored through participatory research and qualitative data analysis across the two contexts of</w:t>
      </w:r>
      <w:r>
        <w:t xml:space="preserve"> </w:t>
      </w:r>
      <w:hyperlink w:anchor="chapter-4">
        <w:r>
          <w:rPr>
            <w:rStyle w:val="Hyperlink"/>
          </w:rPr>
          <w:t xml:space="preserve">Chapter 4</w:t>
        </w:r>
      </w:hyperlink>
      <w:r>
        <w:t xml:space="preserve"> </w:t>
      </w:r>
      <w:r>
        <w:t xml:space="preserve">and</w:t>
      </w:r>
      <w:r>
        <w:t xml:space="preserve"> </w:t>
      </w:r>
      <w:hyperlink w:anchor="chapter-4">
        <w:r>
          <w:rPr>
            <w:rStyle w:val="Hyperlink"/>
          </w:rPr>
          <w:t xml:space="preserve">Chapter 5</w:t>
        </w:r>
      </w:hyperlink>
      <w:r>
        <w:t xml:space="preserve">, contributing to a synthesis in</w:t>
      </w:r>
      <w:r>
        <w:t xml:space="preserve"> </w:t>
      </w:r>
      <w:hyperlink w:anchor="chapter-6">
        <w:r>
          <w:rPr>
            <w:rStyle w:val="Hyperlink"/>
          </w:rPr>
          <w:t xml:space="preserve">Chapter 6</w:t>
        </w:r>
      </w:hyperlink>
      <w:r>
        <w:t xml:space="preserve"> </w:t>
      </w:r>
      <w:r>
        <w:t xml:space="preserve">of what people want in direct data interaction [RQ1,</w:t>
      </w:r>
      <w:r>
        <w:t xml:space="preserve"> </w:t>
      </w:r>
      <w:hyperlink w:anchor="X8258c05de79d267cff0777b650c09dd0e24396f">
        <w:r>
          <w:rPr>
            <w:rStyle w:val="Hyperlink"/>
          </w:rPr>
          <w:t xml:space="preserve">6.1</w:t>
        </w:r>
      </w:hyperlink>
      <w:r>
        <w:t xml:space="preserve">] and in relationships that involve the use of personal data by the other party [RQ2,</w:t>
      </w:r>
      <w:r>
        <w:t xml:space="preserve"> </w:t>
      </w:r>
      <w:hyperlink w:anchor="X86a6a7bbe6a4ae5c1502558f013f6ed6b9ae6f2">
        <w:r>
          <w:rPr>
            <w:rStyle w:val="Hyperlink"/>
          </w:rPr>
          <w:t xml:space="preserve">6.2</w:t>
        </w:r>
      </w:hyperlink>
      <w:r>
        <w:t xml:space="preserve">].</w:t>
      </w:r>
      <w:r>
        <w:t xml:space="preserve"> </w:t>
      </w:r>
      <w:r>
        <w:t xml:space="preserve">Finally in Chapter 7, the field of HDR is refined [</w:t>
      </w:r>
      <w:hyperlink w:anchor="Xd90f00e19f5543904caf9ab2abd5b800e0613c0">
        <w:r>
          <w:rPr>
            <w:rStyle w:val="Hyperlink"/>
          </w:rPr>
          <w:t xml:space="preserve">7.2</w:t>
        </w:r>
      </w:hyperlink>
      <w:r>
        <w:t xml:space="preserve">], and a landscape of possible approaches to improve HDR is mapped out, including the identification of specific obstacles to progress [</w:t>
      </w:r>
      <w:hyperlink w:anchor="X96c51c3d98f021d42ee8c458ed421add6b4adde">
        <w:r>
          <w:rPr>
            <w:rStyle w:val="Hyperlink"/>
          </w:rPr>
          <w:t xml:space="preserve">7.3</w:t>
        </w:r>
      </w:hyperlink>
      <w:r>
        <w:t xml:space="preserve">] and possible approaches that could be explored [</w:t>
      </w:r>
      <w:hyperlink w:anchor="X96c51c3d98f021d42ee8c458ed421add6b4adde">
        <w:r>
          <w:rPr>
            <w:rStyle w:val="Hyperlink"/>
          </w:rPr>
          <w:t xml:space="preserve">7.4</w:t>
        </w:r>
      </w:hyperlink>
      <w:r>
        <w:t xml:space="preserve">].</w:t>
      </w:r>
    </w:p>
    <w:p>
      <w:pPr>
        <w:pStyle w:val="BodyText"/>
      </w:pPr>
      <w:r>
        <w:rPr>
          <w:bCs/>
          <w:b/>
        </w:rPr>
        <w:t xml:space="preserve">C4: A clear delineation of two primary motivators for individuals seeking better HDR</w:t>
      </w:r>
    </w:p>
    <w:p>
      <w:pPr>
        <w:pStyle w:val="BodyText"/>
      </w:pPr>
      <w:r>
        <w:t xml:space="preserve">In</w:t>
      </w:r>
      <w:r>
        <w:t xml:space="preserve"> </w:t>
      </w:r>
      <w:hyperlink w:anchor="X973e4eb80bdcbcdcf80cb82c61a4bcd0034ab9c">
        <w:r>
          <w:rPr>
            <w:rStyle w:val="Hyperlink"/>
          </w:rPr>
          <w:t xml:space="preserve">7.2.3</w:t>
        </w:r>
      </w:hyperlink>
      <w:r>
        <w:t xml:space="preserve">, informed by both participatory research within this thesis and by the research and design activities conducted in external research settings</w:t>
      </w:r>
      <w:r>
        <w:t xml:space="preserve"> </w:t>
      </w:r>
      <w:hyperlink w:anchor="Xe27230ba01bbc53968feca07aae81d544d0a7c6">
        <w:r>
          <w:rPr>
            <w:rStyle w:val="Hyperlink"/>
          </w:rPr>
          <w:t xml:space="preserve">7.1.1</w:t>
        </w:r>
      </w:hyperlink>
      <w:r>
        <w:t xml:space="preserve">, I outline a first top-level perspective on the HDR space, that there are two key reasons why people need good data relations:</w:t>
      </w:r>
    </w:p>
    <w:p>
      <w:pPr>
        <w:numPr>
          <w:ilvl w:val="0"/>
          <w:numId w:val="1007"/>
        </w:numPr>
        <w:pStyle w:val="Compact"/>
      </w:pPr>
      <w:r>
        <w:rPr>
          <w:iCs/>
          <w:i/>
        </w:rPr>
        <w:t xml:space="preserve">Life Information Utilisation</w:t>
      </w:r>
      <w:r>
        <w:t xml:space="preserve">, and</w:t>
      </w:r>
    </w:p>
    <w:p>
      <w:pPr>
        <w:numPr>
          <w:ilvl w:val="0"/>
          <w:numId w:val="1007"/>
        </w:numPr>
        <w:pStyle w:val="Compact"/>
      </w:pPr>
      <w:r>
        <w:rPr>
          <w:iCs/>
          <w:i/>
        </w:rPr>
        <w:t xml:space="preserve">Personal Data Ecosystem Control</w:t>
      </w:r>
      <w:r>
        <w:t xml:space="preserve">.</w:t>
      </w:r>
    </w:p>
    <w:p>
      <w:pPr>
        <w:pStyle w:val="FirstParagraph"/>
      </w:pPr>
      <w:r>
        <w:rPr>
          <w:bCs/>
          <w:b/>
        </w:rPr>
        <w:t xml:space="preserve">C5: A map of the HDR landscape, identifying obstacles, insights and opportunities</w:t>
      </w:r>
    </w:p>
    <w:p>
      <w:pPr>
        <w:pStyle w:val="BodyText"/>
      </w:pPr>
      <w:r>
        <w:t xml:space="preserve">The goal of this thesis is to set the stage for future research and innovation in the newly-defined space of Human Data Relations. While evaluating methods and approaches</w:t>
      </w:r>
      <w:r>
        <w:t xml:space="preserve"> </w:t>
      </w:r>
      <w:r>
        <w:t xml:space="preserve">‘</w:t>
      </w:r>
      <w:r>
        <w:t xml:space="preserve">in the wild</w:t>
      </w:r>
      <w:r>
        <w:t xml:space="preserve">’</w:t>
      </w:r>
      <w:r>
        <w:t xml:space="preserve"> </w:t>
      </w:r>
      <w:r>
        <w:t xml:space="preserve">was well-beyond the scope of this thesis, my involvement in external research settings allowed a broad and grounded understanding of the HDR landscape and its practicalities to be formed, such that the landscape can be mapped from multiple perspectives.</w:t>
      </w:r>
    </w:p>
    <w:p>
      <w:pPr>
        <w:pStyle w:val="BodyText"/>
      </w:pPr>
      <w:r>
        <w:t xml:space="preserve">[TODO Only highlight these lists here, move the full lists to 7.5/8?]</w:t>
      </w:r>
    </w:p>
    <w:p>
      <w:pPr>
        <w:pStyle w:val="BodyText"/>
      </w:pPr>
      <w:r>
        <w:t xml:space="preserve">In</w:t>
      </w:r>
      <w:r>
        <w:t xml:space="preserve"> </w:t>
      </w:r>
      <w:hyperlink w:anchor="X96c51c3d98f021d42ee8c458ed421add6b4adde">
        <w:r>
          <w:rPr>
            <w:rStyle w:val="Hyperlink"/>
          </w:rPr>
          <w:t xml:space="preserve">7.3</w:t>
        </w:r>
      </w:hyperlink>
      <w:r>
        <w:t xml:space="preserve"> </w:t>
      </w:r>
      <w:r>
        <w:t xml:space="preserve">the specific wants mentioned above in C2 and C3 are reduced to four simple objectives for effective HDR:</w:t>
      </w:r>
    </w:p>
    <w:p>
      <w:pPr>
        <w:numPr>
          <w:ilvl w:val="0"/>
          <w:numId w:val="1008"/>
        </w:numPr>
        <w:pStyle w:val="Compact"/>
      </w:pPr>
      <w:r>
        <w:t xml:space="preserve">data awareness and understanding</w:t>
      </w:r>
    </w:p>
    <w:p>
      <w:pPr>
        <w:numPr>
          <w:ilvl w:val="0"/>
          <w:numId w:val="1008"/>
        </w:numPr>
        <w:pStyle w:val="Compact"/>
      </w:pPr>
      <w:r>
        <w:t xml:space="preserve">data useability</w:t>
      </w:r>
    </w:p>
    <w:p>
      <w:pPr>
        <w:numPr>
          <w:ilvl w:val="0"/>
          <w:numId w:val="1008"/>
        </w:numPr>
        <w:pStyle w:val="Compact"/>
      </w:pPr>
      <w:r>
        <w:t xml:space="preserve">ecosystem awareness and understanding</w:t>
      </w:r>
    </w:p>
    <w:p>
      <w:pPr>
        <w:numPr>
          <w:ilvl w:val="0"/>
          <w:numId w:val="1008"/>
        </w:numPr>
        <w:pStyle w:val="Compact"/>
      </w:pPr>
      <w:r>
        <w:t xml:space="preserve">ecosystem negotiability</w:t>
      </w:r>
    </w:p>
    <w:p>
      <w:pPr>
        <w:pStyle w:val="FirstParagraph"/>
      </w:pPr>
      <w:r>
        <w:t xml:space="preserve">[TODO summarise this list]</w:t>
      </w:r>
      <w:r>
        <w:t xml:space="preserve"> </w:t>
      </w:r>
      <w:r>
        <w:t xml:space="preserve">The same section then continues to map out eight obstacles to better HDR that exist in these four areas, as well as four obstacles that exist in the solution space across all four:</w:t>
      </w:r>
    </w:p>
    <w:p>
      <w:pPr>
        <w:numPr>
          <w:ilvl w:val="0"/>
          <w:numId w:val="1009"/>
        </w:numPr>
        <w:pStyle w:val="Compact"/>
      </w:pPr>
      <w:r>
        <w:t xml:space="preserve">The Personal Data Diaspora</w:t>
      </w:r>
    </w:p>
    <w:p>
      <w:pPr>
        <w:numPr>
          <w:ilvl w:val="0"/>
          <w:numId w:val="1009"/>
        </w:numPr>
        <w:pStyle w:val="Compact"/>
      </w:pPr>
      <w:r>
        <w:t xml:space="preserve">Illegible Data</w:t>
      </w:r>
    </w:p>
    <w:p>
      <w:pPr>
        <w:numPr>
          <w:ilvl w:val="0"/>
          <w:numId w:val="1009"/>
        </w:numPr>
        <w:pStyle w:val="Compact"/>
      </w:pPr>
      <w:r>
        <w:t xml:space="preserve">Data that isn’t free</w:t>
      </w:r>
    </w:p>
    <w:p>
      <w:pPr>
        <w:numPr>
          <w:ilvl w:val="0"/>
          <w:numId w:val="1009"/>
        </w:numPr>
        <w:pStyle w:val="Compact"/>
      </w:pPr>
      <w:r>
        <w:t xml:space="preserve">Unmalleable and non-interrogable data</w:t>
      </w:r>
    </w:p>
    <w:p>
      <w:pPr>
        <w:numPr>
          <w:ilvl w:val="0"/>
          <w:numId w:val="1009"/>
        </w:numPr>
        <w:pStyle w:val="Compact"/>
      </w:pPr>
      <w:r>
        <w:t xml:space="preserve">Hegemony through data holding</w:t>
      </w:r>
    </w:p>
    <w:p>
      <w:pPr>
        <w:numPr>
          <w:ilvl w:val="0"/>
          <w:numId w:val="1009"/>
        </w:numPr>
        <w:pStyle w:val="Compact"/>
      </w:pPr>
      <w:r>
        <w:t xml:space="preserve">A trend of actively diminishing of users’ agency</w:t>
      </w:r>
    </w:p>
    <w:p>
      <w:pPr>
        <w:numPr>
          <w:ilvl w:val="0"/>
          <w:numId w:val="1009"/>
        </w:numPr>
        <w:pStyle w:val="Compact"/>
      </w:pPr>
      <w:r>
        <w:t xml:space="preserve">Closed, insular &amp; introspective practices</w:t>
      </w:r>
    </w:p>
    <w:p>
      <w:pPr>
        <w:numPr>
          <w:ilvl w:val="0"/>
          <w:numId w:val="1009"/>
        </w:numPr>
        <w:pStyle w:val="Compact"/>
      </w:pPr>
      <w:r>
        <w:t xml:space="preserve">The intractable data self</w:t>
      </w:r>
    </w:p>
    <w:p>
      <w:pPr>
        <w:numPr>
          <w:ilvl w:val="0"/>
          <w:numId w:val="1009"/>
        </w:numPr>
        <w:pStyle w:val="Compact"/>
      </w:pPr>
      <w:r>
        <w:t xml:space="preserve">A lack of HDR demand from individuals</w:t>
      </w:r>
    </w:p>
    <w:p>
      <w:pPr>
        <w:numPr>
          <w:ilvl w:val="0"/>
          <w:numId w:val="1009"/>
        </w:numPr>
        <w:pStyle w:val="Compact"/>
      </w:pPr>
      <w:r>
        <w:t xml:space="preserve">A lack of HDR demand from organisations</w:t>
      </w:r>
    </w:p>
    <w:p>
      <w:pPr>
        <w:numPr>
          <w:ilvl w:val="0"/>
          <w:numId w:val="1009"/>
        </w:numPr>
        <w:pStyle w:val="Compact"/>
      </w:pPr>
      <w:r>
        <w:t xml:space="preserve">A lack of interoperability</w:t>
      </w:r>
    </w:p>
    <w:p>
      <w:pPr>
        <w:numPr>
          <w:ilvl w:val="0"/>
          <w:numId w:val="1009"/>
        </w:numPr>
        <w:pStyle w:val="Compact"/>
      </w:pPr>
      <w:r>
        <w:t xml:space="preserve">Insufficient machine understanding of human data.</w:t>
      </w:r>
    </w:p>
    <w:p>
      <w:pPr>
        <w:pStyle w:val="FirstParagraph"/>
      </w:pPr>
      <w:r>
        <w:t xml:space="preserve">To begin to address these obstacles, seven insights are offered that could seed future research and innovation towards tackling these obstacles:</w:t>
      </w:r>
    </w:p>
    <w:p>
      <w:pPr>
        <w:pStyle w:val="BodyText"/>
      </w:pPr>
      <w:r>
        <w:t xml:space="preserve">[TODO summarise this list?]</w:t>
      </w:r>
      <w:r>
        <w:t xml:space="preserve"> </w:t>
      </w:r>
      <w:r>
        <w:t xml:space="preserve">1. Life information makes data relatable.</w:t>
      </w:r>
      <w:r>
        <w:t xml:space="preserve"> </w:t>
      </w:r>
      <w:r>
        <w:t xml:space="preserve">2. Ecosystem information is an antidote to digital life complexity.</w:t>
      </w:r>
      <w:r>
        <w:t xml:space="preserve"> </w:t>
      </w:r>
      <w:r>
        <w:t xml:space="preserve">3. Life &amp; ecosystem information should be useable as a material.</w:t>
      </w:r>
      <w:r>
        <w:t xml:space="preserve"> </w:t>
      </w:r>
      <w:r>
        <w:t xml:space="preserve">4. Data needs provenance.</w:t>
      </w:r>
      <w:r>
        <w:t xml:space="preserve"> </w:t>
      </w:r>
      <w:r>
        <w:t xml:space="preserve">5. Data holders exploit four levers of power to manipulate the digital landscape.</w:t>
      </w:r>
      <w:r>
        <w:t xml:space="preserve"> </w:t>
      </w:r>
      <w:r>
        <w:t xml:space="preserve">6. Semantic analysis and information standards can transform data storage and facilitate human-centric interface building.</w:t>
      </w:r>
      <w:r>
        <w:t xml:space="preserve"> </w:t>
      </w:r>
      <w:r>
        <w:t xml:space="preserve">7. New life capabilities and pain relievers drive user demand.</w:t>
      </w:r>
      <w:r>
        <w:t xml:space="preserve"> </w:t>
      </w:r>
      <w:r>
        <w:t xml:space="preserve">8. Better HDR can deliver business value through increased accuracy and consent, and decreased liability.</w:t>
      </w:r>
    </w:p>
    <w:bookmarkEnd w:id="27"/>
    <w:bookmarkStart w:id="28"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C6: Validation and enumeration of supported families’ attitudes and needs around civic data</w:t>
      </w:r>
    </w:p>
    <w:p>
      <w:pPr>
        <w:pStyle w:val="BodyText"/>
      </w:pPr>
      <w:r>
        <w:t xml:space="preserve">The early research carried out of my pilot study [</w:t>
      </w:r>
      <w:hyperlink w:anchor="Xcefc2f8651dab1dca3f5569d5c8495d75f8956a">
        <w:r>
          <w:rPr>
            <w:rStyle w:val="Hyperlink"/>
          </w:rPr>
          <w:t xml:space="preserve">1.3.1</w:t>
        </w:r>
      </w:hyperlink>
      <w:r>
        <w:t xml:space="preserve">], continued in Case Study One [</w:t>
      </w:r>
      <w:hyperlink w:anchor="chapter-4">
        <w:r>
          <w:rPr>
            <w:rStyle w:val="Hyperlink"/>
          </w:rPr>
          <w:t xml:space="preserve">Chapter 4</w:t>
        </w:r>
      </w:hyperlink>
      <w:r>
        <w:t xml:space="preserve">], served an important purpose to validate that people do feel the effects of the data records about them, and do want access. Prior to this research, colleagues speculated that people would not really care about their data, but in fact these studies found evidence that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 my research shows that:</w:t>
      </w:r>
    </w:p>
    <w:p>
      <w:pPr>
        <w:numPr>
          <w:ilvl w:val="0"/>
          <w:numId w:val="1010"/>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0"/>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0"/>
        </w:numPr>
        <w:pStyle w:val="Compact"/>
      </w:pPr>
      <w:r>
        <w:rPr>
          <w:bCs/>
          <w:b/>
        </w:rPr>
        <w:t xml:space="preserve">Transparency over data can improve trust</w:t>
      </w:r>
      <w:r>
        <w:t xml:space="preserve"> </w:t>
      </w:r>
      <w:r>
        <w:t xml:space="preserve">in support services.</w:t>
      </w:r>
    </w:p>
    <w:p>
      <w:pPr>
        <w:pStyle w:val="FirstParagraph"/>
      </w:pPr>
      <w:r>
        <w:rPr>
          <w:bCs/>
          <w:b/>
        </w:rPr>
        <w:t xml:space="preserve">C7:</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Given the conflicting goals of support service providers wanting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I created a model that has the potential to address both parties’ needs and enhance the support relationship:</w:t>
      </w:r>
      <w:r>
        <w:t xml:space="preserve"> </w:t>
      </w:r>
      <w:r>
        <w:rPr>
          <w:iCs/>
          <w:i/>
        </w:rPr>
        <w:t xml:space="preserve">Shared Data Interaction</w:t>
      </w:r>
      <w:r>
        <w:t xml:space="preserve"> </w:t>
      </w:r>
      <w:r>
        <w:t xml:space="preserve">[</w:t>
      </w:r>
      <w:hyperlink w:anchor="Xdecc0e8ff84b4e8fdb98d4490fcb5b15d4e95fa">
        <w:r>
          <w:rPr>
            <w:rStyle w:val="Hyperlink"/>
          </w:rPr>
          <w:t xml:space="preserve">4.2.4</w:t>
        </w:r>
      </w:hyperlink>
      <w:r>
        <w:t xml:space="preserve">]. While this was not evaluated in the field, it is consistent with emergent practices</w:t>
      </w:r>
      <w:r>
        <w:t xml:space="preserve"> </w:t>
      </w:r>
      <w:hyperlink w:anchor="X5c213d3f7d5eb3b3913f2bcc99b547ab52233a9">
        <w:r>
          <w:rPr>
            <w:rStyle w:val="Hyperlink"/>
          </w:rPr>
          <w:t xml:space="preserve">4.3.1</w:t>
        </w:r>
      </w:hyperlink>
      <w:r>
        <w:t xml:space="preserve">, and when explored thoroughly by both parties in Case Study One - especially in phase 2 [</w:t>
      </w:r>
      <w:hyperlink w:anchor="table-3.1">
        <w:r>
          <w:rPr>
            <w:rStyle w:val="Hyperlink"/>
          </w:rPr>
          <w:t xml:space="preserve">Table 3.1</w:t>
        </w:r>
      </w:hyperlink>
      <w:r>
        <w:t xml:space="preserve">] - was perceived to be beneficial. The benefits (and challenges) of such an approach are explored thoroughly in [</w:t>
      </w:r>
      <w:hyperlink w:anchor="X2ad50ca4cbd63a3f83ddbd28315b55b52f600fb">
        <w:r>
          <w:rPr>
            <w:rStyle w:val="Hyperlink"/>
          </w:rPr>
          <w:t xml:space="preserve">4.4.2</w:t>
        </w:r>
      </w:hyperlink>
      <w:r>
        <w:t xml:space="preserve">]. At the level of multi-party collaboration, further evidence for the effectiveness of bringing people together around representations of data is found at the meta level of this research - specifically in the success of the methodologies [</w:t>
      </w:r>
      <w:hyperlink w:anchor="X464e9f2e5e0cf52e9c26d3864e71249d73ea33a">
        <w:r>
          <w:rPr>
            <w:rStyle w:val="Hyperlink"/>
          </w:rPr>
          <w:t xml:space="preserve">3.5.2</w:t>
        </w:r>
      </w:hyperlink>
      <w:r>
        <w:t xml:space="preserve">] I used in both Early Help studies,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8"/>
    <w:bookmarkStart w:id="29"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C8: A model to understand the five different origins of held personal data</w:t>
      </w:r>
    </w:p>
    <w:p>
      <w:pPr>
        <w:pStyle w:val="BodyText"/>
      </w:pPr>
      <w:r>
        <w:t xml:space="preserve">Through the analysis of privacy policies and GDPR legislation conducting during the design and interview phases of Case Study Two, I produced a model of the five different types of data organisations can hold about individuals [</w:t>
      </w:r>
      <w:hyperlink w:anchor="table-5.X">
        <w:r>
          <w:rPr>
            <w:rStyle w:val="Hyperlink"/>
          </w:rPr>
          <w:t xml:space="preserve">Table 5.X</w:t>
        </w:r>
      </w:hyperlink>
      <w:r>
        <w:t xml:space="preserve">]:</w:t>
      </w:r>
    </w:p>
    <w:p>
      <w:pPr>
        <w:numPr>
          <w:ilvl w:val="0"/>
          <w:numId w:val="1011"/>
        </w:numPr>
        <w:pStyle w:val="Compact"/>
      </w:pPr>
      <w:r>
        <w:rPr>
          <w:bCs/>
          <w:b/>
        </w:rPr>
        <w:t xml:space="preserve">Volunteered Data</w:t>
      </w:r>
    </w:p>
    <w:p>
      <w:pPr>
        <w:numPr>
          <w:ilvl w:val="0"/>
          <w:numId w:val="1011"/>
        </w:numPr>
        <w:pStyle w:val="Compact"/>
      </w:pPr>
      <w:r>
        <w:rPr>
          <w:bCs/>
          <w:b/>
        </w:rPr>
        <w:t xml:space="preserve">Observed Data</w:t>
      </w:r>
    </w:p>
    <w:p>
      <w:pPr>
        <w:numPr>
          <w:ilvl w:val="0"/>
          <w:numId w:val="1011"/>
        </w:numPr>
        <w:pStyle w:val="Compact"/>
      </w:pPr>
      <w:r>
        <w:rPr>
          <w:bCs/>
          <w:b/>
        </w:rPr>
        <w:t xml:space="preserve">Derived Data</w:t>
      </w:r>
    </w:p>
    <w:p>
      <w:pPr>
        <w:numPr>
          <w:ilvl w:val="0"/>
          <w:numId w:val="1011"/>
        </w:numPr>
        <w:pStyle w:val="Compact"/>
      </w:pPr>
      <w:r>
        <w:rPr>
          <w:bCs/>
          <w:b/>
        </w:rPr>
        <w:t xml:space="preserve">Acquired Data</w:t>
      </w:r>
    </w:p>
    <w:p>
      <w:pPr>
        <w:numPr>
          <w:ilvl w:val="0"/>
          <w:numId w:val="1011"/>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as a model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C9: A rich understanding of the lived experience of accessing data using GDPR rights and of motivations for GDPR data access</w:t>
      </w:r>
    </w:p>
    <w:p>
      <w:pPr>
        <w:pStyle w:val="BodyText"/>
      </w:pPr>
      <w:r>
        <w:t xml:space="preserve">Case Study Two fills a critical research gap in understanding the human experience of using GDPR to access one’s personal data: confirming past findings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but going much deeper [</w:t>
      </w:r>
      <w:hyperlink w:anchor="Xe764b34bb9cf18ff85fc0a77c2cd10063248c10">
        <w:r>
          <w:rPr>
            <w:rStyle w:val="Hyperlink"/>
          </w:rPr>
          <w:t xml:space="preserve">5.4</w:t>
        </w:r>
      </w:hyperlink>
      <w:r>
        <w:t xml:space="preserve">] in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 [</w:t>
      </w:r>
      <w:hyperlink w:anchor="table-5.X">
        <w:r>
          <w:rPr>
            <w:rStyle w:val="Hyperlink"/>
          </w:rPr>
          <w:t xml:space="preserve">Table 5.X</w:t>
        </w:r>
      </w:hyperlink>
      <w:r>
        <w:t xml:space="preserve">] 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C10: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 [</w:t>
      </w:r>
      <w:hyperlink w:anchor="X279d3e70c4a8279cdfb499a60bef2c4f405d995">
        <w:r>
          <w:rPr>
            <w:rStyle w:val="Hyperlink"/>
          </w:rPr>
          <w:t xml:space="preserve">5.5.2</w:t>
        </w:r>
      </w:hyperlink>
      <w:r>
        <w:t xml:space="preserve">]].</w:t>
      </w:r>
    </w:p>
    <w:p>
      <w:pPr>
        <w:pStyle w:val="BodyText"/>
      </w:pPr>
      <w:r>
        <w:rPr>
          <w:bCs/>
          <w:b/>
        </w:rPr>
        <w:t xml:space="preserve">C11: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2"/>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2"/>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2"/>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C12: A proto-methodology for educating individuals about held data, data access and the data ecosystem</w:t>
      </w:r>
    </w:p>
    <w:p>
      <w:pPr>
        <w:pStyle w:val="BodyText"/>
      </w:pPr>
      <w:r>
        <w:t xml:space="preserve">While it was not designed as as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Indeed my creation of this methodology was the primary reason why I was approached and employed as lead researcher of Hestia.ai/Sitra’s digipower investigation [ADD REF], which</w:t>
      </w:r>
      <w:r>
        <w:t xml:space="preserve"> </w:t>
      </w:r>
      <w:r>
        <w:rPr>
          <w:bCs/>
          <w:b/>
        </w:rPr>
        <w:t xml:space="preserve">adopted Case Study Two’s methodology</w:t>
      </w:r>
      <w:r>
        <w:t xml:space="preserve">, with some adaptation and broadening of scope, for an important EU study auditing and understanding the power of data holders in the data economy [</w:t>
      </w:r>
      <w:r>
        <w:t xml:space="preserve">Bowyer, Pidoux,</w:t>
      </w:r>
      <w:r>
        <w:t xml:space="preserve"> </w:t>
      </w:r>
      <w:r>
        <w:rPr>
          <w:iCs/>
          <w:i/>
        </w:rPr>
        <w:t xml:space="preserve">et al.</w:t>
      </w:r>
      <w:r>
        <w:t xml:space="preserve"> </w:t>
      </w:r>
      <w:r>
        <w:t xml:space="preserve">(</w:t>
      </w:r>
      <w:hyperlink w:anchor="ref-bowyer2022hestia">
        <w:r>
          <w:rPr>
            <w:rStyle w:val="Hyperlink"/>
          </w:rPr>
          <w:t xml:space="preserve">2022</w:t>
        </w:r>
      </w:hyperlink>
      <w:r>
        <w:t xml:space="preserve">)</w:t>
      </w:r>
      <w:r>
        <w:t xml:space="preserve">;</w:t>
      </w:r>
      <w:r>
        <w:t xml:space="preserve"> </w:t>
      </w:r>
      <w:r>
        <w:t xml:space="preserve">Pidoux</w:t>
      </w:r>
      <w:r>
        <w:t xml:space="preserve"> </w:t>
      </w:r>
      <w:r>
        <w:rPr>
          <w:iCs/>
          <w:i/>
        </w:rPr>
        <w:t xml:space="preserve">et al.</w:t>
      </w:r>
      <w:r>
        <w:t xml:space="preserve"> </w:t>
      </w:r>
      <w:r>
        <w:t xml:space="preserve">(</w:t>
      </w:r>
      <w:hyperlink w:anchor="ref-pidoux2022">
        <w:r>
          <w:rPr>
            <w:rStyle w:val="Hyperlink"/>
          </w:rPr>
          <w:t xml:space="preserve">2022</w:t>
        </w:r>
      </w:hyperlink>
      <w:r>
        <w:t xml:space="preserve">)</w:t>
      </w:r>
      <w:r>
        <w:t xml:space="preserve">; ADD REF TO FINAL REPORT].</w:t>
      </w:r>
    </w:p>
    <w:bookmarkEnd w:id="29"/>
    <w:bookmarkEnd w:id="30"/>
    <w:bookmarkStart w:id="58" w:name="Xafe7d50c10921ac0f9f899939231a737e7dc2b2"/>
    <w:p>
      <w:pPr>
        <w:pStyle w:val="Heading2"/>
      </w:pPr>
      <w:r>
        <w:rPr>
          <w:rStyle w:val="SectionNumber"/>
        </w:rPr>
        <w:t xml:space="preserve">1.3</w:t>
      </w:r>
      <w:r>
        <w:tab/>
      </w:r>
      <w:r>
        <w:t xml:space="preserve">Publications arising from and connected to this research</w:t>
      </w:r>
    </w:p>
    <w:p>
      <w:pPr>
        <w:pStyle w:val="FirstParagraph"/>
      </w:pPr>
      <w:r>
        <w:t xml:space="preserve">[TODO address JG feedback]</w:t>
      </w:r>
    </w:p>
    <w:bookmarkStart w:id="34"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31"/>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32">
        <w:r>
          <w:rPr>
            <w:rStyle w:val="Hyperlink"/>
          </w:rPr>
          <w:t xml:space="preserve">presented at</w:t>
        </w:r>
      </w:hyperlink>
      <w:r>
        <w:t xml:space="preserve"> </w:t>
      </w:r>
      <w:r>
        <w:t xml:space="preserve">CHI 2018:</w:t>
      </w:r>
    </w:p>
    <w:p>
      <w:pPr>
        <w:numPr>
          <w:ilvl w:val="0"/>
          <w:numId w:val="1013"/>
        </w:numPr>
        <w:pStyle w:val="Compact"/>
      </w:pPr>
      <w:r>
        <w:t xml:space="preserve">“</w:t>
      </w:r>
      <w:hyperlink r:id="rId33">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 4, 6 and 7. As such, the paper is included in full in Appendix 1.[ADD APPENDIX REFERENCE]</w:t>
      </w:r>
    </w:p>
    <w:bookmarkEnd w:id="34"/>
    <w:bookmarkStart w:id="43" w:name="X12922418c775c428a953a3113e443ec31059d4f"/>
    <w:p>
      <w:pPr>
        <w:pStyle w:val="Heading3"/>
      </w:pPr>
      <w:r>
        <w:rPr>
          <w:rStyle w:val="SectionNumber"/>
        </w:rPr>
        <w:t xml:space="preserve">1.3.2</w:t>
      </w:r>
      <w:r>
        <w:tab/>
      </w:r>
      <w:r>
        <w:t xml:space="preserve">Primary Case studies</w:t>
      </w:r>
    </w:p>
    <w:bookmarkStart w:id="39" w:name="X8c540b95e6eecf57e1c4c459289fa97bc6c86fc"/>
    <w:p>
      <w:pPr>
        <w:pStyle w:val="Heading4"/>
      </w:pPr>
      <w:r>
        <w:rPr>
          <w:rStyle w:val="SectionNumber"/>
        </w:rPr>
        <w:t xml:space="preserve">1.3.2.1</w:t>
      </w:r>
      <w:r>
        <w:tab/>
      </w:r>
      <w:r>
        <w:t xml:space="preserve">Publications from Case Study One</w:t>
      </w:r>
    </w:p>
    <w:p>
      <w:pPr>
        <w:pStyle w:val="FirstParagraph"/>
      </w:pPr>
      <w:r>
        <w:t xml:space="preserve">The work exploring shared data interaction in Early Help carried out in Case Study One has been initially published as an Extended Abstract at CHI 2019:</w:t>
      </w:r>
    </w:p>
    <w:p>
      <w:pPr>
        <w:numPr>
          <w:ilvl w:val="0"/>
          <w:numId w:val="1014"/>
        </w:numPr>
        <w:pStyle w:val="Compact"/>
      </w:pPr>
      <w:r>
        <w:t xml:space="preserve">“</w:t>
      </w:r>
      <w:hyperlink r:id="rId35">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 Figure X. A full journal paper of Case Study One is in prep.</w:t>
      </w:r>
    </w:p>
    <w:p>
      <w:pPr>
        <w:pStyle w:val="CaptionedFigure"/>
      </w:pPr>
      <w:r>
        <w:drawing>
          <wp:inline>
            <wp:extent cx="5334000" cy="7541887"/>
            <wp:effectExtent b="0" l="0" r="0" t="0"/>
            <wp:docPr descr="Figure X: Poster Presentation of Case Study One" title="" id="37" name="Picture"/>
            <a:graphic>
              <a:graphicData uri="http://schemas.openxmlformats.org/drawingml/2006/picture">
                <pic:pic>
                  <pic:nvPicPr>
                    <pic:cNvPr descr="./src/figs/figX-hdi-in-care-poster.png" id="38" name="Picture"/>
                    <pic:cNvPicPr>
                      <a:picLocks noChangeArrowheads="1" noChangeAspect="1"/>
                    </pic:cNvPicPr>
                  </pic:nvPicPr>
                  <pic:blipFill>
                    <a:blip r:embed="rId36"/>
                    <a:stretch>
                      <a:fillRect/>
                    </a:stretch>
                  </pic:blipFill>
                  <pic:spPr bwMode="auto">
                    <a:xfrm>
                      <a:off x="0" y="0"/>
                      <a:ext cx="5334000" cy="7541887"/>
                    </a:xfrm>
                    <a:prstGeom prst="rect">
                      <a:avLst/>
                    </a:prstGeom>
                    <a:noFill/>
                    <a:ln w="9525">
                      <a:noFill/>
                      <a:headEnd/>
                      <a:tailEnd/>
                    </a:ln>
                  </pic:spPr>
                </pic:pic>
              </a:graphicData>
            </a:graphic>
          </wp:inline>
        </w:drawing>
      </w:r>
    </w:p>
    <w:p>
      <w:pPr>
        <w:pStyle w:val="ImageCaption"/>
      </w:pPr>
      <w:r>
        <w:t xml:space="preserve">Figure X: Poster Presentation of Case Study One</w:t>
      </w:r>
    </w:p>
    <w:bookmarkEnd w:id="39"/>
    <w:bookmarkStart w:id="42" w:name="Xdf3e8f7a4346501463ce3a81c454c6878a82359"/>
    <w:p>
      <w:pPr>
        <w:pStyle w:val="Heading4"/>
      </w:pPr>
      <w:r>
        <w:rPr>
          <w:rStyle w:val="SectionNumber"/>
        </w:rPr>
        <w:t xml:space="preserve">1.3.2.2</w:t>
      </w:r>
      <w:r>
        <w:tab/>
      </w:r>
      <w:r>
        <w:t xml:space="preserve">Publication from Case Study Two</w:t>
      </w:r>
    </w:p>
    <w:p>
      <w:pPr>
        <w:pStyle w:val="FirstParagraph"/>
      </w:pPr>
      <w:r>
        <w:t xml:space="preserve">The work exploring the human experience of GDPR data access carried out in Case Study Two has been published</w:t>
      </w:r>
      <w:r>
        <w:t xml:space="preserve"> </w:t>
      </w:r>
      <w:hyperlink r:id="rId40">
        <w:r>
          <w:rPr>
            <w:rStyle w:val="Hyperlink"/>
          </w:rPr>
          <w:t xml:space="preserve">and presented</w:t>
        </w:r>
      </w:hyperlink>
      <w:r>
        <w:t xml:space="preserve"> </w:t>
      </w:r>
      <w:r>
        <w:t xml:space="preserve">as a full first-author paper at CHI 2022, where it was awarded an</w:t>
      </w:r>
      <w:r>
        <w:t xml:space="preserve"> </w:t>
      </w:r>
      <w:r>
        <w:rPr>
          <w:iCs/>
          <w:i/>
        </w:rPr>
        <w:t xml:space="preserve">Honorable Mention</w:t>
      </w:r>
      <w:r>
        <w:t xml:space="preserve">:</w:t>
      </w:r>
    </w:p>
    <w:p>
      <w:pPr>
        <w:numPr>
          <w:ilvl w:val="0"/>
          <w:numId w:val="1015"/>
        </w:numPr>
        <w:pStyle w:val="Compact"/>
      </w:pPr>
      <w:hyperlink r:id="rId41">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was shared between myself and Jack Holt.</w:t>
      </w:r>
    </w:p>
    <w:bookmarkEnd w:id="42"/>
    <w:bookmarkEnd w:id="43"/>
    <w:bookmarkStart w:id="50" w:name="Xf4ea365164f93933dbcfdfaba7510f792a06eb0"/>
    <w:p>
      <w:pPr>
        <w:pStyle w:val="Heading3"/>
      </w:pPr>
      <w:r>
        <w:rPr>
          <w:rStyle w:val="SectionNumber"/>
        </w:rPr>
        <w:t xml:space="preserve">1.3.3</w:t>
      </w:r>
      <w:r>
        <w:tab/>
      </w:r>
      <w:r>
        <w:t xml:space="preserve">Workshop papers &amp; presentations</w:t>
      </w:r>
    </w:p>
    <w:p>
      <w:pPr>
        <w:pStyle w:val="FirstParagraph"/>
      </w:pPr>
      <w:r>
        <w:t xml:space="preserve">During the PhD, I gave a number of additional presentations and published three workshop papers which included material from or directly contributing to this thesis and its argments.</w:t>
      </w:r>
    </w:p>
    <w:p>
      <w:pPr>
        <w:numPr>
          <w:ilvl w:val="0"/>
          <w:numId w:val="1016"/>
        </w:numPr>
        <w:pStyle w:val="Compact"/>
      </w:pPr>
      <w:hyperlink r:id="rId44">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 a short talk I presented to my peers at Open Lab in January 2017 laying out the landscape of reduced agency and possible avenues for improving humans’ relationships to their data;</w:t>
      </w:r>
    </w:p>
    <w:p>
      <w:pPr>
        <w:numPr>
          <w:ilvl w:val="0"/>
          <w:numId w:val="1016"/>
        </w:numPr>
        <w:pStyle w:val="Compact"/>
      </w:pPr>
      <w:hyperlink r:id="rId45">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w:t>
        </w:r>
      </w:hyperlink>
      <w:r>
        <w:t xml:space="preserve">)</w:t>
      </w:r>
      <w:r>
        <w:t xml:space="preserve"> </w:t>
      </w:r>
      <w:r>
        <w:t xml:space="preserve">- a CHI 2018 workshop paper formalising past pre-PhD design thinking and outlining a vision for unconstrained and useful data interaction interfaces;</w:t>
      </w:r>
    </w:p>
    <w:p>
      <w:pPr>
        <w:numPr>
          <w:ilvl w:val="0"/>
          <w:numId w:val="1016"/>
        </w:numPr>
        <w:pStyle w:val="Compact"/>
      </w:pPr>
      <w:hyperlink r:id="rId46">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 a CHI 2018 workshop paper where I imagined a form of digital computer assistant that is far more helpful and human-data-centric than the digital voice assistants of today [ADD REF];</w:t>
      </w:r>
    </w:p>
    <w:p>
      <w:pPr>
        <w:numPr>
          <w:ilvl w:val="0"/>
          <w:numId w:val="1016"/>
        </w:numPr>
        <w:pStyle w:val="Compact"/>
      </w:pPr>
      <w:hyperlink r:id="rId47">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 in early 2020 just prior to the pandemic, I was invited to give lectures on my research to undergraduate students at both Northumbria University and Newcastle University;</w:t>
      </w:r>
    </w:p>
    <w:p>
      <w:pPr>
        <w:numPr>
          <w:ilvl w:val="0"/>
          <w:numId w:val="1016"/>
        </w:numPr>
        <w:pStyle w:val="Compact"/>
      </w:pPr>
      <w:hyperlink r:id="rId48">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 in April 2021, I presented my thesis in Newcastle University’s 3 minute thesis competition, and was co-winner of the people’s choice prize;</w:t>
      </w:r>
    </w:p>
    <w:p>
      <w:pPr>
        <w:numPr>
          <w:ilvl w:val="0"/>
          <w:numId w:val="1016"/>
        </w:numPr>
        <w:pStyle w:val="Compact"/>
      </w:pPr>
      <w:hyperlink r:id="rId49">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 A workshop paper I presented at CHI 2021, where I first outlined my model of the two motivating factors for interacting with personal data.</w:t>
      </w:r>
    </w:p>
    <w:bookmarkEnd w:id="50"/>
    <w:bookmarkStart w:id="57" w:name="Xf77470f34d624f77ac7bcf21366f57d489ee6ea"/>
    <w:p>
      <w:pPr>
        <w:pStyle w:val="Heading3"/>
      </w:pPr>
      <w:r>
        <w:rPr>
          <w:rStyle w:val="SectionNumber"/>
        </w:rPr>
        <w:t xml:space="preserve">1.3.4</w:t>
      </w:r>
      <w:r>
        <w:tab/>
      </w:r>
      <w:r>
        <w:t xml:space="preserve">Publications from other work</w:t>
      </w:r>
    </w:p>
    <w:p>
      <w:pPr>
        <w:pStyle w:val="FirstParagraph"/>
      </w:pPr>
      <w:r>
        <w:t xml:space="preserve">During the same timeframe as this PhD, I have also contributed to a number of publications tangential to my primary research agenda:</w:t>
      </w:r>
    </w:p>
    <w:p>
      <w:pPr>
        <w:numPr>
          <w:ilvl w:val="0"/>
          <w:numId w:val="1017"/>
        </w:numPr>
        <w:pStyle w:val="Compact"/>
      </w:pPr>
      <w:r>
        <w:t xml:space="preserve">As a researcher and developer on the Connected Health Cities SILVER project [ADD REF TO 3.x], I contributed to work published through Newcastle University’s internal report to CHC (not publicly available) and the</w:t>
      </w:r>
      <w:r>
        <w:t xml:space="preserve"> </w:t>
      </w:r>
      <w:hyperlink r:id="rId51">
        <w:r>
          <w:rPr>
            <w:rStyle w:val="Hyperlink"/>
          </w:rPr>
          <w:t xml:space="preserve">overall impact report</w:t>
        </w:r>
      </w:hyperlink>
      <w:r>
        <w:t xml:space="preserve"> </w:t>
      </w:r>
      <w:r>
        <w:t xml:space="preserve">(p129-130), and more directly published</w:t>
      </w:r>
      <w:r>
        <w:t xml:space="preserve"> </w:t>
      </w:r>
      <w:hyperlink r:id="rId52">
        <w:r>
          <w:rPr>
            <w:rStyle w:val="Hyperlink"/>
          </w:rPr>
          <w:t xml:space="preserve">demonstration videos</w:t>
        </w:r>
      </w:hyperlink>
      <w:r>
        <w:t xml:space="preserve"> </w:t>
      </w:r>
      <w:r>
        <w:t xml:space="preserve">of a health data interface prototype developed by myself and Stuart Wheater.</w:t>
      </w:r>
    </w:p>
    <w:p>
      <w:pPr>
        <w:numPr>
          <w:ilvl w:val="0"/>
          <w:numId w:val="1017"/>
        </w:numPr>
        <w:pStyle w:val="Compact"/>
      </w:pPr>
      <w:r>
        <w:t xml:space="preserve">As a researcher and developer on DERC’s Healthy Eating project, I developed interface prototypes (no longer online) and was co-author to two research publications</w:t>
      </w:r>
      <w:r>
        <w:t xml:space="preserve"> </w:t>
      </w:r>
      <w:hyperlink r:id="rId53">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4">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7"/>
        </w:numPr>
        <w:pStyle w:val="Compact"/>
      </w:pPr>
      <w:r>
        <w:t xml:space="preserve">As a research intern on BBC R&amp;D’s Cornmarket project [ADD REF], I published an internal research report[ADD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[ADD REF].</w:t>
      </w:r>
    </w:p>
    <w:p>
      <w:pPr>
        <w:numPr>
          <w:ilvl w:val="0"/>
          <w:numId w:val="1017"/>
        </w:numPr>
        <w:pStyle w:val="Compact"/>
      </w:pPr>
      <w:r>
        <w:t xml:space="preserve">As project leader, data access coach and researcher at Hestia.ai, I was a lead author on</w:t>
      </w:r>
      <w:r>
        <w:t xml:space="preserve"> </w:t>
      </w:r>
      <w:hyperlink r:id="rId55">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6">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7"/>
    <w:bookmarkEnd w:id="58"/>
    <w:bookmarkStart w:id="62"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[TODO address JG feedback]</w:t>
      </w:r>
    </w:p>
    <w:p>
      <w:pPr>
        <w:pStyle w:val="BodyText"/>
      </w:pPr>
      <w:r>
        <w:t xml:space="preserve">The overall structure of this thesis is illustrated in Figure X.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investigation of the two research questions. [</w:t>
      </w:r>
      <w:hyperlink w:anchor="chapter-7">
        <w:r>
          <w:rPr>
            <w:rStyle w:val="Hyperlink"/>
          </w:rPr>
          <w:t xml:space="preserve">Chapter 7</w:t>
        </w:r>
      </w:hyperlink>
      <w:r>
        <w:t xml:space="preserve">] opens up the future of the HDR landscape and sets the stage for future research and innovation, building on both the research conclusions in Chapter 6 as well as my practical experiences from other related research and development activities conducted outside of this PhD research but during the same timeframe.</w:t>
      </w:r>
    </w:p>
    <w:p>
      <w:pPr>
        <w:pStyle w:val="CaptionedFigure"/>
      </w:pPr>
      <w:r>
        <w:drawing>
          <wp:inline>
            <wp:extent cx="5334000" cy="2476175"/>
            <wp:effectExtent b="0" l="0" r="0" t="0"/>
            <wp:docPr descr="Figure X: The Structure of this Thesis" title="" id="60" name="Picture"/>
            <a:graphic>
              <a:graphicData uri="http://schemas.openxmlformats.org/drawingml/2006/picture">
                <pic:pic>
                  <pic:nvPicPr>
                    <pic:cNvPr descr="./src/figs/figX-thesis-structure.jpg" id="61" name="Picture"/>
                    <pic:cNvPicPr>
                      <a:picLocks noChangeArrowheads="1" noChangeAspect="1"/>
                    </pic:cNvPicPr>
                  </pic:nvPicPr>
                  <pic:blipFill>
                    <a:blip r:embed="rId59"/>
                    <a:stretch>
                      <a:fillRect/>
                    </a:stretch>
                  </pic:blipFill>
                  <pic:spPr bwMode="auto">
                    <a:xfrm>
                      <a:off x="0" y="0"/>
                      <a:ext cx="5334000" cy="2476175"/>
                    </a:xfrm>
                    <a:prstGeom prst="rect">
                      <a:avLst/>
                    </a:prstGeom>
                    <a:noFill/>
                    <a:ln w="9525">
                      <a:noFill/>
                      <a:headEnd/>
                      <a:tailEnd/>
                    </a:ln>
                  </pic:spPr>
                </pic:pic>
              </a:graphicData>
            </a:graphic>
          </wp:inline>
        </w:drawing>
      </w:r>
    </w:p>
    <w:p>
      <w:pPr>
        <w:pStyle w:val="ImageCaption"/>
      </w:pPr>
      <w:r>
        <w:t xml:space="preserve">Figure X: The Structure of this Thesis</w:t>
      </w:r>
    </w:p>
    <w:p>
      <w:pPr>
        <w:pStyle w:val="BodyText"/>
      </w:pPr>
      <w:hyperlink w:anchor="chapter-2">
        <w:r>
          <w:rPr>
            <w:rStyle w:val="Hyperlink"/>
          </w:rPr>
          <w:t xml:space="preserve">Chapter 2</w:t>
        </w:r>
      </w:hyperlink>
      <w:r>
        <w:t xml:space="preserve"> </w:t>
      </w:r>
      <w:r>
        <w:t xml:space="preserve">is a literature review divided into three key sections. The first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 HCI and Human-Data Interaction foundations through to the embracing of sociotechnical thinking around data and the current bleeding edge of human-centred innovation, leading to</w:t>
      </w:r>
      <w:r>
        <w:t xml:space="preserve"> </w:t>
      </w:r>
      <w:hyperlink w:anchor="RQ">
        <w:r>
          <w:rPr>
            <w:rStyle w:val="Hyperlink"/>
          </w:rPr>
          <w:t xml:space="preserve">the primary Research Question</w:t>
        </w:r>
      </w:hyperlink>
      <w:r>
        <w:t xml:space="preserve"> </w:t>
      </w:r>
      <w:r>
        <w:t xml:space="preserve">of this thesis:</w:t>
      </w:r>
      <w:r>
        <w:t xml:space="preserve"> </w:t>
      </w:r>
      <w:r>
        <w:rPr>
          <w:iCs/>
          <w:i/>
        </w:rPr>
        <w:t xml:space="preserve">“</w:t>
      </w:r>
      <w:r>
        <w:rPr>
          <w:iCs/>
          <w:i/>
        </w:rPr>
        <w:t xml:space="preserve">What relationship do people need with their personal data, and how could that be achieved?</w:t>
      </w:r>
      <w:r>
        <w:rPr>
          <w:iCs/>
          <w:i/>
        </w:rPr>
        <w:t xml:space="preserve">”</w:t>
      </w:r>
    </w:p>
    <w:p>
      <w:pPr>
        <w:pStyle w:val="BodyText"/>
      </w:pPr>
      <w:hyperlink w:anchor="chapter-3">
        <w:r>
          <w:rPr>
            <w:rStyle w:val="Hyperlink"/>
          </w:rPr>
          <w:t xml:space="preserve">Chapter 3</w:t>
        </w:r>
      </w:hyperlink>
      <w:r>
        <w:t xml:space="preserve"> </w:t>
      </w:r>
      <w:r>
        <w:t xml:space="preserve">describes the methodology used in this research, explaining first the constructist ontology and pragmatist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two research questions (RQs) are explained in more detail [</w:t>
      </w:r>
      <w:hyperlink w:anchor="X9c68c54449dd45e3ffc6d16d2e2e55125c2895d">
        <w:r>
          <w:rPr>
            <w:rStyle w:val="Hyperlink"/>
          </w:rPr>
          <w:t xml:space="preserve">3.3</w:t>
        </w:r>
      </w:hyperlink>
      <w:r>
        <w:t xml:space="preserve">] and the contexts for the Case Studies are introduced from a personal</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sensitisation, workshop activities, recruitment strategies and modelling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is a detailed, self-contained account of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the inherent contradiction between that and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w:t>
      </w:r>
      <w:r>
        <w:rPr>
          <w:iCs/>
          <w:i/>
        </w:rPr>
        <w:t xml:space="preserve">Shared Data Interaction</w:t>
      </w:r>
      <w:r>
        <w:rPr>
          <w:iCs/>
          <w:i/>
        </w:rPr>
        <w:t xml:space="preserve">’</w:t>
      </w:r>
      <w:r>
        <w:t xml:space="preserve"> </w:t>
      </w:r>
      <w:r>
        <w:t xml:space="preserve">vision and structure of the workshops, whose participants’ shared values are introduced. The thematic findings are detailed extensively [</w:t>
      </w:r>
      <w:hyperlink w:anchor="X5d05199b7d43b0bd203a9cf2e8e874dad4ff45f">
        <w:r>
          <w:rPr>
            <w:rStyle w:val="Hyperlink"/>
          </w:rPr>
          <w:t xml:space="preserve">4.3</w:t>
        </w:r>
      </w:hyperlink>
      <w:r>
        <w:t xml:space="preserve">] including participant quotes, and then contextualised in the discussion [</w:t>
      </w:r>
      <w:hyperlink w:anchor="X3883f9a9f04a04af0c790df93d414e14826cfb7">
        <w:r>
          <w:rPr>
            <w:rStyle w:val="Hyperlink"/>
          </w:rPr>
          <w:t xml:space="preserve">4.4</w:t>
        </w:r>
      </w:hyperlink>
      <w:r>
        <w:t xml:space="preserve">] in terms of the value of involving people with their data, the link between HDI and effective data access, and the implications of shifting the locus of decision-making. The research is summarised in [</w:t>
      </w:r>
      <w:hyperlink w:anchor="X9a7597c10f2e831aaf8a6526fb9a13e25ea680e">
        <w:r>
          <w:rPr>
            <w:rStyle w:val="Hyperlink"/>
          </w:rPr>
          <w:t xml:space="preserve">4.5</w:t>
        </w:r>
      </w:hyperlink>
      <w:r>
        <w:t xml:space="preserve">].</w:t>
      </w:r>
    </w:p>
    <w:p>
      <w:pPr>
        <w:pStyle w:val="BodyText"/>
      </w:pPr>
      <w:hyperlink w:anchor="chapter-5">
        <w:r>
          <w:rPr>
            <w:rStyle w:val="Hyperlink"/>
          </w:rPr>
          <w:t xml:space="preserve">Chapter 5</w:t>
        </w:r>
      </w:hyperlink>
      <w:r>
        <w:t xml:space="preserve"> </w:t>
      </w:r>
      <w:r>
        <w:t xml:space="preserve">is a thorough and self-contained write-up of Case Study Two. The first section [</w:t>
      </w:r>
      <w:hyperlink w:anchor="X746a82081d852d58b152584407d5b80d3ac43f3">
        <w:r>
          <w:rPr>
            <w:rStyle w:val="Hyperlink"/>
          </w:rPr>
          <w:t xml:space="preserve">5.1</w:t>
        </w:r>
      </w:hyperlink>
      <w:r>
        <w:t xml:space="preserve">] provides additional context on the need for data access, prior GDPR research and the human-centric approach to this study, whose design and configuration is detailed in</w:t>
      </w:r>
      <w:r>
        <w:t xml:space="preserve"> </w:t>
      </w:r>
      <w:hyperlink w:anchor="X380b93c5f9e9e252ac9ac548449d65f955603c4">
        <w:r>
          <w:rPr>
            <w:rStyle w:val="Hyperlink"/>
          </w:rPr>
          <w:t xml:space="preserve">5.2</w:t>
        </w:r>
      </w:hyperlink>
      <w:r>
        <w:t xml:space="preserve">. Findings are shared: firstly [</w:t>
      </w:r>
      <w:hyperlink w:anchor="X710dd44fa12f98194f8bba2bb20cba7bee18ff6">
        <w:r>
          <w:rPr>
            <w:rStyle w:val="Hyperlink"/>
          </w:rPr>
          <w:t xml:space="preserve">5.3</w:t>
        </w:r>
      </w:hyperlink>
      <w:r>
        <w:t xml:space="preserve">] the largely quantitative outcomes of the participants’ GDPR requests, interview responses and trust/power scores, then the thematic findings</w:t>
      </w:r>
      <w:r>
        <w:t xml:space="preserve"> </w:t>
      </w:r>
      <w:hyperlink w:anchor="Xe764b34bb9cf18ff85fc0a77c2cd10063248c10">
        <w:r>
          <w:rPr>
            <w:rStyle w:val="Hyperlink"/>
          </w:rPr>
          <w:t xml:space="preserve">5.4</w:t>
        </w:r>
      </w:hyperlink>
      <w:r>
        <w:t xml:space="preserve">, illustrated with participant quotes. The discussion [</w:t>
      </w:r>
      <w:hyperlink w:anchor="Xf66ffa0d783df84c67ba37533f91b9f3782a063">
        <w:r>
          <w:rPr>
            <w:rStyle w:val="Hyperlink"/>
          </w:rPr>
          <w:t xml:space="preserve">5.5</w:t>
        </w:r>
      </w:hyperlink>
      <w:r>
        <w:t xml:space="preserve">] contextualises and synthesises the findings into human-centric, GDPR-improving guidelines for policymakers, data holders and individuals. The research is summarised in [</w:t>
      </w:r>
      <w:hyperlink w:anchor="X2246273db175b4d951c8ae09a9b87d55b422463">
        <w:r>
          <w:rPr>
            <w:rStyle w:val="Hyperlink"/>
          </w:rPr>
          <w:t xml:space="preserve">5.6</w:t>
        </w:r>
      </w:hyperlink>
      <w:r>
        <w:t xml:space="preserve">].</w:t>
      </w:r>
    </w:p>
    <w:p>
      <w:pPr>
        <w:pStyle w:val="BodyText"/>
      </w:pPr>
      <w:hyperlink w:anchor="chapter-6">
        <w:r>
          <w:rPr>
            <w:rStyle w:val="Hyperlink"/>
          </w:rPr>
          <w:t xml:space="preserve">Chapter 6</w:t>
        </w:r>
      </w:hyperlink>
      <w:r>
        <w:t xml:space="preserve"> </w:t>
      </w:r>
      <w:r>
        <w:t xml:space="preserve">synthesises the two case studies, and answers RQ and RQ2, bringing the thesis’s central empirical research to a close based on findings and discursive insights from both studies backed by literature references. The answer to RQ1 is provided [</w:t>
      </w:r>
      <w:hyperlink w:anchor="X8258c05de79d267cff0777b650c09dd0e24396f">
        <w:r>
          <w:rPr>
            <w:rStyle w:val="Hyperlink"/>
          </w:rPr>
          <w:t xml:space="preserve">6.1</w:t>
        </w:r>
      </w:hyperlink>
      <w:r>
        <w:t xml:space="preserve">] as people’s three wants from direct data relations (for it to be visible, understandable and useable), and the answer to RQ2 is provided [</w:t>
      </w:r>
      <w:hyperlink w:anchor="X86a6a7bbe6a4ae5c1502558f013f6ed6b9ae6f2">
        <w:r>
          <w:rPr>
            <w:rStyle w:val="Hyperlink"/>
          </w:rPr>
          <w:t xml:space="preserve">6.2</w:t>
        </w:r>
      </w:hyperlink>
      <w:r>
        <w:t xml:space="preserve">] as people’s three wants from indirect data relations (process transparency, individual oversight, and involvement). The chapter concludes [</w:t>
      </w:r>
      <w:hyperlink w:anchor="X3c10c50990743199cc887aaacd3f88a0a0a026e">
        <w:r>
          <w:rPr>
            <w:rStyle w:val="Hyperlink"/>
          </w:rPr>
          <w:t xml:space="preserve">6.3</w:t>
        </w:r>
      </w:hyperlink>
      <w:r>
        <w:t xml:space="preserve">] by outlining this thesis’s perspective power and positioning the pursuit of these six</w:t>
      </w:r>
      <w:r>
        <w:t xml:space="preserve"> </w:t>
      </w:r>
      <w:r>
        <w:rPr>
          <w:iCs/>
          <w:i/>
        </w:rPr>
        <w:t xml:space="preserve">‘</w:t>
      </w:r>
      <w:r>
        <w:rPr>
          <w:iCs/>
          <w:i/>
        </w:rPr>
        <w:t xml:space="preserve">data wants</w:t>
      </w:r>
      <w:r>
        <w:rPr>
          <w:iCs/>
          <w:i/>
        </w:rPr>
        <w:t xml:space="preserve">’</w:t>
      </w:r>
      <w:r>
        <w:t xml:space="preserve"> </w:t>
      </w:r>
      <w:r>
        <w:t xml:space="preserve">as</w:t>
      </w:r>
      <w:r>
        <w:t xml:space="preserve"> </w:t>
      </w:r>
      <w:r>
        <w:rPr>
          <w:iCs/>
          <w:i/>
        </w:rPr>
        <w:t xml:space="preserve">empowerment</w:t>
      </w:r>
      <w:r>
        <w:t xml:space="preserve"> </w:t>
      </w:r>
      <w:r>
        <w:t xml:space="preserve">relative to that perspective and thus as</w:t>
      </w:r>
      <w:r>
        <w:t xml:space="preserve"> </w:t>
      </w:r>
      <w:r>
        <w:rPr>
          <w:iCs/>
          <w:i/>
        </w:rPr>
        <w:t xml:space="preserve">‘</w:t>
      </w:r>
      <w:r>
        <w:rPr>
          <w:iCs/>
          <w:i/>
        </w:rPr>
        <w:t xml:space="preserve">better HDR</w:t>
      </w:r>
      <w:r>
        <w:rPr>
          <w:iCs/>
          <w:i/>
        </w:rPr>
        <w:t xml:space="preserve">’</w:t>
      </w:r>
      <w:r>
        <w:t xml:space="preserve">.</w:t>
      </w:r>
    </w:p>
    <w:p>
      <w:pPr>
        <w:pStyle w:val="BodyText"/>
      </w:pPr>
      <w:hyperlink w:anchor="chapter-7">
        <w:r>
          <w:rPr>
            <w:rStyle w:val="Hyperlink"/>
          </w:rPr>
          <w:t xml:space="preserve">Chapter 7</w:t>
        </w:r>
      </w:hyperlink>
      <w:r>
        <w:t xml:space="preserve"> </w:t>
      </w:r>
      <w:r>
        <w:t xml:space="preserve">is a deliberately broad, shallow and open-ended chapter framed around synthesised research and designerly insights. This moves beyond a traditional thesis structure, with the goal of providing real-world experience and ideas on</w:t>
      </w:r>
      <w:r>
        <w:t xml:space="preserve"> </w:t>
      </w:r>
      <w:r>
        <w:rPr>
          <w:iCs/>
          <w:i/>
        </w:rPr>
        <w:t xml:space="preserve">how such human-centric empowerment might be achieved in practice</w:t>
      </w:r>
      <w:r>
        <w:t xml:space="preserve">. This serves to augment this thesis to become a</w:t>
      </w:r>
      <w:r>
        <w:t xml:space="preserve"> </w:t>
      </w:r>
      <w:r>
        <w:rPr>
          <w:iCs/>
          <w:i/>
        </w:rPr>
        <w:t xml:space="preserve">valuable and actionable anthology of reference material</w:t>
      </w:r>
      <w:r>
        <w:t xml:space="preserve"> </w:t>
      </w:r>
      <w:r>
        <w:t xml:space="preserve">for future researchers, activists and innovators, which I believe is the best way to share the HDR insights I have gained along this six year journey that go beyond traditional empirical findings. First [</w:t>
      </w:r>
      <w:hyperlink w:anchor="Xc8e800b130e88f8d15b2c092b8d2fd1e5eaa830">
        <w:r>
          <w:rPr>
            <w:rStyle w:val="Hyperlink"/>
          </w:rPr>
          <w:t xml:space="preserve">7.1</w:t>
        </w:r>
      </w:hyperlink>
      <w:r>
        <w:t xml:space="preserve">], the peripheral contexts that I worked in alongside this PhD are introduced, along with relevant additional background around</w:t>
      </w:r>
      <w:r>
        <w:t xml:space="preserve"> </w:t>
      </w:r>
      <w:r>
        <w:rPr>
          <w:iCs/>
          <w:i/>
        </w:rPr>
        <w:t xml:space="preserve">Theories of Change</w:t>
      </w:r>
      <w:r>
        <w:t xml:space="preserve"> </w:t>
      </w:r>
      <w:r>
        <w:t xml:space="preserve">(ToC) and a conceptualisation of those who pursue better HDR as a</w:t>
      </w:r>
      <w:r>
        <w:t xml:space="preserve"> </w:t>
      </w:r>
      <w:r>
        <w:rPr>
          <w:iCs/>
          <w:i/>
        </w:rPr>
        <w:t xml:space="preserve">recursive public</w:t>
      </w:r>
      <w:r>
        <w:t xml:space="preserve">. In [</w:t>
      </w:r>
      <w:hyperlink w:anchor="Xd90f00e19f5543904caf9ab2abd5b800e0613c0">
        <w:r>
          <w:rPr>
            <w:rStyle w:val="Hyperlink"/>
          </w:rPr>
          <w:t xml:space="preserve">7.2</w:t>
        </w:r>
      </w:hyperlink>
      <w:r>
        <w:t xml:space="preserve">], insights from the thesis’s findings and from external experiences are synthesised to frame the pursuit of this thesis’s</w:t>
      </w:r>
      <w:r>
        <w:t xml:space="preserve"> </w:t>
      </w:r>
      <w:r>
        <w:t xml:space="preserve">‘</w:t>
      </w:r>
      <w:r>
        <w:t xml:space="preserve">data wants</w:t>
      </w:r>
      <w:r>
        <w:t xml:space="preserve">’</w:t>
      </w:r>
      <w:r>
        <w:t xml:space="preserve"> </w:t>
      </w:r>
      <w:r>
        <w:t xml:space="preserve">as a defined field of future research, called</w:t>
      </w:r>
      <w:r>
        <w:t xml:space="preserve"> </w:t>
      </w:r>
      <w:r>
        <w:rPr>
          <w:iCs/>
          <w:i/>
        </w:rPr>
        <w:t xml:space="preserve">Human Data Relations</w:t>
      </w:r>
      <w:r>
        <w:t xml:space="preserve"> </w:t>
      </w:r>
      <w:r>
        <w:t xml:space="preserve">(HDR). The landscape of HDR is mapped out in two parts. First [</w:t>
      </w:r>
      <w:hyperlink w:anchor="X96c51c3d98f021d42ee8c458ed421add6b4adde">
        <w:r>
          <w:rPr>
            <w:rStyle w:val="Hyperlink"/>
          </w:rPr>
          <w:t xml:space="preserve">7.3</w:t>
        </w:r>
      </w:hyperlink>
      <w:r>
        <w:t xml:space="preserve">], the six data wants are mapped into four</w:t>
      </w:r>
      <w:r>
        <w:t xml:space="preserve"> </w:t>
      </w:r>
      <w:r>
        <w:rPr>
          <w:iCs/>
          <w:i/>
        </w:rPr>
        <w:t xml:space="preserve">‘</w:t>
      </w:r>
      <w:r>
        <w:rPr>
          <w:iCs/>
          <w:i/>
        </w:rPr>
        <w:t xml:space="preserve">landscape objectives</w:t>
      </w:r>
      <w:r>
        <w:rPr>
          <w:iCs/>
          <w:i/>
        </w:rPr>
        <w:t xml:space="preserve">’</w:t>
      </w:r>
      <w:r>
        <w:t xml:space="preserve">, which are then used as a frame to outline the identified</w:t>
      </w:r>
      <w:r>
        <w:t xml:space="preserve"> </w:t>
      </w:r>
      <w:r>
        <w:rPr>
          <w:iCs/>
          <w:i/>
        </w:rPr>
        <w:t xml:space="preserve">obstacles</w:t>
      </w:r>
      <w:r>
        <w:t xml:space="preserve"> </w:t>
      </w:r>
      <w:r>
        <w:t xml:space="preserve">to pursuit of those objectives, followed by useful</w:t>
      </w:r>
      <w:r>
        <w:t xml:space="preserve"> </w:t>
      </w:r>
      <w:r>
        <w:rPr>
          <w:iCs/>
          <w:i/>
        </w:rPr>
        <w:t xml:space="preserve">insights</w:t>
      </w:r>
      <w:r>
        <w:t xml:space="preserve"> </w:t>
      </w:r>
      <w:r>
        <w:t xml:space="preserve">that could be embraced to tackle those obstacles. Then [</w:t>
      </w:r>
      <w:hyperlink w:anchor="X40141584308035bb03b454584dbe23925c8bab3">
        <w:r>
          <w:rPr>
            <w:rStyle w:val="Hyperlink"/>
          </w:rPr>
          <w:t xml:space="preserve">7.4</w:t>
        </w:r>
      </w:hyperlink>
      <w:r>
        <w:t xml:space="preserve">], using a ToC framing, my identified</w:t>
      </w:r>
      <w:r>
        <w:t xml:space="preserve"> </w:t>
      </w:r>
      <w:r>
        <w:rPr>
          <w:iCs/>
          <w:i/>
        </w:rPr>
        <w:t xml:space="preserve">opportunities for progress</w:t>
      </w:r>
      <w:r>
        <w:t xml:space="preserve"> </w:t>
      </w:r>
      <w:r>
        <w:t xml:space="preserve">are introduced, divided into</w:t>
      </w:r>
      <w:r>
        <w:t xml:space="preserve"> </w:t>
      </w:r>
      <w:r>
        <w:rPr>
          <w:iCs/>
          <w:i/>
        </w:rPr>
        <w:t xml:space="preserve">four different trajectories of change</w:t>
      </w:r>
      <w:r>
        <w:t xml:space="preserve"> </w:t>
      </w:r>
      <w:r>
        <w:t xml:space="preserve">that could be executed in practice to pursue better HDR. Finally</w:t>
      </w:r>
      <w:r>
        <w:t xml:space="preserve"> </w:t>
      </w:r>
      <w:hyperlink w:anchor="Xd8b45c5920a4ae6b8956c42dcd24c7e655d0317">
        <w:r>
          <w:rPr>
            <w:rStyle w:val="Hyperlink"/>
          </w:rPr>
          <w:t xml:space="preserve">7.5</w:t>
        </w:r>
      </w:hyperlink>
      <w:r>
        <w:t xml:space="preserve"> </w:t>
      </w:r>
      <w:r>
        <w:t xml:space="preserve">concludes the thesis with a summary of its findings and contributions.</w:t>
      </w:r>
      <w:r>
        <w:t xml:space="preserve"> </w:t>
      </w:r>
      <w:r>
        <w:t xml:space="preserve">[TODO this needs slight update based on restructuring. Also simplify?]</w:t>
      </w:r>
    </w:p>
    <w:bookmarkEnd w:id="62"/>
    <w:bookmarkEnd w:id="63"/>
    <w:bookmarkStart w:id="114" w:name="bibliography"/>
    <w:p>
      <w:pPr>
        <w:pStyle w:val="Heading1"/>
      </w:pPr>
      <w:r>
        <w:t xml:space="preserve">Bibliography</w:t>
      </w:r>
    </w:p>
    <w:bookmarkStart w:id="113" w:name="refs"/>
    <w:bookmarkStart w:id="65"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6">
        <w:r>
          <w:rPr>
            <w:rStyle w:val="Hyperlink"/>
          </w:rPr>
          <w:t xml:space="preserve">www.irissproject.eu https://papers.ssrn.com/sol3/papers.cfm?abstract_id=3106632</w:t>
        </w:r>
      </w:hyperlink>
      <w:r>
        <w:t xml:space="preserve">.</w:t>
      </w:r>
    </w:p>
    <w:bookmarkEnd w:id="67"/>
    <w:bookmarkStart w:id="69"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8">
        <w:r>
          <w:rPr>
            <w:rStyle w:val="Hyperlink"/>
          </w:rPr>
          <w:t xml:space="preserve">10.1145/2804405</w:t>
        </w:r>
      </w:hyperlink>
      <w:r>
        <w:t xml:space="preserve">.</w:t>
      </w:r>
    </w:p>
    <w:bookmarkEnd w:id="69"/>
    <w:bookmarkStart w:id="71" w:name="ref-bowyer2011"/>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70">
        <w:r>
          <w:rPr>
            <w:rStyle w:val="Hyperlink"/>
          </w:rPr>
          <w:t xml:space="preserve">http://radar.oreilly.com/2011/07/why-files-need-to-die.html</w:t>
        </w:r>
      </w:hyperlink>
      <w:r>
        <w:t xml:space="preserve">.</w:t>
      </w:r>
    </w:p>
    <w:bookmarkEnd w:id="71"/>
    <w:bookmarkStart w:id="73" w:name="ref-bowyer2012"/>
    <w:p>
      <w:pPr>
        <w:pStyle w:val="Bibliography"/>
      </w:pPr>
      <w:r>
        <w:t xml:space="preserve">Bowyer, A. (2012)</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2">
        <w:r>
          <w:rPr>
            <w:rStyle w:val="Hyperlink"/>
          </w:rPr>
          <w:t xml:space="preserve">https://eprints.ncl.ac.uk/273829</w:t>
        </w:r>
      </w:hyperlink>
      <w:r>
        <w:t xml:space="preserve">.</w:t>
      </w:r>
    </w:p>
    <w:bookmarkEnd w:id="73"/>
    <w:bookmarkStart w:id="7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5">
        <w:r>
          <w:rPr>
            <w:rStyle w:val="Hyperlink"/>
          </w:rPr>
          <w:t xml:space="preserve">https://eprints.ncl.ac.uk/273825</w:t>
        </w:r>
      </w:hyperlink>
      <w:r>
        <w:t xml:space="preserve">.</w:t>
      </w:r>
    </w:p>
    <w:bookmarkEnd w:id="74"/>
    <w:bookmarkStart w:id="7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5">
        <w:r>
          <w:rPr>
            <w:rStyle w:val="Hyperlink"/>
          </w:rPr>
          <w:t xml:space="preserve">10.1145/3173574.3173710</w:t>
        </w:r>
      </w:hyperlink>
      <w:r>
        <w:t xml:space="preserve">.</w:t>
      </w:r>
    </w:p>
    <w:bookmarkEnd w:id="76"/>
    <w:bookmarkStart w:id="77"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5">
        <w:r>
          <w:rPr>
            <w:rStyle w:val="Hyperlink"/>
          </w:rPr>
          <w:t xml:space="preserve">10.1145/3290607.3312998</w:t>
        </w:r>
      </w:hyperlink>
      <w:r>
        <w:t xml:space="preserve">.</w:t>
      </w:r>
    </w:p>
    <w:bookmarkEnd w:id="77"/>
    <w:bookmarkStart w:id="78"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5">
        <w:r>
          <w:rPr>
            <w:rStyle w:val="Hyperlink"/>
          </w:rPr>
          <w:t xml:space="preserve">10.5281/zenodo.6554177</w:t>
        </w:r>
      </w:hyperlink>
      <w:r>
        <w:t xml:space="preserve">.</w:t>
      </w:r>
    </w:p>
    <w:bookmarkEnd w:id="78"/>
    <w:bookmarkStart w:id="79"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79"/>
    <w:bookmarkStart w:id="81"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80">
        <w:r>
          <w:rPr>
            <w:rStyle w:val="Hyperlink"/>
          </w:rPr>
          <w:t xml:space="preserve">10.1145/1011870.1011885</w:t>
        </w:r>
      </w:hyperlink>
      <w:r>
        <w:t xml:space="preserve">.</w:t>
      </w:r>
    </w:p>
    <w:bookmarkEnd w:id="81"/>
    <w:bookmarkStart w:id="83"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82">
        <w:r>
          <w:rPr>
            <w:rStyle w:val="Hyperlink"/>
          </w:rPr>
          <w:t xml:space="preserve">https://www.businessinsider.com/cambridge-analytica-whistleblower-christopher-wylie-facebook-data-2019-10?r=US&amp;IR=T</w:t>
        </w:r>
      </w:hyperlink>
      <w:r>
        <w:t xml:space="preserve">.</w:t>
      </w:r>
    </w:p>
    <w:bookmarkEnd w:id="83"/>
    <w:bookmarkStart w:id="85"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84">
        <w:r>
          <w:rPr>
            <w:rStyle w:val="Hyperlink"/>
          </w:rPr>
          <w:t xml:space="preserve">10.1016/j.ipm.2020.102307</w:t>
        </w:r>
      </w:hyperlink>
      <w:r>
        <w:t xml:space="preserve">.</w:t>
      </w:r>
    </w:p>
    <w:bookmarkEnd w:id="85"/>
    <w:bookmarkStart w:id="86"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 34</w:t>
      </w:r>
      <w:r>
        <w:t xml:space="preserve">, pp. 155–167.</w:t>
      </w:r>
    </w:p>
    <w:bookmarkEnd w:id="86"/>
    <w:bookmarkStart w:id="87"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87"/>
    <w:bookmarkStart w:id="88"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88"/>
    <w:bookmarkStart w:id="90"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89">
        <w:r>
          <w:rPr>
            <w:rStyle w:val="Hyperlink"/>
          </w:rPr>
          <w:t xml:space="preserve">http://www3.weforum.org/docs/WEF_RethinkingPersonalData_TrustandContext_Report_2014.pdf</w:t>
        </w:r>
      </w:hyperlink>
      <w:r>
        <w:t xml:space="preserve">.</w:t>
      </w:r>
    </w:p>
    <w:bookmarkEnd w:id="90"/>
    <w:bookmarkStart w:id="92"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91">
        <w:r>
          <w:rPr>
            <w:rStyle w:val="Hyperlink"/>
          </w:rPr>
          <w:t xml:space="preserve">https://perma.cc/92LZ-B8DN].</w:t>
        </w:r>
      </w:hyperlink>
    </w:p>
    <w:bookmarkEnd w:id="92"/>
    <w:bookmarkStart w:id="9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93">
        <w:r>
          <w:rPr>
            <w:rStyle w:val="Hyperlink"/>
          </w:rPr>
          <w:t xml:space="preserve">10.1145/2493432.2493446</w:t>
        </w:r>
      </w:hyperlink>
      <w:r>
        <w:t xml:space="preserve">.</w:t>
      </w:r>
    </w:p>
    <w:bookmarkEnd w:id="94"/>
    <w:bookmarkStart w:id="96"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95">
        <w:r>
          <w:rPr>
            <w:rStyle w:val="Hyperlink"/>
          </w:rPr>
          <w:t xml:space="preserve">10.2139/ssrn.2508051</w:t>
        </w:r>
      </w:hyperlink>
      <w:r>
        <w:t xml:space="preserve">.</w:t>
      </w:r>
    </w:p>
    <w:bookmarkEnd w:id="96"/>
    <w:bookmarkStart w:id="98"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97">
        <w:r>
          <w:rPr>
            <w:rStyle w:val="Hyperlink"/>
          </w:rPr>
          <w:t xml:space="preserve">https://web.archive.org/web/20180727024332/https://digitalcivics.io/apply/</w:t>
        </w:r>
      </w:hyperlink>
      <w:r>
        <w:t xml:space="preserve"> </w:t>
      </w:r>
      <w:r>
        <w:t xml:space="preserve">(Accessed: 6 July 2022).</w:t>
      </w:r>
    </w:p>
    <w:bookmarkEnd w:id="98"/>
    <w:bookmarkStart w:id="99"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6">
        <w:r>
          <w:rPr>
            <w:rStyle w:val="Hyperlink"/>
          </w:rPr>
          <w:t xml:space="preserve">10.5281/zenodo.6554155</w:t>
        </w:r>
      </w:hyperlink>
      <w:r>
        <w:t xml:space="preserve">.</w:t>
      </w:r>
    </w:p>
    <w:bookmarkEnd w:id="99"/>
    <w:bookmarkStart w:id="101"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00">
        <w:r>
          <w:rPr>
            <w:rStyle w:val="Hyperlink"/>
          </w:rPr>
          <w:t xml:space="preserve">10.1016/b978-1-55860-092-8.50006-x</w:t>
        </w:r>
      </w:hyperlink>
      <w:r>
        <w:t xml:space="preserve">.</w:t>
      </w:r>
    </w:p>
    <w:bookmarkEnd w:id="101"/>
    <w:bookmarkStart w:id="102"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02"/>
    <w:bookmarkStart w:id="104"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03">
        <w:r>
          <w:rPr>
            <w:rStyle w:val="Hyperlink"/>
          </w:rPr>
          <w:t xml:space="preserve">https://memory.ai/timely-blog/the-attention-economy</w:t>
        </w:r>
      </w:hyperlink>
      <w:r>
        <w:t xml:space="preserve">.</w:t>
      </w:r>
    </w:p>
    <w:bookmarkEnd w:id="104"/>
    <w:bookmarkStart w:id="106"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05">
        <w:r>
          <w:rPr>
            <w:rStyle w:val="Hyperlink"/>
          </w:rPr>
          <w:t xml:space="preserve">https://www.wired.com/insights/2014/07/data-new-oil-digital-economy/</w:t>
        </w:r>
      </w:hyperlink>
      <w:r>
        <w:t xml:space="preserve">.</w:t>
      </w:r>
    </w:p>
    <w:bookmarkEnd w:id="106"/>
    <w:bookmarkStart w:id="108"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07">
        <w:r>
          <w:rPr>
            <w:rStyle w:val="Hyperlink"/>
          </w:rPr>
          <w:t xml:space="preserve">https://www.ted.com/talks/zeynep_tufekci_we_re_building_a_dystopia_just_to_make_people_click_on_ads</w:t>
        </w:r>
      </w:hyperlink>
      <w:r>
        <w:t xml:space="preserve">.</w:t>
      </w:r>
    </w:p>
    <w:bookmarkEnd w:id="108"/>
    <w:bookmarkStart w:id="110"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09">
        <w:r>
          <w:rPr>
            <w:rStyle w:val="Hyperlink"/>
          </w:rPr>
          <w:t xml:space="preserve">10.1145/2851581.2886436</w:t>
        </w:r>
      </w:hyperlink>
      <w:r>
        <w:t xml:space="preserve">.</w:t>
      </w:r>
    </w:p>
    <w:bookmarkEnd w:id="110"/>
    <w:bookmarkStart w:id="112"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11">
        <w:r>
          <w:rPr>
            <w:rStyle w:val="Hyperlink"/>
          </w:rPr>
          <w:t xml:space="preserve">https://books.google.co.uk/books?id=W7ZEDgAAQBAJ</w:t>
        </w:r>
      </w:hyperlink>
      <w:r>
        <w:t xml:space="preserve">.</w:t>
      </w:r>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Archived at https://web.archive.org/web/20111231165329/http://www.human20.com/</w:t>
      </w:r>
    </w:p>
  </w:footnote>
  <w:footnote w:id="21">
    <w:p>
      <w:pPr>
        <w:pStyle w:val="FootnoteText"/>
      </w:pPr>
      <w:r>
        <w:rPr>
          <w:rStyle w:val="FootnoteReference"/>
        </w:rPr>
        <w:footnoteRef/>
      </w:r>
      <w:r>
        <w:t xml:space="preserve"> </w:t>
      </w:r>
      <w:r>
        <w:t xml:space="preserve">http://bitnorth.com/shortbits/</w:t>
      </w:r>
    </w:p>
  </w:footnote>
  <w:footnote w:id="31">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59" Target="media/rId59.jpg" /><Relationship Type="http://schemas.openxmlformats.org/officeDocument/2006/relationships/hyperlink" Id="rId22" Target="7.1.1" TargetMode="External" /><Relationship Type="http://schemas.openxmlformats.org/officeDocument/2006/relationships/hyperlink" Id="rId70" Target="http://radar.oreilly.com/2011/07/why-files-need-to-die.html" TargetMode="External" /><Relationship Type="http://schemas.openxmlformats.org/officeDocument/2006/relationships/hyperlink" Id="rId89" Target="http://www3.weforum.org/docs/WEF_RethinkingPersonalData_TrustandContext_Report_2014.pdf" TargetMode="External" /><Relationship Type="http://schemas.openxmlformats.org/officeDocument/2006/relationships/hyperlink" Id="rId111"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00" Target="https://doi.org/10.1016/b978-1-55860-092-8.50006-x" TargetMode="External" /><Relationship Type="http://schemas.openxmlformats.org/officeDocument/2006/relationships/hyperlink" Id="rId84" Target="https://doi.org/10.1016/j.ipm.2020.102307" TargetMode="External" /><Relationship Type="http://schemas.openxmlformats.org/officeDocument/2006/relationships/hyperlink" Id="rId54" Target="https://doi.org/10.1093/iwc/iwac015" TargetMode="External" /><Relationship Type="http://schemas.openxmlformats.org/officeDocument/2006/relationships/hyperlink" Id="rId80" Target="https://doi.org/10.1145/1011870.1011885" TargetMode="External" /><Relationship Type="http://schemas.openxmlformats.org/officeDocument/2006/relationships/hyperlink" Id="rId93"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68" Target="https://doi.org/10.1145/2804405" TargetMode="External" /><Relationship Type="http://schemas.openxmlformats.org/officeDocument/2006/relationships/hyperlink" Id="rId109" Target="https://doi.org/10.1145/2851581.2886436" TargetMode="External" /><Relationship Type="http://schemas.openxmlformats.org/officeDocument/2006/relationships/hyperlink" Id="rId75"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1" Target="https://doi.org/10.1145/3491102.3501947" TargetMode="External" /><Relationship Type="http://schemas.openxmlformats.org/officeDocument/2006/relationships/hyperlink" Id="rId53" Target="https://doi.org/10.14236/ewic/HCI2021.16" TargetMode="External" /><Relationship Type="http://schemas.openxmlformats.org/officeDocument/2006/relationships/hyperlink" Id="rId95" Target="https://doi.org/10.2139/ssrn.2508051" TargetMode="External" /><Relationship Type="http://schemas.openxmlformats.org/officeDocument/2006/relationships/hyperlink" Id="rId56" Target="https://doi.org/10.5281/zenodo.6554155" TargetMode="External" /><Relationship Type="http://schemas.openxmlformats.org/officeDocument/2006/relationships/hyperlink" Id="rId55" Target="https://doi.org/10.5281/zenodo.6554177" TargetMode="External" /><Relationship Type="http://schemas.openxmlformats.org/officeDocument/2006/relationships/hyperlink" Id="rId45" Target="https://eprints.ncl.ac.uk/273825" TargetMode="External" /><Relationship Type="http://schemas.openxmlformats.org/officeDocument/2006/relationships/hyperlink" Id="rId46" Target="https://eprints.ncl.ac.uk/273826" TargetMode="External" /><Relationship Type="http://schemas.openxmlformats.org/officeDocument/2006/relationships/hyperlink" Id="rId72" Target="https://eprints.ncl.ac.uk/273829" TargetMode="External" /><Relationship Type="http://schemas.openxmlformats.org/officeDocument/2006/relationships/hyperlink" Id="rId44" Target="https://eprints.ncl.ac.uk/273832" TargetMode="External" /><Relationship Type="http://schemas.openxmlformats.org/officeDocument/2006/relationships/hyperlink" Id="rId47" Target="https://eprints.ncl.ac.uk/273834" TargetMode="External" /><Relationship Type="http://schemas.openxmlformats.org/officeDocument/2006/relationships/hyperlink" Id="rId52" Target="https://eprints.ncl.ac.uk/273839" TargetMode="External" /><Relationship Type="http://schemas.openxmlformats.org/officeDocument/2006/relationships/hyperlink" Id="rId49" Target="https://eprints.ncl.ac.uk/274297" TargetMode="External" /><Relationship Type="http://schemas.openxmlformats.org/officeDocument/2006/relationships/hyperlink" Id="rId103" Target="https://memory.ai/timely-blog/the-attention-economy" TargetMode="External" /><Relationship Type="http://schemas.openxmlformats.org/officeDocument/2006/relationships/hyperlink" Id="rId91" Target="https://perma.cc/92LZ-B8DN]." TargetMode="External" /><Relationship Type="http://schemas.openxmlformats.org/officeDocument/2006/relationships/hyperlink" Id="rId97" Target="https://web.archive.org/web/20180727024332/https://digitalcivics.io/apply/" TargetMode="External" /><Relationship Type="http://schemas.openxmlformats.org/officeDocument/2006/relationships/hyperlink" Id="rId51" Target="https://web.archive.org/web/20211225192408/https://www.chc-impact-report.co.uk/" TargetMode="External" /><Relationship Type="http://schemas.openxmlformats.org/officeDocument/2006/relationships/hyperlink" Id="rId82" Target="https://www.businessinsider.com/cambridge-analytica-whistleblower-christopher-wylie-facebook-data-2019-10?r=US&amp;IR=T" TargetMode="External" /><Relationship Type="http://schemas.openxmlformats.org/officeDocument/2006/relationships/hyperlink" Id="rId107" Target="https://www.ted.com/talks/zeynep_tufekci_we_re_building_a_dystopia_just_to_make_people_click_on_ads" TargetMode="External" /><Relationship Type="http://schemas.openxmlformats.org/officeDocument/2006/relationships/hyperlink" Id="rId105" Target="https://www.wired.com/insights/2014/07/data-new-oil-digital-economy/" TargetMode="External" /><Relationship Type="http://schemas.openxmlformats.org/officeDocument/2006/relationships/hyperlink" Id="rId48" Target="https://www.youtube.com/watch?v=YFHXc_TfM5c" TargetMode="External" /><Relationship Type="http://schemas.openxmlformats.org/officeDocument/2006/relationships/hyperlink" Id="rId40" Target="https://www.youtube.com/watch?v=hf-XjsCgBJY&amp;t=32465s" TargetMode="External" /><Relationship Type="http://schemas.openxmlformats.org/officeDocument/2006/relationships/hyperlink" Id="rId66"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22" Target="7.1.1" TargetMode="External" /><Relationship Type="http://schemas.openxmlformats.org/officeDocument/2006/relationships/hyperlink" Id="rId70" Target="http://radar.oreilly.com/2011/07/why-files-need-to-die.html" TargetMode="External" /><Relationship Type="http://schemas.openxmlformats.org/officeDocument/2006/relationships/hyperlink" Id="rId89" Target="http://www3.weforum.org/docs/WEF_RethinkingPersonalData_TrustandContext_Report_2014.pdf" TargetMode="External" /><Relationship Type="http://schemas.openxmlformats.org/officeDocument/2006/relationships/hyperlink" Id="rId111"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00" Target="https://doi.org/10.1016/b978-1-55860-092-8.50006-x" TargetMode="External" /><Relationship Type="http://schemas.openxmlformats.org/officeDocument/2006/relationships/hyperlink" Id="rId84" Target="https://doi.org/10.1016/j.ipm.2020.102307" TargetMode="External" /><Relationship Type="http://schemas.openxmlformats.org/officeDocument/2006/relationships/hyperlink" Id="rId54" Target="https://doi.org/10.1093/iwc/iwac015" TargetMode="External" /><Relationship Type="http://schemas.openxmlformats.org/officeDocument/2006/relationships/hyperlink" Id="rId80" Target="https://doi.org/10.1145/1011870.1011885" TargetMode="External" /><Relationship Type="http://schemas.openxmlformats.org/officeDocument/2006/relationships/hyperlink" Id="rId93"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68" Target="https://doi.org/10.1145/2804405" TargetMode="External" /><Relationship Type="http://schemas.openxmlformats.org/officeDocument/2006/relationships/hyperlink" Id="rId109" Target="https://doi.org/10.1145/2851581.2886436" TargetMode="External" /><Relationship Type="http://schemas.openxmlformats.org/officeDocument/2006/relationships/hyperlink" Id="rId75"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1" Target="https://doi.org/10.1145/3491102.3501947" TargetMode="External" /><Relationship Type="http://schemas.openxmlformats.org/officeDocument/2006/relationships/hyperlink" Id="rId53" Target="https://doi.org/10.14236/ewic/HCI2021.16" TargetMode="External" /><Relationship Type="http://schemas.openxmlformats.org/officeDocument/2006/relationships/hyperlink" Id="rId95" Target="https://doi.org/10.2139/ssrn.2508051" TargetMode="External" /><Relationship Type="http://schemas.openxmlformats.org/officeDocument/2006/relationships/hyperlink" Id="rId56" Target="https://doi.org/10.5281/zenodo.6554155" TargetMode="External" /><Relationship Type="http://schemas.openxmlformats.org/officeDocument/2006/relationships/hyperlink" Id="rId55" Target="https://doi.org/10.5281/zenodo.6554177" TargetMode="External" /><Relationship Type="http://schemas.openxmlformats.org/officeDocument/2006/relationships/hyperlink" Id="rId45" Target="https://eprints.ncl.ac.uk/273825" TargetMode="External" /><Relationship Type="http://schemas.openxmlformats.org/officeDocument/2006/relationships/hyperlink" Id="rId46" Target="https://eprints.ncl.ac.uk/273826" TargetMode="External" /><Relationship Type="http://schemas.openxmlformats.org/officeDocument/2006/relationships/hyperlink" Id="rId72" Target="https://eprints.ncl.ac.uk/273829" TargetMode="External" /><Relationship Type="http://schemas.openxmlformats.org/officeDocument/2006/relationships/hyperlink" Id="rId44" Target="https://eprints.ncl.ac.uk/273832" TargetMode="External" /><Relationship Type="http://schemas.openxmlformats.org/officeDocument/2006/relationships/hyperlink" Id="rId47" Target="https://eprints.ncl.ac.uk/273834" TargetMode="External" /><Relationship Type="http://schemas.openxmlformats.org/officeDocument/2006/relationships/hyperlink" Id="rId52" Target="https://eprints.ncl.ac.uk/273839" TargetMode="External" /><Relationship Type="http://schemas.openxmlformats.org/officeDocument/2006/relationships/hyperlink" Id="rId49" Target="https://eprints.ncl.ac.uk/274297" TargetMode="External" /><Relationship Type="http://schemas.openxmlformats.org/officeDocument/2006/relationships/hyperlink" Id="rId103" Target="https://memory.ai/timely-blog/the-attention-economy" TargetMode="External" /><Relationship Type="http://schemas.openxmlformats.org/officeDocument/2006/relationships/hyperlink" Id="rId91" Target="https://perma.cc/92LZ-B8DN]." TargetMode="External" /><Relationship Type="http://schemas.openxmlformats.org/officeDocument/2006/relationships/hyperlink" Id="rId97" Target="https://web.archive.org/web/20180727024332/https://digitalcivics.io/apply/" TargetMode="External" /><Relationship Type="http://schemas.openxmlformats.org/officeDocument/2006/relationships/hyperlink" Id="rId51" Target="https://web.archive.org/web/20211225192408/https://www.chc-impact-report.co.uk/" TargetMode="External" /><Relationship Type="http://schemas.openxmlformats.org/officeDocument/2006/relationships/hyperlink" Id="rId82" Target="https://www.businessinsider.com/cambridge-analytica-whistleblower-christopher-wylie-facebook-data-2019-10?r=US&amp;IR=T" TargetMode="External" /><Relationship Type="http://schemas.openxmlformats.org/officeDocument/2006/relationships/hyperlink" Id="rId107" Target="https://www.ted.com/talks/zeynep_tufekci_we_re_building_a_dystopia_just_to_make_people_click_on_ads" TargetMode="External" /><Relationship Type="http://schemas.openxmlformats.org/officeDocument/2006/relationships/hyperlink" Id="rId105" Target="https://www.wired.com/insights/2014/07/data-new-oil-digital-economy/" TargetMode="External" /><Relationship Type="http://schemas.openxmlformats.org/officeDocument/2006/relationships/hyperlink" Id="rId48" Target="https://www.youtube.com/watch?v=YFHXc_TfM5c" TargetMode="External" /><Relationship Type="http://schemas.openxmlformats.org/officeDocument/2006/relationships/hyperlink" Id="rId40" Target="https://www.youtube.com/watch?v=hf-XjsCgBJY&amp;t=32465s" TargetMode="External" /><Relationship Type="http://schemas.openxmlformats.org/officeDocument/2006/relationships/hyperlink" Id="rId66"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2022-07-22T15:14:25Z</dcterms:created>
  <dcterms:modified xsi:type="dcterms:W3CDTF">2022-07-22T15:14:25Z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