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0"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4"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Left unchecked, the situation will not improve for individuals, as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b">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w:t>
      </w:r>
    </w:p>
    <w:p>
      <w:pPr>
        <w:pStyle w:val="BodyText"/>
      </w:pPr>
      <w:r>
        <w:t xml:space="preserve">I will now explain my personal motivation for conducting research in this problem space before outlining the objectives and structure of the research.</w:t>
      </w:r>
    </w:p>
    <w:bookmarkStart w:id="22"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a lifelong passion to help people get more value from our computers that has began over 25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the Web 2.0 revolution and the digitisation and disruption of so many industries since the start of the 21st century and embracing new capabilities, I became fascinated with the ways in which humans were shaping computer systems which in turn were shaping our habits and our society. 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 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The revolutionary potential of a Web 2.0</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IT and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 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2"/>
    <w:bookmarkStart w:id="23"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3"/>
    <w:bookmarkEnd w:id="24"/>
    <w:bookmarkStart w:id="29"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5"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5"/>
    <w:bookmarkStart w:id="26"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inaccessible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numPr>
          <w:ilvl w:val="0"/>
          <w:numId w:val="1010"/>
        </w:numPr>
        <w:pStyle w:val="Compact"/>
      </w:pPr>
      <w:r>
        <w:t xml:space="preserve">Life information makes data relatable.</w:t>
      </w:r>
    </w:p>
    <w:p>
      <w:pPr>
        <w:numPr>
          <w:ilvl w:val="0"/>
          <w:numId w:val="1010"/>
        </w:numPr>
        <w:pStyle w:val="Compact"/>
      </w:pPr>
      <w:r>
        <w:t xml:space="preserve">Ecosystem information is an antidote to digital life complexity.</w:t>
      </w:r>
    </w:p>
    <w:p>
      <w:pPr>
        <w:numPr>
          <w:ilvl w:val="0"/>
          <w:numId w:val="1010"/>
        </w:numPr>
        <w:pStyle w:val="Compact"/>
      </w:pPr>
      <w:r>
        <w:t xml:space="preserve">Life &amp; ecosystem information should be useable as a material.</w:t>
      </w:r>
    </w:p>
    <w:p>
      <w:pPr>
        <w:numPr>
          <w:ilvl w:val="0"/>
          <w:numId w:val="1010"/>
        </w:numPr>
        <w:pStyle w:val="Compact"/>
      </w:pPr>
      <w:r>
        <w:t xml:space="preserve">Data needs provenance.</w:t>
      </w:r>
    </w:p>
    <w:p>
      <w:pPr>
        <w:numPr>
          <w:ilvl w:val="0"/>
          <w:numId w:val="1010"/>
        </w:numPr>
        <w:pStyle w:val="Compact"/>
      </w:pPr>
      <w:r>
        <w:t xml:space="preserve">Data holders exploit four levers of power to manipulate the digital landscape.</w:t>
      </w:r>
    </w:p>
    <w:p>
      <w:pPr>
        <w:numPr>
          <w:ilvl w:val="0"/>
          <w:numId w:val="1010"/>
        </w:numPr>
        <w:pStyle w:val="Compact"/>
      </w:pPr>
      <w:r>
        <w:t xml:space="preserve">Semantic analysis and information standards can transform data storage and facilitate human-centric interface building.</w:t>
      </w:r>
    </w:p>
    <w:p>
      <w:pPr>
        <w:numPr>
          <w:ilvl w:val="0"/>
          <w:numId w:val="1010"/>
        </w:numPr>
        <w:pStyle w:val="Compact"/>
      </w:pPr>
      <w:r>
        <w:t xml:space="preserve">New life capabilities and pain relievers drive user demand.</w:t>
      </w:r>
    </w:p>
    <w:p>
      <w:pPr>
        <w:numPr>
          <w:ilvl w:val="0"/>
          <w:numId w:val="1010"/>
        </w:numPr>
        <w:pStyle w:val="Compact"/>
      </w:pPr>
      <w:r>
        <w:t xml:space="preserve">Better HDR can deliver business value through increased accuracy and consent, and decreased liability.</w:t>
      </w:r>
    </w:p>
    <w:bookmarkEnd w:id="26"/>
    <w:bookmarkStart w:id="27"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bookmarkEnd w:id="27"/>
    <w:bookmarkStart w:id="28"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An understanding of the lived experience of accessing data using GDPR rights</w:t>
      </w:r>
    </w:p>
    <w:p>
      <w:pPr>
        <w:pStyle w:val="BodyText"/>
      </w:pPr>
      <w:r>
        <w:rPr>
          <w:bCs/>
          <w:b/>
        </w:rPr>
        <w:t xml:space="preserve">C9: Evidence for the impact of knowledge about data handling practices on provider trust and perceived individual power</w:t>
      </w:r>
    </w:p>
    <w:p>
      <w:pPr>
        <w:pStyle w:val="BodyText"/>
      </w:pPr>
      <w:r>
        <w:rPr>
          <w:bCs/>
          <w:b/>
        </w:rPr>
        <w:t xml:space="preserve">C10: Guidance for policymakers, data holders and individuals on how to improve HDR</w:t>
      </w:r>
    </w:p>
    <w:p>
      <w:pPr>
        <w:pStyle w:val="BodyText"/>
      </w:pPr>
      <w:r>
        <w:rPr>
          <w:bCs/>
          <w:b/>
        </w:rPr>
        <w:t xml:space="preserve">C11: A methodology for educating individuals about held data, data access and the data ecosystem</w:t>
      </w:r>
      <w:r>
        <w:t xml:space="preserve"> </w:t>
      </w:r>
      <w:r>
        <w:t xml:space="preserve">(with caveat not intended or evaluated as such)</w:t>
      </w:r>
    </w:p>
    <w:bookmarkEnd w:id="28"/>
    <w:bookmarkEnd w:id="29"/>
    <w:bookmarkStart w:id="55" w:name="Xafe7d50c10921ac0f9f899939231a737e7dc2b2"/>
    <w:p>
      <w:pPr>
        <w:pStyle w:val="Heading2"/>
      </w:pPr>
      <w:r>
        <w:rPr>
          <w:rStyle w:val="SectionNumber"/>
        </w:rPr>
        <w:t xml:space="preserve">1.3</w:t>
      </w:r>
      <w:r>
        <w:tab/>
      </w:r>
      <w:r>
        <w:t xml:space="preserve">Publications arising from and connected to this research</w:t>
      </w:r>
    </w:p>
    <w:bookmarkStart w:id="32"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0"/>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at CHI 2018:</w:t>
      </w:r>
    </w:p>
    <w:p>
      <w:pPr>
        <w:numPr>
          <w:ilvl w:val="0"/>
          <w:numId w:val="1011"/>
        </w:numPr>
        <w:pStyle w:val="Compact"/>
      </w:pPr>
      <w:r>
        <w:t xml:space="preserve">“</w:t>
      </w:r>
      <w:hyperlink r:id="rId31">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b">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2"/>
    <w:bookmarkStart w:id="40" w:name="X12922418c775c428a953a3113e443ec31059d4f"/>
    <w:p>
      <w:pPr>
        <w:pStyle w:val="Heading3"/>
      </w:pPr>
      <w:r>
        <w:rPr>
          <w:rStyle w:val="SectionNumber"/>
        </w:rPr>
        <w:t xml:space="preserve">1.3.2</w:t>
      </w:r>
      <w:r>
        <w:tab/>
      </w:r>
      <w:r>
        <w:t xml:space="preserve">Primary Case studies</w:t>
      </w:r>
    </w:p>
    <w:bookmarkStart w:id="37"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2"/>
        </w:numPr>
        <w:pStyle w:val="Compact"/>
      </w:pPr>
      <w:r>
        <w:t xml:space="preserve">“</w:t>
      </w:r>
      <w:hyperlink r:id="rId33">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w:t>
      </w:r>
    </w:p>
    <w:p>
      <w:pPr>
        <w:pStyle w:val="BodyText"/>
      </w:pPr>
      <w:r>
        <w:t xml:space="preserve">A 15,000 word+ detailed first-author journal paper has been drafted to supplement the extended abstract and will be submitted for publication in due course.</w:t>
      </w:r>
    </w:p>
    <w:p>
      <w:pPr>
        <w:pStyle w:val="CaptionedFigure"/>
      </w:pPr>
      <w:r>
        <w:drawing>
          <wp:inline>
            <wp:extent cx="5334000" cy="7541887"/>
            <wp:effectExtent b="0" l="0" r="0" t="0"/>
            <wp:docPr descr="Figure X: Poster Presentation of Case Study One" title="" id="35" name="Picture"/>
            <a:graphic>
              <a:graphicData uri="http://schemas.openxmlformats.org/drawingml/2006/picture">
                <pic:pic>
                  <pic:nvPicPr>
                    <pic:cNvPr descr="./src/figs/figX-hdi-in-care-poster.png" id="36" name="Picture"/>
                    <pic:cNvPicPr>
                      <a:picLocks noChangeArrowheads="1" noChangeAspect="1"/>
                    </pic:cNvPicPr>
                  </pic:nvPicPr>
                  <pic:blipFill>
                    <a:blip r:embed="rId34"/>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7"/>
    <w:bookmarkStart w:id="39"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 as a full first-author paper at CHI 2022:</w:t>
      </w:r>
    </w:p>
    <w:p>
      <w:pPr>
        <w:numPr>
          <w:ilvl w:val="0"/>
          <w:numId w:val="1013"/>
        </w:numPr>
        <w:pStyle w:val="Compact"/>
      </w:pPr>
      <w:hyperlink r:id="rId38">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39"/>
    <w:bookmarkEnd w:id="40"/>
    <w:bookmarkStart w:id="47"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presentations and published three workshop papers which included material from, or directly contributing to, this thesis and helped shape the ways in which I express the arguments within:</w:t>
      </w:r>
    </w:p>
    <w:p>
      <w:pPr>
        <w:numPr>
          <w:ilvl w:val="0"/>
          <w:numId w:val="1014"/>
        </w:numPr>
        <w:pStyle w:val="Compact"/>
      </w:pPr>
      <w:hyperlink r:id="rId41">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in January 2017 laying out the landscape of reduced agency and possible avenues for improving humans’ relationships to their data.</w:t>
      </w:r>
    </w:p>
    <w:p>
      <w:pPr>
        <w:numPr>
          <w:ilvl w:val="0"/>
          <w:numId w:val="1014"/>
        </w:numPr>
        <w:pStyle w:val="Compact"/>
      </w:pPr>
      <w:hyperlink r:id="rId42">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 a CHI 2018 workshop paper formalising past pre-PhD design thinking and outlining a vision for unconstrained and useful data interaction interfaces</w:t>
      </w:r>
    </w:p>
    <w:p>
      <w:pPr>
        <w:numPr>
          <w:ilvl w:val="0"/>
          <w:numId w:val="1014"/>
        </w:numPr>
        <w:pStyle w:val="Compact"/>
      </w:pPr>
      <w:hyperlink r:id="rId43">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w:t>
      </w:r>
    </w:p>
    <w:p>
      <w:pPr>
        <w:numPr>
          <w:ilvl w:val="0"/>
          <w:numId w:val="1014"/>
        </w:numPr>
        <w:pStyle w:val="Compact"/>
      </w:pPr>
      <w:hyperlink r:id="rId44">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a lecture on my research to undergraduate students at both Northumbria University and Newcastle University.</w:t>
      </w:r>
    </w:p>
    <w:p>
      <w:pPr>
        <w:numPr>
          <w:ilvl w:val="0"/>
          <w:numId w:val="1014"/>
        </w:numPr>
        <w:pStyle w:val="Compact"/>
      </w:pPr>
      <w:hyperlink r:id="rId45">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the 3 minute thesis competition, and was co-winner of the people’s choice prize.</w:t>
      </w:r>
    </w:p>
    <w:p>
      <w:pPr>
        <w:numPr>
          <w:ilvl w:val="0"/>
          <w:numId w:val="1014"/>
        </w:numPr>
        <w:pStyle w:val="Compact"/>
      </w:pPr>
      <w:hyperlink r:id="rId46">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47"/>
    <w:bookmarkStart w:id="54"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5"/>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48">
        <w:r>
          <w:rPr>
            <w:rStyle w:val="Hyperlink"/>
          </w:rPr>
          <w:t xml:space="preserve">overall impact report</w:t>
        </w:r>
      </w:hyperlink>
      <w:r>
        <w:t xml:space="preserve"> </w:t>
      </w:r>
      <w:r>
        <w:t xml:space="preserve">(p129-130), and more directly published</w:t>
      </w:r>
      <w:r>
        <w:t xml:space="preserve"> </w:t>
      </w:r>
      <w:hyperlink r:id="rId49">
        <w:r>
          <w:rPr>
            <w:rStyle w:val="Hyperlink"/>
          </w:rPr>
          <w:t xml:space="preserve">demonstration videos</w:t>
        </w:r>
      </w:hyperlink>
      <w:r>
        <w:t xml:space="preserve"> </w:t>
      </w:r>
      <w:r>
        <w:t xml:space="preserve">of a health data interface prototype developed by myself and Stuart Wheater.</w:t>
      </w:r>
    </w:p>
    <w:p>
      <w:pPr>
        <w:numPr>
          <w:ilvl w:val="0"/>
          <w:numId w:val="1015"/>
        </w:numPr>
        <w:pStyle w:val="Compact"/>
      </w:pPr>
      <w:r>
        <w:t xml:space="preserve">As a researcher and developer on DERC’s Healthy Eating project, I developed interface prototypes (no longer online) and was co-author to two research publications</w:t>
      </w:r>
      <w:r>
        <w:t xml:space="preserve"> </w:t>
      </w:r>
      <w:hyperlink r:id="rId50">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1">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5"/>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5"/>
        </w:numPr>
        <w:pStyle w:val="Compact"/>
      </w:pPr>
      <w:r>
        <w:t xml:space="preserve">As a project leader, data access coach and researcher at Hestia.ai, I was a lead author on</w:t>
      </w:r>
      <w:r>
        <w:t xml:space="preserve"> </w:t>
      </w:r>
      <w:hyperlink r:id="rId52">
        <w:r>
          <w:rPr>
            <w:rStyle w:val="Hyperlink"/>
          </w:rPr>
          <w:t xml:space="preserve">a research report auditing the data economy</w:t>
        </w:r>
      </w:hyperlink>
      <w:r>
        <w:t xml:space="preserve">, and co-author on</w:t>
      </w:r>
      <w:r>
        <w:t xml:space="preserve"> </w:t>
      </w:r>
      <w:hyperlink r:id="rId53">
        <w:r>
          <w:rPr>
            <w:rStyle w:val="Hyperlink"/>
          </w:rPr>
          <w:t xml:space="preserve">a research report on power mechanisms in the data economy</w:t>
        </w:r>
      </w:hyperlink>
      <w:r>
        <w:t xml:space="preserve">.</w:t>
      </w:r>
    </w:p>
    <w:bookmarkEnd w:id="54"/>
    <w:bookmarkEnd w:id="55"/>
    <w:bookmarkStart w:id="59"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37575"/>
            <wp:effectExtent b="0" l="0" r="0" t="0"/>
            <wp:docPr descr="Figure X: The Structure of this Thesis" title="" id="57" name="Picture"/>
            <a:graphic>
              <a:graphicData uri="http://schemas.openxmlformats.org/drawingml/2006/picture">
                <pic:pic>
                  <pic:nvPicPr>
                    <pic:cNvPr descr="./src/figs/figX-thesis-structure.jpg" id="58" name="Picture"/>
                    <pic:cNvPicPr>
                      <a:picLocks noChangeArrowheads="1" noChangeAspect="1"/>
                    </pic:cNvPicPr>
                  </pic:nvPicPr>
                  <pic:blipFill>
                    <a:blip r:embed="rId56"/>
                    <a:stretch>
                      <a:fillRect/>
                    </a:stretch>
                  </pic:blipFill>
                  <pic:spPr bwMode="auto">
                    <a:xfrm>
                      <a:off x="0" y="0"/>
                      <a:ext cx="5334000" cy="24375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…[120w]</w:t>
      </w:r>
    </w:p>
    <w:p>
      <w:pPr>
        <w:pStyle w:val="BodyText"/>
      </w:pPr>
      <w:hyperlink w:anchor="chapter-3">
        <w:r>
          <w:rPr>
            <w:rStyle w:val="Hyperlink"/>
          </w:rPr>
          <w:t xml:space="preserve">Chapter 3</w:t>
        </w:r>
      </w:hyperlink>
      <w:r>
        <w:t xml:space="preserve">…[120w]</w:t>
      </w:r>
    </w:p>
    <w:p>
      <w:pPr>
        <w:pStyle w:val="BodyText"/>
      </w:pPr>
      <w:hyperlink w:anchor="chapter-4">
        <w:r>
          <w:rPr>
            <w:rStyle w:val="Hyperlink"/>
          </w:rPr>
          <w:t xml:space="preserve">Chapter 4</w:t>
        </w:r>
      </w:hyperlink>
      <w:r>
        <w:t xml:space="preserve">…[120w]</w:t>
      </w:r>
    </w:p>
    <w:p>
      <w:pPr>
        <w:pStyle w:val="BodyText"/>
      </w:pPr>
      <w:hyperlink w:anchor="chapter-5">
        <w:r>
          <w:rPr>
            <w:rStyle w:val="Hyperlink"/>
          </w:rPr>
          <w:t xml:space="preserve">Chapter 5</w:t>
        </w:r>
      </w:hyperlink>
      <w:r>
        <w:t xml:space="preserve">…[120w]</w:t>
      </w:r>
    </w:p>
    <w:p>
      <w:pPr>
        <w:pStyle w:val="BodyText"/>
      </w:pPr>
      <w:hyperlink w:anchor="chapter-6">
        <w:r>
          <w:rPr>
            <w:rStyle w:val="Hyperlink"/>
          </w:rPr>
          <w:t xml:space="preserve">Chapter 6</w:t>
        </w:r>
      </w:hyperlink>
      <w:r>
        <w:t xml:space="preserve">…[120w]</w:t>
      </w:r>
    </w:p>
    <w:p>
      <w:pPr>
        <w:pStyle w:val="BodyText"/>
      </w:pPr>
      <w:hyperlink w:anchor="chapter-7">
        <w:r>
          <w:rPr>
            <w:rStyle w:val="Hyperlink"/>
          </w:rPr>
          <w:t xml:space="preserve">Chapter 7</w:t>
        </w:r>
      </w:hyperlink>
      <w:r>
        <w:t xml:space="preserve">…[120w]</w:t>
      </w:r>
    </w:p>
    <w:bookmarkEnd w:id="59"/>
    <w:bookmarkEnd w:id="60"/>
    <w:bookmarkStart w:id="102" w:name="bibliography"/>
    <w:p>
      <w:pPr>
        <w:pStyle w:val="Heading1"/>
      </w:pPr>
      <w:r>
        <w:t xml:space="preserve">Bibliography</w:t>
      </w:r>
    </w:p>
    <w:bookmarkStart w:id="101" w:name="refs"/>
    <w:bookmarkStart w:id="62"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1">
        <w:r>
          <w:rPr>
            <w:rStyle w:val="Hyperlink"/>
          </w:rPr>
          <w:t xml:space="preserve">10.1145/2670528</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5">
        <w:r>
          <w:rPr>
            <w:rStyle w:val="Hyperlink"/>
          </w:rPr>
          <w:t xml:space="preserve">http://radar.oreilly.com/2011/07/why-files-need-to-die.html</w:t>
        </w:r>
      </w:hyperlink>
      <w:r>
        <w:t xml:space="preserve">.</w:t>
      </w:r>
    </w:p>
    <w:bookmarkEnd w:id="66"/>
    <w:bookmarkStart w:id="68"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67">
        <w:r>
          <w:rPr>
            <w:rStyle w:val="Hyperlink"/>
          </w:rPr>
          <w:t xml:space="preserve">https://eprints.ncl.ac.uk/273829</w:t>
        </w:r>
      </w:hyperlink>
      <w:r>
        <w:t xml:space="preserve">.</w:t>
      </w:r>
    </w:p>
    <w:bookmarkEnd w:id="68"/>
    <w:bookmarkStart w:id="70" w:name="ref-bowyer2018b"/>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69">
        <w:r>
          <w:rPr>
            <w:rStyle w:val="Hyperlink"/>
          </w:rPr>
          <w:t xml:space="preserve">10.1145/3173574.3173710</w:t>
        </w:r>
      </w:hyperlink>
      <w:r>
        <w:t xml:space="preserve">.</w:t>
      </w:r>
    </w:p>
    <w:bookmarkEnd w:id="70"/>
    <w:bookmarkStart w:id="71"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3">
        <w:r>
          <w:rPr>
            <w:rStyle w:val="Hyperlink"/>
          </w:rPr>
          <w:t xml:space="preserve">10.1145/3290607.3312998</w:t>
        </w:r>
      </w:hyperlink>
      <w:r>
        <w:t xml:space="preserve">.</w:t>
      </w:r>
    </w:p>
    <w:bookmarkEnd w:id="71"/>
    <w:bookmarkStart w:id="72" w:name="ref-bowyer2022"/>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2"/>
    <w:bookmarkStart w:id="74"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73">
        <w:r>
          <w:rPr>
            <w:rStyle w:val="Hyperlink"/>
          </w:rPr>
          <w:t xml:space="preserve">https://www.businessinsider.com/cambridge-analytica-whistleblower-christopher-wylie-facebook-data-2019-10?r=US&amp;IR=T</w:t>
        </w:r>
      </w:hyperlink>
      <w:r>
        <w:t xml:space="preserve">.</w:t>
      </w:r>
    </w:p>
    <w:bookmarkEnd w:id="74"/>
    <w:bookmarkStart w:id="76"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75">
        <w:r>
          <w:rPr>
            <w:rStyle w:val="Hyperlink"/>
          </w:rPr>
          <w:t xml:space="preserve">10.1016/j.ipm.2020.102307</w:t>
        </w:r>
      </w:hyperlink>
      <w:r>
        <w:t xml:space="preserve">.</w:t>
      </w:r>
    </w:p>
    <w:bookmarkEnd w:id="76"/>
    <w:bookmarkStart w:id="77"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 34</w:t>
      </w:r>
      <w:r>
        <w:t xml:space="preserve">, pp. 155–167.</w:t>
      </w:r>
    </w:p>
    <w:bookmarkEnd w:id="77"/>
    <w:bookmarkStart w:id="78"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78"/>
    <w:bookmarkStart w:id="79"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79"/>
    <w:bookmarkStart w:id="81"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80">
        <w:r>
          <w:rPr>
            <w:rStyle w:val="Hyperlink"/>
          </w:rPr>
          <w:t xml:space="preserve">http://www3.weforum.org/docs/WEF_RethinkingPersonalData_TrustandContext_Report_2014.pdf</w:t>
        </w:r>
      </w:hyperlink>
      <w:r>
        <w:t xml:space="preserve">.</w:t>
      </w:r>
    </w:p>
    <w:bookmarkEnd w:id="81"/>
    <w:bookmarkStart w:id="83"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82">
        <w:r>
          <w:rPr>
            <w:rStyle w:val="Hyperlink"/>
          </w:rPr>
          <w:t xml:space="preserve">https://perma.cc/92LZ-B8DN].</w:t>
        </w:r>
      </w:hyperlink>
    </w:p>
    <w:bookmarkEnd w:id="83"/>
    <w:bookmarkStart w:id="85"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84">
        <w:r>
          <w:rPr>
            <w:rStyle w:val="Hyperlink"/>
          </w:rPr>
          <w:t xml:space="preserve">10.1145/2493432.2493446</w:t>
        </w:r>
      </w:hyperlink>
      <w:r>
        <w:t xml:space="preserve">.</w:t>
      </w:r>
    </w:p>
    <w:bookmarkEnd w:id="85"/>
    <w:bookmarkStart w:id="8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86">
        <w:r>
          <w:rPr>
            <w:rStyle w:val="Hyperlink"/>
          </w:rPr>
          <w:t xml:space="preserve">10.2139/ssrn.2508051</w:t>
        </w:r>
      </w:hyperlink>
      <w:r>
        <w:t xml:space="preserve">.</w:t>
      </w:r>
    </w:p>
    <w:bookmarkEnd w:id="87"/>
    <w:bookmarkStart w:id="89"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88">
        <w:r>
          <w:rPr>
            <w:rStyle w:val="Hyperlink"/>
          </w:rPr>
          <w:t xml:space="preserve">https://web.archive.org/web/20180727024332/https://digitalcivics.io/apply/</w:t>
        </w:r>
      </w:hyperlink>
      <w:r>
        <w:t xml:space="preserve"> </w:t>
      </w:r>
      <w:r>
        <w:t xml:space="preserve">(Accessed: 6 July 2022).</w:t>
      </w:r>
    </w:p>
    <w:bookmarkEnd w:id="89"/>
    <w:bookmarkStart w:id="90"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90"/>
    <w:bookmarkStart w:id="92"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91">
        <w:r>
          <w:rPr>
            <w:rStyle w:val="Hyperlink"/>
          </w:rPr>
          <w:t xml:space="preserve">https://memory.ai/timely-blog/the-attention-economy</w:t>
        </w:r>
      </w:hyperlink>
      <w:r>
        <w:t xml:space="preserve">.</w:t>
      </w:r>
    </w:p>
    <w:bookmarkEnd w:id="92"/>
    <w:bookmarkStart w:id="94"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93">
        <w:r>
          <w:rPr>
            <w:rStyle w:val="Hyperlink"/>
          </w:rPr>
          <w:t xml:space="preserve">https://www.wired.com/insights/2014/07/data-new-oil-digital-economy/</w:t>
        </w:r>
      </w:hyperlink>
      <w:r>
        <w:t xml:space="preserve">.</w:t>
      </w:r>
    </w:p>
    <w:bookmarkEnd w:id="94"/>
    <w:bookmarkStart w:id="96"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95">
        <w:r>
          <w:rPr>
            <w:rStyle w:val="Hyperlink"/>
          </w:rPr>
          <w:t xml:space="preserve">https://www.ted.com/talks/zeynep_tufekci_we_re_building_a_dystopia_just_to_make_people_click_on_ads</w:t>
        </w:r>
      </w:hyperlink>
      <w:r>
        <w:t xml:space="preserve">.</w:t>
      </w:r>
    </w:p>
    <w:bookmarkEnd w:id="96"/>
    <w:bookmarkStart w:id="98"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97">
        <w:r>
          <w:rPr>
            <w:rStyle w:val="Hyperlink"/>
          </w:rPr>
          <w:t xml:space="preserve">10.1145/2851581.2886436</w:t>
        </w:r>
      </w:hyperlink>
      <w:r>
        <w:t xml:space="preserve">.</w:t>
      </w:r>
    </w:p>
    <w:bookmarkEnd w:id="98"/>
    <w:bookmarkStart w:id="100"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99">
        <w:r>
          <w:rPr>
            <w:rStyle w:val="Hyperlink"/>
          </w:rPr>
          <w:t xml:space="preserve">https://books.google.co.uk/books?id=W7ZEDgAAQBAJ</w:t>
        </w:r>
      </w:hyperlink>
      <w:r>
        <w:t xml:space="preserve">.</w:t>
      </w:r>
    </w:p>
    <w:bookmarkEnd w:id="100"/>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0">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56" Target="media/rId56.jpg" /><Relationship Type="http://schemas.openxmlformats.org/officeDocument/2006/relationships/hyperlink" Id="rId65" Target="http://radar.oreilly.com/2011/07/why-files-need-to-die.html" TargetMode="External" /><Relationship Type="http://schemas.openxmlformats.org/officeDocument/2006/relationships/hyperlink" Id="rId80" Target="http://www3.weforum.org/docs/WEF_RethinkingPersonalData_TrustandContext_Report_2014.pdf" TargetMode="External" /><Relationship Type="http://schemas.openxmlformats.org/officeDocument/2006/relationships/hyperlink" Id="rId99" Target="https://books.google.co.uk/books?id=W7ZEDgAAQBAJ" TargetMode="External" /><Relationship Type="http://schemas.openxmlformats.org/officeDocument/2006/relationships/hyperlink" Id="rId31" Target="https://dl.acm.org/doi/10.1145/3173574.3173710" TargetMode="External" /><Relationship Type="http://schemas.openxmlformats.org/officeDocument/2006/relationships/hyperlink" Id="rId75" Target="https://doi.org/10.1016/j.ipm.2020.102307" TargetMode="External" /><Relationship Type="http://schemas.openxmlformats.org/officeDocument/2006/relationships/hyperlink" Id="rId51" Target="https://doi.org/10.1093/iwc/iwac015" TargetMode="External" /><Relationship Type="http://schemas.openxmlformats.org/officeDocument/2006/relationships/hyperlink" Id="rId84" Target="https://doi.org/10.1145/2493432.2493446" TargetMode="External" /><Relationship Type="http://schemas.openxmlformats.org/officeDocument/2006/relationships/hyperlink" Id="rId61"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97" Target="https://doi.org/10.1145/2851581.2886436" TargetMode="External" /><Relationship Type="http://schemas.openxmlformats.org/officeDocument/2006/relationships/hyperlink" Id="rId69" Target="https://doi.org/10.1145/3173574.3173710" TargetMode="External" /><Relationship Type="http://schemas.openxmlformats.org/officeDocument/2006/relationships/hyperlink" Id="rId33"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50" Target="https://doi.org/10.14236/ewic/HCI2021.16" TargetMode="External" /><Relationship Type="http://schemas.openxmlformats.org/officeDocument/2006/relationships/hyperlink" Id="rId86" Target="https://doi.org/10.2139/ssrn.2508051" TargetMode="External" /><Relationship Type="http://schemas.openxmlformats.org/officeDocument/2006/relationships/hyperlink" Id="rId53" Target="https://doi.org/10.5281/zenodo.6554155" TargetMode="External" /><Relationship Type="http://schemas.openxmlformats.org/officeDocument/2006/relationships/hyperlink" Id="rId52" Target="https://doi.org/10.5281/zenodo.6554177" TargetMode="External" /><Relationship Type="http://schemas.openxmlformats.org/officeDocument/2006/relationships/hyperlink" Id="rId42" Target="https://eprints.ncl.ac.uk/273825" TargetMode="External" /><Relationship Type="http://schemas.openxmlformats.org/officeDocument/2006/relationships/hyperlink" Id="rId43" Target="https://eprints.ncl.ac.uk/273826" TargetMode="External" /><Relationship Type="http://schemas.openxmlformats.org/officeDocument/2006/relationships/hyperlink" Id="rId67" Target="https://eprints.ncl.ac.uk/273829" TargetMode="External" /><Relationship Type="http://schemas.openxmlformats.org/officeDocument/2006/relationships/hyperlink" Id="rId41" Target="https://eprints.ncl.ac.uk/273832" TargetMode="External" /><Relationship Type="http://schemas.openxmlformats.org/officeDocument/2006/relationships/hyperlink" Id="rId44" Target="https://eprints.ncl.ac.uk/273834" TargetMode="External" /><Relationship Type="http://schemas.openxmlformats.org/officeDocument/2006/relationships/hyperlink" Id="rId49" Target="https://eprints.ncl.ac.uk/273839" TargetMode="External" /><Relationship Type="http://schemas.openxmlformats.org/officeDocument/2006/relationships/hyperlink" Id="rId46" Target="https://eprints.ncl.ac.uk/274297" TargetMode="External" /><Relationship Type="http://schemas.openxmlformats.org/officeDocument/2006/relationships/hyperlink" Id="rId91" Target="https://memory.ai/timely-blog/the-attention-economy" TargetMode="External" /><Relationship Type="http://schemas.openxmlformats.org/officeDocument/2006/relationships/hyperlink" Id="rId82" Target="https://perma.cc/92LZ-B8DN]." TargetMode="External" /><Relationship Type="http://schemas.openxmlformats.org/officeDocument/2006/relationships/hyperlink" Id="rId88" Target="https://web.archive.org/web/20180727024332/https://digitalcivics.io/apply/" TargetMode="External" /><Relationship Type="http://schemas.openxmlformats.org/officeDocument/2006/relationships/hyperlink" Id="rId48" Target="https://web.archive.org/web/20211225192408/https://www.chc-impact-report.co.uk/" TargetMode="External" /><Relationship Type="http://schemas.openxmlformats.org/officeDocument/2006/relationships/hyperlink" Id="rId73" Target="https://www.businessinsider.com/cambridge-analytica-whistleblower-christopher-wylie-facebook-data-2019-10?r=US&amp;IR=T" TargetMode="External" /><Relationship Type="http://schemas.openxmlformats.org/officeDocument/2006/relationships/hyperlink" Id="rId95" Target="https://www.ted.com/talks/zeynep_tufekci_we_re_building_a_dystopia_just_to_make_people_click_on_ads" TargetMode="External" /><Relationship Type="http://schemas.openxmlformats.org/officeDocument/2006/relationships/hyperlink" Id="rId93" Target="https://www.wired.com/insights/2014/07/data-new-oil-digital-economy/" TargetMode="External" /><Relationship Type="http://schemas.openxmlformats.org/officeDocument/2006/relationships/hyperlink" Id="rId45" Target="https://www.youtube.com/watch?v=YFHXc_TfM5c" TargetMode="External" /></Relationships>
</file>

<file path=word/_rels/footnotes.xml.rels><?xml version="1.0" encoding="UTF-8"?><Relationships xmlns="http://schemas.openxmlformats.org/package/2006/relationships"><Relationship Type="http://schemas.openxmlformats.org/officeDocument/2006/relationships/hyperlink" Id="rId65" Target="http://radar.oreilly.com/2011/07/why-files-need-to-die.html" TargetMode="External" /><Relationship Type="http://schemas.openxmlformats.org/officeDocument/2006/relationships/hyperlink" Id="rId80" Target="http://www3.weforum.org/docs/WEF_RethinkingPersonalData_TrustandContext_Report_2014.pdf" TargetMode="External" /><Relationship Type="http://schemas.openxmlformats.org/officeDocument/2006/relationships/hyperlink" Id="rId99" Target="https://books.google.co.uk/books?id=W7ZEDgAAQBAJ" TargetMode="External" /><Relationship Type="http://schemas.openxmlformats.org/officeDocument/2006/relationships/hyperlink" Id="rId31" Target="https://dl.acm.org/doi/10.1145/3173574.3173710" TargetMode="External" /><Relationship Type="http://schemas.openxmlformats.org/officeDocument/2006/relationships/hyperlink" Id="rId75" Target="https://doi.org/10.1016/j.ipm.2020.102307" TargetMode="External" /><Relationship Type="http://schemas.openxmlformats.org/officeDocument/2006/relationships/hyperlink" Id="rId51" Target="https://doi.org/10.1093/iwc/iwac015" TargetMode="External" /><Relationship Type="http://schemas.openxmlformats.org/officeDocument/2006/relationships/hyperlink" Id="rId84" Target="https://doi.org/10.1145/2493432.2493446" TargetMode="External" /><Relationship Type="http://schemas.openxmlformats.org/officeDocument/2006/relationships/hyperlink" Id="rId61"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97" Target="https://doi.org/10.1145/2851581.2886436" TargetMode="External" /><Relationship Type="http://schemas.openxmlformats.org/officeDocument/2006/relationships/hyperlink" Id="rId69" Target="https://doi.org/10.1145/3173574.3173710" TargetMode="External" /><Relationship Type="http://schemas.openxmlformats.org/officeDocument/2006/relationships/hyperlink" Id="rId33"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50" Target="https://doi.org/10.14236/ewic/HCI2021.16" TargetMode="External" /><Relationship Type="http://schemas.openxmlformats.org/officeDocument/2006/relationships/hyperlink" Id="rId86" Target="https://doi.org/10.2139/ssrn.2508051" TargetMode="External" /><Relationship Type="http://schemas.openxmlformats.org/officeDocument/2006/relationships/hyperlink" Id="rId53" Target="https://doi.org/10.5281/zenodo.6554155" TargetMode="External" /><Relationship Type="http://schemas.openxmlformats.org/officeDocument/2006/relationships/hyperlink" Id="rId52" Target="https://doi.org/10.5281/zenodo.6554177" TargetMode="External" /><Relationship Type="http://schemas.openxmlformats.org/officeDocument/2006/relationships/hyperlink" Id="rId42" Target="https://eprints.ncl.ac.uk/273825" TargetMode="External" /><Relationship Type="http://schemas.openxmlformats.org/officeDocument/2006/relationships/hyperlink" Id="rId43" Target="https://eprints.ncl.ac.uk/273826" TargetMode="External" /><Relationship Type="http://schemas.openxmlformats.org/officeDocument/2006/relationships/hyperlink" Id="rId67" Target="https://eprints.ncl.ac.uk/273829" TargetMode="External" /><Relationship Type="http://schemas.openxmlformats.org/officeDocument/2006/relationships/hyperlink" Id="rId41" Target="https://eprints.ncl.ac.uk/273832" TargetMode="External" /><Relationship Type="http://schemas.openxmlformats.org/officeDocument/2006/relationships/hyperlink" Id="rId44" Target="https://eprints.ncl.ac.uk/273834" TargetMode="External" /><Relationship Type="http://schemas.openxmlformats.org/officeDocument/2006/relationships/hyperlink" Id="rId49" Target="https://eprints.ncl.ac.uk/273839" TargetMode="External" /><Relationship Type="http://schemas.openxmlformats.org/officeDocument/2006/relationships/hyperlink" Id="rId46" Target="https://eprints.ncl.ac.uk/274297" TargetMode="External" /><Relationship Type="http://schemas.openxmlformats.org/officeDocument/2006/relationships/hyperlink" Id="rId91" Target="https://memory.ai/timely-blog/the-attention-economy" TargetMode="External" /><Relationship Type="http://schemas.openxmlformats.org/officeDocument/2006/relationships/hyperlink" Id="rId82" Target="https://perma.cc/92LZ-B8DN]." TargetMode="External" /><Relationship Type="http://schemas.openxmlformats.org/officeDocument/2006/relationships/hyperlink" Id="rId88" Target="https://web.archive.org/web/20180727024332/https://digitalcivics.io/apply/" TargetMode="External" /><Relationship Type="http://schemas.openxmlformats.org/officeDocument/2006/relationships/hyperlink" Id="rId48" Target="https://web.archive.org/web/20211225192408/https://www.chc-impact-report.co.uk/" TargetMode="External" /><Relationship Type="http://schemas.openxmlformats.org/officeDocument/2006/relationships/hyperlink" Id="rId73" Target="https://www.businessinsider.com/cambridge-analytica-whistleblower-christopher-wylie-facebook-data-2019-10?r=US&amp;IR=T" TargetMode="External" /><Relationship Type="http://schemas.openxmlformats.org/officeDocument/2006/relationships/hyperlink" Id="rId95" Target="https://www.ted.com/talks/zeynep_tufekci_we_re_building_a_dystopia_just_to_make_people_click_on_ads" TargetMode="External" /><Relationship Type="http://schemas.openxmlformats.org/officeDocument/2006/relationships/hyperlink" Id="rId93" Target="https://www.wired.com/insights/2014/07/data-new-oil-digital-economy/" TargetMode="External" /><Relationship Type="http://schemas.openxmlformats.org/officeDocument/2006/relationships/hyperlink" Id="rId45" Target="https://www.youtube.com/watch?v=YFHXc_TfM5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2022-07-07T16:31:33Z</dcterms:created>
  <dcterms:modified xsi:type="dcterms:W3CDTF">2022-07-07T16:31:33Z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