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through participatory research across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These understandings, shaped as six core human needs, can drive future research to empower individuals through their personal data.</w:t>
      </w:r>
    </w:p>
    <w:p>
      <w:pPr>
        <w:pStyle w:val="BodyText"/>
      </w:pPr>
      <w:r>
        <w:t xml:space="preserve">In Part Two, building on these findings, the thesis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incorporates the sociotechnical and commercial realities of today’s data-centric world and defines a clear agenda for change. This new space is mapped out in terms of objectives, obstacles, approaches and designs, based on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Through digitalisation and the shift to data-driven, cloud-centric business models, we began to lose the ability to harness computers for our own ends. Frustrated to see this potential slip away,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 sought to research, design and try to build a better digital future, one where computers could be made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gaps, Part One of the thesis reports on two studies that invited participants to</w:t>
      </w:r>
      <w:r>
        <w:t xml:space="preserve"> </w:t>
      </w:r>
      <w:r>
        <w:t xml:space="preserve">‘</w:t>
      </w:r>
      <w:r>
        <w:t xml:space="preserve">look behind the curtain</w:t>
      </w:r>
      <w:r>
        <w:t xml:space="preserve">’</w:t>
      </w:r>
      <w:r>
        <w:t xml:space="preserve"> </w:t>
      </w:r>
      <w:r>
        <w:t xml:space="preserve">of the previously opaque data-centric organisations they interact with. Participants were able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Examination of individual attitudes and needs around data in a</w:t>
      </w:r>
      <w:r>
        <w:t xml:space="preserve"> </w:t>
      </w:r>
      <w:r>
        <w:t xml:space="preserve">‘</w:t>
      </w:r>
      <w:r>
        <w:t xml:space="preserve">whole life</w:t>
      </w:r>
      <w:r>
        <w:t xml:space="preserve">’</w:t>
      </w:r>
      <w:r>
        <w:t xml:space="preserve"> </w:t>
      </w:r>
      <w:r>
        <w:t xml:space="preserve">sense is an under-researched area. The academic inquiry in Part One sought therefore to explore data relations in this broader, more sociotechnical sense. Where HCI traditionally focuses on interface and interaction design, this enquiry focused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a focus on empowering individuals through data.</w:t>
      </w:r>
    </w:p>
    <w:p>
      <w:pPr>
        <w:pStyle w:val="BodyText"/>
      </w:pPr>
      <w:r>
        <w:t xml:space="preserve">To support future researchers, activists and innovators in achieving the vision of a more human-centric future, the needs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for the better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 strategies provided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inset-boxe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w:t>
      </w:r>
      <w:r>
        <w:rPr>
          <w:bCs/>
          <w:b/>
        </w:rPr>
        <w:t xml:space="preserve">: Four identified trajectories for advancing Human Data Relations</w:t>
      </w:r>
    </w:p>
    <w:p>
      <w:pPr>
        <w:pStyle w:val="BodyText"/>
      </w:pPr>
      <w:r>
        <w:t xml:space="preserve">Section</w:t>
      </w:r>
      <w:r>
        <w:t xml:space="preserve"> </w:t>
      </w:r>
      <w:hyperlink w:anchor="Xade7c2cf97f75d009975f4d720d1fa6c19f4897">
        <w:r>
          <w:rPr>
            <w:rStyle w:val="Hyperlink"/>
          </w:rPr>
          <w:t xml:space="preserve">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09"/>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09"/>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09"/>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w:t>
      </w:r>
      <w:r>
        <w:rPr>
          <w:bCs/>
          <w:b/>
        </w:rPr>
        <w:t xml:space="preserve">: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expected benefits (and challenges) of such an approach are explored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perviously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I presented this workshop paper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what people want from data and from data holders, concluding the academic investigation.</w:t>
      </w:r>
    </w:p>
    <w:p>
      <w:pPr>
        <w:pStyle w:val="BodyText"/>
      </w:pPr>
      <w:r>
        <w:t xml:space="preserve">Part Two is adversarial design work and strategic planning, expanding the original research question to examine how the needs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 [</w:t>
      </w:r>
      <w:hyperlink w:anchor="chapter-8">
        <w:r>
          <w:rPr>
            <w:rStyle w:val="Hyperlink"/>
          </w:rPr>
          <w:t xml:space="preserve">Chapter 8</w:t>
        </w:r>
      </w:hyperlink>
      <w:r>
        <w:t xml:space="preserve">]. Four specific strategic approaches to change, including detailed designs, are laid out in [</w:t>
      </w:r>
      <w:hyperlink w:anchor="chapter-9">
        <w:r>
          <w:rPr>
            <w:rStyle w:val="Hyperlink"/>
          </w:rPr>
          <w:t xml:space="preserve">Chapter 9</w:t>
        </w:r>
      </w:hyperlink>
      <w:r>
        <w:t xml:space="preserve">] as recommendations for future work, before the thesis is concluded in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need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and Part One, by outlining this thesis’s purpose in helping to address the power imbalance over personal data, positioning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[7.], pursuing four objectives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2022-08-23T16:20:40Z</dcterms:created>
  <dcterms:modified xsi:type="dcterms:W3CDTF">2022-08-23T16:20:40Z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