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9">
        <w:r>
          <w:rPr>
            <w:rStyle w:val="Hyperlink"/>
          </w:rPr>
          <w:t xml:space="preserve">Additional Reference Information</w:t>
        </w:r>
      </w:hyperlink>
      <w:r>
        <w:t xml:space="preserve">. For simplicity, this thesis will instead use more everyday terms such as</w:t>
      </w:r>
      <w:r>
        <w:t xml:space="preserve"> </w:t>
      </w:r>
      <w:r>
        <w:rPr>
          <w:bCs/>
          <w:b/>
          <w:iCs/>
          <w:i/>
        </w:rPr>
        <w:t xml:space="preserve">individuals</w:t>
      </w:r>
      <w:r>
        <w:t xml:space="preserve"> </w:t>
      </w:r>
      <w:r>
        <w:t xml:space="preserve">and</w:t>
      </w:r>
      <w:r>
        <w:t xml:space="preserve"> </w:t>
      </w:r>
      <w:r>
        <w:rPr>
          <w:bCs/>
          <w:b/>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2022-08-19T13:35:58Z</dcterms:created>
  <dcterms:modified xsi:type="dcterms:W3CDTF">2022-08-19T13:35:58Z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