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Acquiring</w:t>
      </w:r>
      <w:r>
        <w:t xml:space="preserve"> </w:t>
      </w:r>
      <w:r>
        <w:t xml:space="preserve">Agency</w:t>
      </w:r>
      <w:r>
        <w:t xml:space="preserve"> </w:t>
      </w:r>
      <w:r>
        <w:t xml:space="preserve">through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chapter-2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Literature Review</w:t>
      </w:r>
    </w:p>
    <w:p>
      <w:pPr>
        <w:pStyle w:val="FirstParagraph"/>
      </w:pPr>
      <w:r>
        <w:t xml:space="preserve">[Target 12,000 words]</w:t>
      </w:r>
    </w:p>
    <w:bookmarkStart w:id="20" w:name="barriers-to-agency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Barriers to Agency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1"/>
        </w:numPr>
        <w:pStyle w:val="Compact"/>
      </w:pPr>
      <w:r>
        <w:t xml:space="preserve">The inevitability of being handled through data in the modern world.</w:t>
      </w:r>
    </w:p>
    <w:p>
      <w:pPr>
        <w:numPr>
          <w:ilvl w:val="0"/>
          <w:numId w:val="1001"/>
        </w:numPr>
        <w:pStyle w:val="Compact"/>
      </w:pPr>
      <w:r>
        <w:t xml:space="preserve">The drive to make people consumers / ad watchers rather than free agents.</w:t>
      </w:r>
    </w:p>
    <w:p>
      <w:pPr>
        <w:numPr>
          <w:ilvl w:val="0"/>
          <w:numId w:val="1001"/>
        </w:numPr>
        <w:pStyle w:val="Compact"/>
      </w:pPr>
      <w:r>
        <w:t xml:space="preserve">The difficulties in actually accessing and using your data</w:t>
      </w:r>
    </w:p>
    <w:p>
      <w:pPr>
        <w:numPr>
          <w:ilvl w:val="0"/>
          <w:numId w:val="1001"/>
        </w:numPr>
        <w:pStyle w:val="Compact"/>
      </w:pPr>
      <w:r>
        <w:t xml:space="preserve">…. (more to research here)</w:t>
      </w:r>
    </w:p>
    <w:bookmarkEnd w:id="20"/>
    <w:bookmarkStart w:id="21" w:name="human-centricity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Human-centricity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2"/>
        </w:numPr>
        <w:pStyle w:val="Compact"/>
      </w:pPr>
      <w:r>
        <w:t xml:space="preserve">Ubicomp: Weiser &gt; Rogers, Abowd. etc.</w:t>
      </w:r>
    </w:p>
    <w:p>
      <w:pPr>
        <w:numPr>
          <w:ilvl w:val="0"/>
          <w:numId w:val="1002"/>
        </w:numPr>
        <w:pStyle w:val="Compact"/>
      </w:pPr>
      <w:r>
        <w:t xml:space="preserve">Human-Data Interaction &gt; Mortier</w:t>
      </w:r>
    </w:p>
    <w:p>
      <w:pPr>
        <w:numPr>
          <w:ilvl w:val="0"/>
          <w:numId w:val="1002"/>
        </w:numPr>
        <w:pStyle w:val="Compact"/>
      </w:pPr>
      <w:r>
        <w:t xml:space="preserve">MyData movement</w:t>
      </w:r>
    </w:p>
    <w:p>
      <w:pPr>
        <w:numPr>
          <w:ilvl w:val="0"/>
          <w:numId w:val="1002"/>
        </w:numPr>
        <w:pStyle w:val="Compact"/>
      </w:pPr>
      <w:r>
        <w:t xml:space="preserve">Humane interfaces / better interaction design</w:t>
      </w:r>
    </w:p>
    <w:bookmarkEnd w:id="21"/>
    <w:bookmarkStart w:id="22" w:name="Xa179d8cf1edfa2b99c65bcbab6141651dc84e61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Increasing one’s Agency through and over Data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3"/>
        </w:numPr>
        <w:pStyle w:val="Compact"/>
      </w:pPr>
      <w:r>
        <w:t xml:space="preserve">GDPR &amp; other regulatory approaches</w:t>
      </w:r>
    </w:p>
    <w:p>
      <w:pPr>
        <w:numPr>
          <w:ilvl w:val="0"/>
          <w:numId w:val="1003"/>
        </w:numPr>
        <w:pStyle w:val="Compact"/>
      </w:pPr>
      <w:r>
        <w:t xml:space="preserve">Dynamic Consent</w:t>
      </w:r>
    </w:p>
    <w:p>
      <w:pPr>
        <w:numPr>
          <w:ilvl w:val="0"/>
          <w:numId w:val="1003"/>
        </w:numPr>
        <w:pStyle w:val="Compact"/>
      </w:pPr>
      <w:r>
        <w:t xml:space="preserve">Shared Decision Making (maybe this should come in Chapter 6 instead)</w:t>
      </w:r>
    </w:p>
    <w:p>
      <w:pPr>
        <w:numPr>
          <w:ilvl w:val="0"/>
          <w:numId w:val="1003"/>
        </w:numPr>
        <w:pStyle w:val="Compact"/>
      </w:pPr>
      <w:r>
        <w:t xml:space="preserve">Quantified Self, Personal Informatics and Reflection</w:t>
      </w:r>
    </w:p>
    <w:p>
      <w:pPr>
        <w:numPr>
          <w:ilvl w:val="0"/>
          <w:numId w:val="1003"/>
        </w:numPr>
        <w:pStyle w:val="Compact"/>
      </w:pPr>
      <w:r>
        <w:t xml:space="preserve">Vendor Relationship Management, Pull Computing, Personal Data Stores</w:t>
      </w:r>
    </w:p>
    <w:p>
      <w:pPr>
        <w:numPr>
          <w:ilvl w:val="0"/>
          <w:numId w:val="1003"/>
        </w:numPr>
        <w:pStyle w:val="Compact"/>
      </w:pPr>
      <w:r>
        <w:t xml:space="preserve">Meaning and Sensemaking, Orienteering, Time, Context &amp; Associativity</w:t>
      </w:r>
    </w:p>
    <w:bookmarkEnd w:id="22"/>
    <w:bookmarkEnd w:id="23"/>
    <w:bookmarkStart w:id="24" w:name="bibliography"/>
    <w:p>
      <w:pPr>
        <w:pStyle w:val="Heading1"/>
      </w:pPr>
      <w:r>
        <w:t xml:space="preserve">Bibliography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Acquiring Agency through Personal Data</dc:title>
  <dc:creator>Alex Bowyer</dc:creator>
  <cp:keywords/>
  <dcterms:created xsi:type="dcterms:W3CDTF">2020-11-12T16:32:15Z</dcterms:created>
  <dcterms:modified xsi:type="dcterms:W3CDTF">2020-11-12T16:32:15Z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