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3"/>
    <w:p>
      <w:pPr>
        <w:pStyle w:val="Heading1"/>
      </w:pPr>
      <w:r>
        <w:rPr>
          <w:rStyle w:val="SectionNumber"/>
        </w:rPr>
        <w:t xml:space="preserve">1</w:t>
      </w:r>
      <w:r>
        <w:tab/>
      </w:r>
      <w:r>
        <w:t xml:space="preserve">Methodology</w:t>
      </w:r>
    </w:p>
    <w:p>
      <w:pPr>
        <w:pStyle w:val="FirstParagraph"/>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bookmarkStart w:id="20" w:name="X45ab75b5cf90fd7a7dda6baed1b42866ac7e084"/>
    <w:p>
      <w:pPr>
        <w:pStyle w:val="Heading2"/>
      </w:pPr>
      <w:r>
        <w:rPr>
          <w:rStyle w:val="SectionNumber"/>
        </w:rPr>
        <w:t xml:space="preserve">1.1</w:t>
      </w:r>
      <w:r>
        <w:tab/>
      </w:r>
      <w:r>
        <w:t xml:space="preserve">Forming a Research Paradigm: Ontology &amp; Epistemology</w:t>
      </w:r>
    </w:p>
    <w:p>
      <w:pPr>
        <w:pStyle w:val="FirstParagraph"/>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20"/>
    <w:bookmarkStart w:id="21" w:name="X76d2f8a097572894dfa8db1b6d38e6a08832e0b"/>
    <w:p>
      <w:pPr>
        <w:pStyle w:val="Heading2"/>
      </w:pPr>
      <w:r>
        <w:rPr>
          <w:rStyle w:val="SectionNumber"/>
        </w:rPr>
        <w:t xml:space="preserve">1.2</w:t>
      </w:r>
      <w:r>
        <w:tab/>
      </w:r>
      <w:r>
        <w:t xml:space="preserve">Research Approach: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which can be used to acquire user empathy:</w:t>
      </w:r>
    </w:p>
    <w:p>
      <w:pPr>
        <w:numPr>
          <w:ilvl w:val="0"/>
          <w:numId w:val="1001"/>
        </w:numPr>
        <w:pStyle w:val="Compact"/>
      </w:pPr>
      <w:r>
        <w:rPr>
          <w:i/>
        </w:rPr>
        <w:t xml:space="preserve">anticipating</w:t>
      </w:r>
      <w:r>
        <w:t xml:space="preserve">: We never come to technology unprejudiced.</w:t>
      </w:r>
    </w:p>
    <w:p>
      <w:pPr>
        <w:numPr>
          <w:ilvl w:val="0"/>
          <w:numId w:val="1001"/>
        </w:numPr>
        <w:pStyle w:val="Compact"/>
      </w:pPr>
      <w:r>
        <w:rPr>
          <w:i/>
        </w:rPr>
        <w:t xml:space="preserve">connecting</w:t>
      </w:r>
      <w:r>
        <w:t xml:space="preserve">: We make a judgement in an instant, without much thought.</w:t>
      </w:r>
    </w:p>
    <w:p>
      <w:pPr>
        <w:numPr>
          <w:ilvl w:val="0"/>
          <w:numId w:val="1001"/>
        </w:numPr>
        <w:pStyle w:val="Compact"/>
      </w:pPr>
      <w:r>
        <w:rPr>
          <w:i/>
        </w:rPr>
        <w:t xml:space="preserve">interpreting</w:t>
      </w:r>
      <w:r>
        <w:t xml:space="preserve">: We work out what’s going on and how we feel about it.</w:t>
      </w:r>
    </w:p>
    <w:p>
      <w:pPr>
        <w:numPr>
          <w:ilvl w:val="0"/>
          <w:numId w:val="1001"/>
        </w:numPr>
        <w:pStyle w:val="Compact"/>
      </w:pPr>
      <w:r>
        <w:rPr>
          <w:i/>
        </w:rPr>
        <w:t xml:space="preserve">reflecting</w:t>
      </w:r>
      <w:r>
        <w:t xml:space="preserve">: We examine and evaluate what is happening in an interaction.</w:t>
      </w:r>
    </w:p>
    <w:p>
      <w:pPr>
        <w:numPr>
          <w:ilvl w:val="0"/>
          <w:numId w:val="1001"/>
        </w:numPr>
        <w:pStyle w:val="Compact"/>
      </w:pPr>
      <w:r>
        <w:rPr>
          <w:i/>
        </w:rPr>
        <w:t xml:space="preserve">appropriating</w:t>
      </w:r>
      <w:r>
        <w:t xml:space="preserve">: We work out how a new experience fits with other experiences we have had and with our sense of self.</w:t>
      </w:r>
    </w:p>
    <w:p>
      <w:pPr>
        <w:numPr>
          <w:ilvl w:val="0"/>
          <w:numId w:val="1001"/>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a new data interaction paradigm that functions in real life with real personal data at the sociotechnical level is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importance of interpretations</w:t>
      </w:r>
    </w:p>
    <w:bookmarkEnd w:id="21"/>
    <w:bookmarkEnd w:id="22"/>
    <w:bookmarkStart w:id="49" w:name="bibliography"/>
    <w:p>
      <w:pPr>
        <w:pStyle w:val="Heading1"/>
      </w:pPr>
      <w:r>
        <w:t xml:space="preserve">Bibliography</w:t>
      </w:r>
    </w:p>
    <w:bookmarkStart w:id="48" w:name="refs"/>
    <w:bookmarkStart w:id="24"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23">
        <w:r>
          <w:rPr>
            <w:rStyle w:val="Hyperlink"/>
          </w:rPr>
          <w:t xml:space="preserve">http://www.worldcat.org/title/computers-and-democracy-a-scandinavian-challenge/oclc/614994092?referer=di&amp;ht=edition</w:t>
        </w:r>
      </w:hyperlink>
      <w:r>
        <w:t xml:space="preserve">.</w:t>
      </w:r>
    </w:p>
    <w:bookmarkEnd w:id="24"/>
    <w:bookmarkStart w:id="25"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25"/>
    <w:bookmarkStart w:id="26"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26"/>
    <w:bookmarkStart w:id="27" w:name="ref-dewey1974"/>
    <w:p>
      <w:pPr>
        <w:pStyle w:val="Bibliography"/>
      </w:pPr>
      <w:r>
        <w:t xml:space="preserve">Dewey, J. and Archambault, R. D. (1964) ‘John Dewey on education: Selected writings’.</w:t>
      </w:r>
    </w:p>
    <w:bookmarkEnd w:id="27"/>
    <w:bookmarkStart w:id="28"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28"/>
    <w:bookmarkStart w:id="30"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29">
        <w:r>
          <w:rPr>
            <w:rStyle w:val="Hyperlink"/>
          </w:rPr>
          <w:t xml:space="preserve">10.7551/mitpress/8732.003.0007</w:t>
        </w:r>
      </w:hyperlink>
      <w:r>
        <w:t xml:space="preserve">.</w:t>
      </w:r>
    </w:p>
    <w:bookmarkEnd w:id="30"/>
    <w:bookmarkStart w:id="32"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31">
        <w:r>
          <w:rPr>
            <w:rStyle w:val="Hyperlink"/>
          </w:rPr>
          <w:t xml:space="preserve">http://www.jstor.org/stable/3340973</w:t>
        </w:r>
      </w:hyperlink>
      <w:r>
        <w:t xml:space="preserve">.</w:t>
      </w:r>
    </w:p>
    <w:bookmarkEnd w:id="32"/>
    <w:bookmarkStart w:id="34" w:name="ref-hosch2017"/>
    <w:p>
      <w:pPr>
        <w:pStyle w:val="Bibliography"/>
      </w:pPr>
      <w:r>
        <w:t xml:space="preserve">Hosch, W. L. (2017) ‘Web 2.0’. Available at:</w:t>
      </w:r>
      <w:r>
        <w:t xml:space="preserve"> </w:t>
      </w:r>
      <w:hyperlink r:id="rId33">
        <w:r>
          <w:rPr>
            <w:rStyle w:val="Hyperlink"/>
          </w:rPr>
          <w:t xml:space="preserve">https://www.britannica.com/topic/Web-20</w:t>
        </w:r>
      </w:hyperlink>
      <w:r>
        <w:t xml:space="preserve"> </w:t>
      </w:r>
      <w:r>
        <w:t xml:space="preserve">(Accessed: 26 April 2021).</w:t>
      </w:r>
    </w:p>
    <w:bookmarkEnd w:id="34"/>
    <w:bookmarkStart w:id="36"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35">
        <w:r>
          <w:rPr>
            <w:rStyle w:val="Hyperlink"/>
          </w:rPr>
          <w:t xml:space="preserve">10.7551/mitpress/9780262036016.003.0012</w:t>
        </w:r>
      </w:hyperlink>
      <w:r>
        <w:t xml:space="preserve">.</w:t>
      </w:r>
    </w:p>
    <w:bookmarkEnd w:id="36"/>
    <w:bookmarkStart w:id="37"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37"/>
    <w:bookmarkStart w:id="39"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38">
        <w:r>
          <w:rPr>
            <w:rStyle w:val="Hyperlink"/>
          </w:rPr>
          <w:t xml:space="preserve">10.1145/1015530.1015549</w:t>
        </w:r>
      </w:hyperlink>
      <w:r>
        <w:t xml:space="preserve">.</w:t>
      </w:r>
    </w:p>
    <w:bookmarkEnd w:id="39"/>
    <w:bookmarkStart w:id="40" w:name="ref-norman1986"/>
    <w:p>
      <w:pPr>
        <w:pStyle w:val="Bibliography"/>
      </w:pPr>
      <w:r>
        <w:t xml:space="preserve">Norman, D. A. and Draper, S. W. (1986) ‘User Centered System Design; New Perspectives on Human-Computer Interaction’. L. Erlbaum Associates Inc.</w:t>
      </w:r>
    </w:p>
    <w:bookmarkEnd w:id="40"/>
    <w:bookmarkStart w:id="42"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41">
        <w:r>
          <w:rPr>
            <w:rStyle w:val="Hyperlink"/>
          </w:rPr>
          <w:t xml:space="preserve">https://books.google.co.uk/books?id=G6DDlqNftGcC</w:t>
        </w:r>
      </w:hyperlink>
      <w:r>
        <w:t xml:space="preserve">.</w:t>
      </w:r>
    </w:p>
    <w:bookmarkEnd w:id="42"/>
    <w:bookmarkStart w:id="43" w:name="ref-smith2011"/>
    <w:p>
      <w:pPr>
        <w:pStyle w:val="Bibliography"/>
      </w:pPr>
      <w:r>
        <w:t xml:space="preserve">Smith, N. K. (2011)</w:t>
      </w:r>
      <w:r>
        <w:t xml:space="preserve"> </w:t>
      </w:r>
      <w:r>
        <w:rPr>
          <w:i/>
        </w:rPr>
        <w:t xml:space="preserve">Immanuel Kant’s critique of pure reason</w:t>
      </w:r>
      <w:r>
        <w:t xml:space="preserve">. Read Books Ltd.</w:t>
      </w:r>
    </w:p>
    <w:bookmarkEnd w:id="43"/>
    <w:bookmarkStart w:id="45"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44">
        <w:r>
          <w:rPr>
            <w:rStyle w:val="Hyperlink"/>
          </w:rPr>
          <w:t xml:space="preserve">10.1080/15710882.2017.1310466</w:t>
        </w:r>
      </w:hyperlink>
      <w:r>
        <w:t xml:space="preserve">.</w:t>
      </w:r>
    </w:p>
    <w:bookmarkEnd w:id="45"/>
    <w:bookmarkStart w:id="47"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46">
        <w:r>
          <w:rPr>
            <w:rStyle w:val="Hyperlink"/>
          </w:rPr>
          <w:t xml:space="preserve">10.1145/2851581.2886436</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jstor.org/stable/3340973" TargetMode="External" /><Relationship Type="http://schemas.openxmlformats.org/officeDocument/2006/relationships/hyperlink" Id="rId23" Target="http://www.worldcat.org/title/computers-and-democracy-a-scandinavian-challenge/oclc/614994092?referer=di&amp;ht=edition" TargetMode="External" /><Relationship Type="http://schemas.openxmlformats.org/officeDocument/2006/relationships/hyperlink" Id="rId41" Target="https://books.google.co.uk/books?id=G6DDlqNftGcC" TargetMode="External" /><Relationship Type="http://schemas.openxmlformats.org/officeDocument/2006/relationships/hyperlink" Id="rId44" Target="https://doi.org/10.1080/15710882.2017.1310466" TargetMode="External" /><Relationship Type="http://schemas.openxmlformats.org/officeDocument/2006/relationships/hyperlink" Id="rId38" Target="https://doi.org/10.1145/1015530.1015549" TargetMode="External" /><Relationship Type="http://schemas.openxmlformats.org/officeDocument/2006/relationships/hyperlink" Id="rId46" Target="https://doi.org/10.1145/2851581.2886436" TargetMode="External" /><Relationship Type="http://schemas.openxmlformats.org/officeDocument/2006/relationships/hyperlink" Id="rId29" Target="https://doi.org/10.7551/mitpress/8732.003.0007" TargetMode="External" /><Relationship Type="http://schemas.openxmlformats.org/officeDocument/2006/relationships/hyperlink" Id="rId35" Target="https://doi.org/10.7551/mitpress/9780262036016.003.0012" TargetMode="External" /><Relationship Type="http://schemas.openxmlformats.org/officeDocument/2006/relationships/hyperlink" Id="rId33" Target="https://www.britannica.com/topic/Web-20" TargetMode="External" /></Relationships>
</file>

<file path=word/_rels/footnotes.xml.rels><?xml version="1.0" encoding="UTF-8"?>
<Relationships xmlns="http://schemas.openxmlformats.org/package/2006/relationships"><Relationship Type="http://schemas.openxmlformats.org/officeDocument/2006/relationships/hyperlink" Id="rId31" Target="http://www.jstor.org/stable/3340973" TargetMode="External" /><Relationship Type="http://schemas.openxmlformats.org/officeDocument/2006/relationships/hyperlink" Id="rId23" Target="http://www.worldcat.org/title/computers-and-democracy-a-scandinavian-challenge/oclc/614994092?referer=di&amp;ht=edition" TargetMode="External" /><Relationship Type="http://schemas.openxmlformats.org/officeDocument/2006/relationships/hyperlink" Id="rId41" Target="https://books.google.co.uk/books?id=G6DDlqNftGcC" TargetMode="External" /><Relationship Type="http://schemas.openxmlformats.org/officeDocument/2006/relationships/hyperlink" Id="rId44" Target="https://doi.org/10.1080/15710882.2017.1310466" TargetMode="External" /><Relationship Type="http://schemas.openxmlformats.org/officeDocument/2006/relationships/hyperlink" Id="rId38" Target="https://doi.org/10.1145/1015530.1015549" TargetMode="External" /><Relationship Type="http://schemas.openxmlformats.org/officeDocument/2006/relationships/hyperlink" Id="rId46" Target="https://doi.org/10.1145/2851581.2886436" TargetMode="External" /><Relationship Type="http://schemas.openxmlformats.org/officeDocument/2006/relationships/hyperlink" Id="rId29" Target="https://doi.org/10.7551/mitpress/8732.003.0007" TargetMode="External" /><Relationship Type="http://schemas.openxmlformats.org/officeDocument/2006/relationships/hyperlink" Id="rId35" Target="https://doi.org/10.7551/mitpress/9780262036016.003.0012" TargetMode="External" /><Relationship Type="http://schemas.openxmlformats.org/officeDocument/2006/relationships/hyperlink" Id="rId33" Target="https://www.britannica.com/topic/Web-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2021-04-26T16:53:13Z</dcterms:created>
  <dcterms:modified xsi:type="dcterms:W3CDTF">2021-04-26T16:53:13Z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