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three 2 hour participatory co-design workshops involving local authority support workers and parents and children from supported families that had recently participated in Early Help programmes.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4.2[CHECK],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 [</w:t>
      </w:r>
      <w:r>
        <w:t xml:space="preserve">Cornford, Baines and Wilson (</w:t>
      </w:r>
      <w:hyperlink w:anchor="ref-cornford2013">
        <w:r>
          <w:rPr>
            <w:rStyle w:val="Hyperlink"/>
          </w:rPr>
          <w:t xml:space="preserve">2013</w:t>
        </w:r>
      </w:hyperlink>
      <w:r>
        <w:t xml:space="preserve">)</w:t>
      </w:r>
      <w:r>
        <w:t xml:space="preserve">; REF Neves and Casimira 2018].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 [</w:t>
      </w:r>
      <w:r>
        <w:t xml:space="preserve">Bate and Bellis (</w:t>
      </w:r>
      <w:hyperlink w:anchor="ref-bate2018">
        <w:r>
          <w:rPr>
            <w:rStyle w:val="Hyperlink"/>
          </w:rPr>
          <w:t xml:space="preserve">2018</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w:t>
      </w:r>
      <w:r>
        <w:t xml:space="preserve">Field (</w:t>
      </w:r>
      <w:hyperlink w:anchor="ref-field2010">
        <w:r>
          <w:rPr>
            <w:rStyle w:val="Hyperlink"/>
          </w:rPr>
          <w:t xml:space="preserve">2010</w:t>
        </w:r>
      </w:hyperlink>
      <w:r>
        <w:t xml:space="preserve">)</w:t>
      </w:r>
      <w:r>
        <w:t xml:space="preserve">;ofsted2015].</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 [</w:t>
      </w:r>
      <w:r>
        <w:t xml:space="preserve">Cornford, Baines and Wilson (</w:t>
      </w:r>
      <w:hyperlink w:anchor="ref-cornford2013">
        <w:r>
          <w:rPr>
            <w:rStyle w:val="Hyperlink"/>
          </w:rPr>
          <w:t xml:space="preserve">2013</w:t>
        </w:r>
      </w:hyperlink>
      <w:r>
        <w:t xml:space="preserve">)</w:t>
      </w:r>
      <w:r>
        <w:t xml:space="preserve">;REF Lowe and Wilson 2018].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solutionist[REF] 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t xml:space="preserve">‘</w:t>
      </w:r>
      <w:r>
        <w:t xml:space="preserve">effective data use for everyone</w:t>
      </w:r>
      <w: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believe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,ADD OTHER DYNAMIC CONSENT REFS).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three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22: Current Model of Data Interaction, and Proposed Model of Shared Data Interaction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[Target 1,500 words or maybe less?]</w:t>
      </w:r>
      <w:r>
        <w:t xml:space="preserve"> </w:t>
      </w:r>
      <w:r>
        <w:t xml:space="preserve">[Finally after the TSEI structure for each theme, there is a combination/conclusion part of the chapter, bringing the three themes together.]</w:t>
      </w:r>
      <w:r>
        <w:t xml:space="preserve"> </w:t>
      </w:r>
      <w:r>
        <w:t xml:space="preserve">[In 4.5, I will summarise the case study in terms of how these insights expand our understanding of the research questions and their wider significance.]</w:t>
      </w:r>
    </w:p>
    <w:p>
      <w:pPr>
        <w:pStyle w:val="BodyText"/>
      </w:pPr>
      <w:r>
        <w:t xml:space="preserve">[TO REDRAFT AND SHORTEN</w:t>
      </w:r>
      <w:r>
        <w:t xml:space="preserve"> </w:t>
      </w:r>
      <w:r>
        <w:t xml:space="preserve">POSSIBLE REF THAT COULD BE ADDED AT https://miro.com/app/board/o9J_kvbFr24=/?moveToWidget=3074457347460416545&amp;cot=13]</w:t>
      </w:r>
    </w:p>
    <w:p>
      <w:pPr>
        <w:pStyle w:val="BodyText"/>
      </w:pPr>
      <w:r>
        <w:t xml:space="preserve">[FIT THIS IN SOMEWHERE]</w:t>
      </w:r>
      <w:r>
        <w:t xml:space="preserve"> </w:t>
      </w:r>
      <w:r>
        <w:t xml:space="preserve">As a sub-field of Human-Computer Interaction, it is easy to assume that HDI is simply about interaction in the traditional sense of users interacting with data through an interface, but our work, which has, guided by our participants, focussed less upon layout and screen interaction and more upon the wider sociotechnical context of the support relationship, suggests that HDI can be more effective sought when the word</w:t>
      </w:r>
      <w:r>
        <w:t xml:space="preserve"> </w:t>
      </w:r>
      <w:r>
        <w:t xml:space="preserve">‘</w:t>
      </w:r>
      <w:r>
        <w:t xml:space="preserve">interaction</w:t>
      </w:r>
      <w:r>
        <w:t xml:space="preserve">’</w:t>
      </w:r>
      <w:r>
        <w:t xml:space="preserve"> </w:t>
      </w:r>
      <w:r>
        <w:t xml:space="preserve">is considered in an interpersonal sense, and this insight contributes to the understanding of RQ3, shaping the future research agenda. Informed in part by this idea I have explored further in a workshop paper how the HDI field needs to advance to consider the sociotechnical level as well as the interface level [REF CHI 2021 ADD]</w:t>
      </w:r>
    </w:p>
    <w:p>
      <w:pPr>
        <w:pStyle w:val="BodyText"/>
      </w:pPr>
      <w:r>
        <w:t xml:space="preserve">[TIE THIS TO LIT REVIEW SECTIONS TOO]</w:t>
      </w:r>
    </w:p>
    <w:p>
      <w:pPr>
        <w:pStyle w:val="BodyText"/>
      </w:pPr>
      <w:r>
        <w:t xml:space="preserve">Through our participatory co-design workshops with supported families and support workers in North-East England, we have highlighted five major problem areas which our participants perceive to exist with current personal data practices:</w:t>
      </w:r>
      <w:r>
        <w:t xml:space="preserve"> </w:t>
      </w:r>
      <w:r>
        <w:t xml:space="preserve">1. A power imbalance –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r>
        <w:t xml:space="preserve"> </w:t>
      </w:r>
      <w:r>
        <w:t xml:space="preserve">2. A closed and opaque data ecosystem – Families lack awareness of what data is held about them and how it is used, with support workers (who themselves have limits to their access) functioning as gatekeepers to what families will be told about.</w:t>
      </w:r>
      <w:r>
        <w:t xml:space="preserve"> </w:t>
      </w:r>
      <w:r>
        <w:t xml:space="preserve">3. Ineffective, meaningless consent –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r>
        <w:t xml:space="preserve"> </w:t>
      </w:r>
      <w:r>
        <w:t xml:space="preserve">4. No accountability and limited trust – Without any transparency or ability to request or demand changes to data or data practices, families have no ability to hold data handlers to account. The lack of visibility makes families’ trust in the system hard to earn and fragile to maintain.</w:t>
      </w:r>
      <w:r>
        <w:t xml:space="preserve"> </w:t>
      </w:r>
      <w:r>
        <w:t xml:space="preserve">5. A lack of agency or true empowerment – With families having no ability to shape the way they are represented in data or see themselves in data, opportunities are missed to truly empower families to be better represented and to better themselves.</w:t>
      </w:r>
      <w:r>
        <w:t xml:space="preserve"> </w:t>
      </w:r>
      <w:r>
        <w:t xml:space="preserve">Through our explorations of a shared data interaction and personal data interfaces, we have found both a need and a desire for a new approach. We have shown that a model in which support services are deliberately open with families’ data and bring it to the heart of their face-to-face consultations could address all five of these problems. The removal of the gatekeeper role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can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r>
        <w:t xml:space="preserve"> </w:t>
      </w:r>
      <w:r>
        <w:t xml:space="preserve">We have also uncovered additional benefits of a shared data interaction approach.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used to measure service effectiveness) but in fact to the families themselves, who are now able to directly see the effects of their own actions in their data. The shift from support workers reporting what the data says to</w:t>
      </w:r>
      <w:r>
        <w:t xml:space="preserve"> </w:t>
      </w:r>
      <w:r>
        <w:t xml:space="preserve">‘</w:t>
      </w:r>
      <w:r>
        <w:t xml:space="preserve">looking at data together</w:t>
      </w:r>
      <w:r>
        <w:t xml:space="preserve">’</w:t>
      </w:r>
      <w:r>
        <w:t xml:space="preserve"> </w:t>
      </w:r>
      <w:r>
        <w:t xml:space="preserve">helps to shift the dynamic of the support interaction away from</w:t>
      </w:r>
      <w:r>
        <w:t xml:space="preserve"> </w:t>
      </w:r>
      <w:r>
        <w:t xml:space="preserve">‘</w:t>
      </w:r>
      <w:r>
        <w:t xml:space="preserve">us and them</w:t>
      </w:r>
      <w: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dialogue. Individual family members will be able to notice mistakes or gaps, and contribute explanations, context or additional data to enrich the picture. By ensuring the discussions are based on more accurate data, the quality of decision-making would naturally improve and conversations will be likely to be more effective and efficient as they will be more grounded in reality.</w:t>
      </w:r>
      <w:r>
        <w:t xml:space="preserve"> </w:t>
      </w: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their data, and to explain or clarify things seen in the data places more respect upon the family than the purely data-and-technology-based approach of the state-citizen service infrastructure experienced on the whole by non-supported families. The ability to act independently, in their own time and in contexts outside of the support interaction, allows individuals to alleviate concerns quickly and maintain confidence that their data selves, the version of themselves used by the state to inform decisions, remain fair and accurate, but also opens up new opportunities to individuals for using their data for their own ends in ways that were not previously possible.</w:t>
      </w:r>
      <w:r>
        <w:t xml:space="preserve"> </w:t>
      </w:r>
      <w:r>
        <w:t xml:space="preserve">In exploring the usage of data in its full sociotechnical context, not just from the provider’s perspective or citizen’s perspective, we have shown that merely providing people with access to data would be insufficient to properly address the identified problems, and that in applying the principles of Human-Data Interaction we need to consider interaction in an interpersonal sense. Capabilities – or their absence – matter more than the nature of the data interaction. Data interfaces are limited by their operating context as to how much they can offer, but considering the wider human-facing relationship between the individual and the representative of the state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r>
        <w:t xml:space="preserve"> </w:t>
      </w:r>
      <w:r>
        <w:t xml:space="preserve">Through our sentence ranking exercises we have been able to offer a snapshot overview of what this sample of support workers and supported families think about data, and where they agree and disagree (see Table 3). Our detailed analysis of our workshop transcripts has provided an understanding of the positive and negative impacts on the support relationship of current civic data practices within early help, and through our qualitative analysis we have been able to identify [CHANGE THIS TO REFERENCE THE LBW PAPER]38 specific practices, many of which are currently imagined or only just emerging, which participants believe would improve families engagement and the support they receive (see Table 4). We believe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our findings suggest that such an approach may get closer to the heart of the real issue of empowering</w:t>
      </w:r>
      <w:r>
        <w:t xml:space="preserve"> </w:t>
      </w:r>
      <w:r>
        <w:t xml:space="preserve">‘</w:t>
      </w:r>
      <w:r>
        <w:t xml:space="preserve">left-behind</w:t>
      </w:r>
      <w:r>
        <w:t xml:space="preserve">’</w:t>
      </w:r>
      <w:r>
        <w:t xml:space="preserve"> </w:t>
      </w:r>
      <w:r>
        <w:t xml:space="preserve">(disempowered) families than a purely state-centred approach to problem solving, and that this may offer part of a route to a more enabling welfare state. More generally our work serves as a reminder that as we move into the data-driven age it is important that data stays close to the people it is about, rather than those that use the data to provide services, and that service practice and processes should remain human-centric rather than data-centric. This is a general principle that could be equally applied to other domains including education, healthcare, democracy and commerce, and our emphasis upon individual capability over interface design is a useful mindset that can be applied to many human-computer interaction and design endeavours.</w:t>
      </w:r>
    </w:p>
    <w:bookmarkEnd w:id="59"/>
    <w:bookmarkEnd w:id="60"/>
    <w:bookmarkStart w:id="141" w:name="bibliography"/>
    <w:p>
      <w:pPr>
        <w:pStyle w:val="Heading1"/>
      </w:pPr>
      <w:r>
        <w:t xml:space="preserve">Bibliography</w:t>
      </w:r>
    </w:p>
    <w:bookmarkStart w:id="140"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te2018"/>
    <w:p>
      <w:pPr>
        <w:pStyle w:val="Bibliography"/>
      </w:pPr>
      <w:r>
        <w:t xml:space="preserve">Bate, A. and Bellis, A. (2018)</w:t>
      </w:r>
      <w:r>
        <w:t xml:space="preserve"> </w:t>
      </w:r>
      <w:r>
        <w:rPr>
          <w:i/>
        </w:rPr>
        <w:t xml:space="preserve">The Troubled Families programme ( England )</w:t>
      </w:r>
      <w:r>
        <w:t xml:space="preserve">. July.</w:t>
      </w:r>
    </w:p>
    <w:bookmarkEnd w:id="63"/>
    <w:bookmarkStart w:id="65"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5"/>
    <w:bookmarkStart w:id="67"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6">
        <w:r>
          <w:rPr>
            <w:rStyle w:val="Hyperlink"/>
          </w:rPr>
          <w:t xml:space="preserve">10.1145/3173574.3173710</w:t>
        </w:r>
      </w:hyperlink>
      <w:r>
        <w:t xml:space="preserve">.</w:t>
      </w:r>
    </w:p>
    <w:bookmarkEnd w:id="67"/>
    <w:bookmarkStart w:id="69"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8">
        <w:r>
          <w:rPr>
            <w:rStyle w:val="Hyperlink"/>
          </w:rPr>
          <w:t xml:space="preserve">10.1145/1011870.1011885</w:t>
        </w:r>
      </w:hyperlink>
      <w:r>
        <w:t xml:space="preserve">.</w:t>
      </w:r>
    </w:p>
    <w:bookmarkEnd w:id="69"/>
    <w:bookmarkStart w:id="71"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0">
        <w:r>
          <w:rPr>
            <w:rStyle w:val="Hyperlink"/>
          </w:rPr>
          <w:t xml:space="preserve">10.1080/2373566x.2016.1237858</w:t>
        </w:r>
      </w:hyperlink>
      <w:r>
        <w:t xml:space="preserve">.</w:t>
      </w:r>
    </w:p>
    <w:bookmarkEnd w:id="71"/>
    <w:bookmarkStart w:id="73"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2">
        <w:r>
          <w:rPr>
            <w:rStyle w:val="Hyperlink"/>
          </w:rPr>
          <w:t xml:space="preserve">www.policyexchange.org.uk https://policyexchange.org.uk/publication/small-pieces-loosely-joined-how-smarter-use-of-technology-and-data-can-deliver-real-reform-of-local-government/</w:t>
        </w:r>
      </w:hyperlink>
      <w:r>
        <w:t xml:space="preserve">.</w:t>
      </w:r>
    </w:p>
    <w:bookmarkEnd w:id="73"/>
    <w:bookmarkStart w:id="75"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4">
        <w:r>
          <w:rPr>
            <w:rStyle w:val="Hyperlink"/>
          </w:rPr>
          <w:t xml:space="preserve">10.1332/030557312X645838</w:t>
        </w:r>
      </w:hyperlink>
      <w:r>
        <w:t xml:space="preserve">.</w:t>
      </w:r>
    </w:p>
    <w:bookmarkEnd w:id="75"/>
    <w:bookmarkStart w:id="76"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76"/>
    <w:bookmarkStart w:id="78"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77">
        <w:r>
          <w:rPr>
            <w:rStyle w:val="Hyperlink"/>
          </w:rPr>
          <w:t xml:space="preserve">10.2139/ssrn.2874312</w:t>
        </w:r>
      </w:hyperlink>
      <w:r>
        <w:t xml:space="preserve">.</w:t>
      </w:r>
    </w:p>
    <w:bookmarkEnd w:id="78"/>
    <w:bookmarkStart w:id="80"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79">
        <w:r>
          <w:rPr>
            <w:rStyle w:val="Hyperlink"/>
          </w:rPr>
          <w:t xml:space="preserve">10.1080/13561820020003919</w:t>
        </w:r>
      </w:hyperlink>
      <w:r>
        <w:t xml:space="preserve">.</w:t>
      </w:r>
    </w:p>
    <w:bookmarkEnd w:id="80"/>
    <w:bookmarkStart w:id="82"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1">
        <w:r>
          <w:rPr>
            <w:rStyle w:val="Hyperlink"/>
          </w:rPr>
          <w:t xml:space="preserve">10.24908/ss.v12i2.4776</w:t>
        </w:r>
      </w:hyperlink>
      <w:r>
        <w:t xml:space="preserve">.</w:t>
      </w:r>
    </w:p>
    <w:bookmarkEnd w:id="82"/>
    <w:bookmarkStart w:id="83"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3"/>
    <w:bookmarkStart w:id="85"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4">
        <w:r>
          <w:rPr>
            <w:rStyle w:val="Hyperlink"/>
          </w:rPr>
          <w:t xml:space="preserve">www.frankfield.co.uk http://www.inspiredbybabies.org.uk/Page2NationalrelevantDocsresources/Frank Field Preventing poor children becoming poor adults 2011.pdf</w:t>
        </w:r>
      </w:hyperlink>
      <w:r>
        <w:t xml:space="preserve">.</w:t>
      </w:r>
    </w:p>
    <w:bookmarkEnd w:id="85"/>
    <w:bookmarkStart w:id="87"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86">
        <w:r>
          <w:rPr>
            <w:rStyle w:val="Hyperlink"/>
          </w:rPr>
          <w:t xml:space="preserve">https://mitpress.mit.edu/books/raw-data-oxymoron</w:t>
        </w:r>
      </w:hyperlink>
      <w:r>
        <w:t xml:space="preserve">.</w:t>
      </w:r>
    </w:p>
    <w:bookmarkEnd w:id="87"/>
    <w:bookmarkStart w:id="89"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88">
        <w:r>
          <w:rPr>
            <w:rStyle w:val="Hyperlink"/>
          </w:rPr>
          <w:t xml:space="preserve">10.5210/fm.v16i2.3316</w:t>
        </w:r>
      </w:hyperlink>
      <w:r>
        <w:t xml:space="preserve">.</w:t>
      </w:r>
    </w:p>
    <w:bookmarkEnd w:id="89"/>
    <w:bookmarkStart w:id="91"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0">
        <w:r>
          <w:rPr>
            <w:rStyle w:val="Hyperlink"/>
          </w:rPr>
          <w:t xml:space="preserve">http://www.cs.ucl.ac.uk/research/researchnotes/documents/RN_06_11.pdf</w:t>
        </w:r>
      </w:hyperlink>
      <w:r>
        <w:t xml:space="preserve">.</w:t>
      </w:r>
    </w:p>
    <w:bookmarkEnd w:id="91"/>
    <w:bookmarkStart w:id="93"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2">
        <w:r>
          <w:rPr>
            <w:rStyle w:val="Hyperlink"/>
          </w:rPr>
          <w:t xml:space="preserve">10.1109/ISTAFRICA.2016.7530615</w:t>
        </w:r>
      </w:hyperlink>
      <w:r>
        <w:t xml:space="preserve">.</w:t>
      </w:r>
    </w:p>
    <w:bookmarkEnd w:id="93"/>
    <w:bookmarkStart w:id="94" w:name="ref-honeyman2016"/>
    <w:p>
      <w:pPr>
        <w:pStyle w:val="Bibliography"/>
      </w:pPr>
      <w:r>
        <w:t xml:space="preserve">Honeyman, M., Dunn, P. and Mckenna, H. (2016)</w:t>
      </w:r>
      <w:r>
        <w:t xml:space="preserve"> </w:t>
      </w:r>
      <w:r>
        <w:rPr>
          <w:i/>
        </w:rPr>
        <w:t xml:space="preserve">A digital NHS?</w:t>
      </w:r>
    </w:p>
    <w:bookmarkEnd w:id="94"/>
    <w:bookmarkStart w:id="95" w:name="ref-huberman2002"/>
    <w:p>
      <w:pPr>
        <w:pStyle w:val="Bibliography"/>
      </w:pPr>
      <w:r>
        <w:t xml:space="preserve">Huberman, M. and Miles, M. B. (2002)</w:t>
      </w:r>
      <w:r>
        <w:t xml:space="preserve"> </w:t>
      </w:r>
      <w:r>
        <w:rPr>
          <w:i/>
        </w:rPr>
        <w:t xml:space="preserve">The qualitative researcher’s companion</w:t>
      </w:r>
      <w:r>
        <w:t xml:space="preserve">. Sage.</w:t>
      </w:r>
    </w:p>
    <w:bookmarkEnd w:id="95"/>
    <w:bookmarkStart w:id="97"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96">
        <w:r>
          <w:rPr>
            <w:rStyle w:val="Hyperlink"/>
          </w:rPr>
          <w:t xml:space="preserve">10.1016/j.pec.2010.10.011</w:t>
        </w:r>
      </w:hyperlink>
      <w:r>
        <w:t xml:space="preserve">.</w:t>
      </w:r>
    </w:p>
    <w:bookmarkEnd w:id="97"/>
    <w:bookmarkStart w:id="99"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98">
        <w:r>
          <w:rPr>
            <w:rStyle w:val="Hyperlink"/>
          </w:rPr>
          <w:t xml:space="preserve">10.4018/978-1-59140-575-7.ch032</w:t>
        </w:r>
      </w:hyperlink>
      <w:r>
        <w:t xml:space="preserve">.</w:t>
      </w:r>
    </w:p>
    <w:bookmarkEnd w:id="99"/>
    <w:bookmarkStart w:id="101"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0">
        <w:r>
          <w:rPr>
            <w:rStyle w:val="Hyperlink"/>
          </w:rPr>
          <w:t xml:space="preserve">10.1038/ejhg.2014.71</w:t>
        </w:r>
      </w:hyperlink>
      <w:r>
        <w:t xml:space="preserve">.</w:t>
      </w:r>
    </w:p>
    <w:bookmarkEnd w:id="101"/>
    <w:bookmarkStart w:id="103"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2">
        <w:r>
          <w:rPr>
            <w:rStyle w:val="Hyperlink"/>
          </w:rPr>
          <w:t xml:space="preserve">https://www.jstor.org/stable/pdf/2352107.pdf?refreqid=excelsior%3A24bde6bf7de0eccf42c6ea11f8446d38</w:t>
        </w:r>
      </w:hyperlink>
      <w:r>
        <w:t xml:space="preserve">.</w:t>
      </w:r>
    </w:p>
    <w:bookmarkEnd w:id="103"/>
    <w:bookmarkStart w:id="105"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4">
        <w:r>
          <w:rPr>
            <w:rStyle w:val="Hyperlink"/>
          </w:rPr>
          <w:t xml:space="preserve">10.3389/fpubh.2015.00134</w:t>
        </w:r>
      </w:hyperlink>
      <w:r>
        <w:t xml:space="preserve">.</w:t>
      </w:r>
    </w:p>
    <w:bookmarkEnd w:id="105"/>
    <w:bookmarkStart w:id="107"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06">
        <w:r>
          <w:rPr>
            <w:rStyle w:val="Hyperlink"/>
          </w:rPr>
          <w:t xml:space="preserve">https://www.socwork.net/sws/article/view/503/1007</w:t>
        </w:r>
      </w:hyperlink>
      <w:r>
        <w:t xml:space="preserve">.</w:t>
      </w:r>
    </w:p>
    <w:bookmarkEnd w:id="107"/>
    <w:bookmarkStart w:id="109"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08">
        <w:r>
          <w:rPr>
            <w:rStyle w:val="Hyperlink"/>
          </w:rPr>
          <w:t xml:space="preserve">10.1016/j.childyouth.2015.07.003</w:t>
        </w:r>
      </w:hyperlink>
      <w:r>
        <w:t xml:space="preserve">.</w:t>
      </w:r>
    </w:p>
    <w:bookmarkEnd w:id="109"/>
    <w:bookmarkStart w:id="111"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0">
        <w:r>
          <w:rPr>
            <w:rStyle w:val="Hyperlink"/>
          </w:rPr>
          <w:t xml:space="preserve">10.1145/2493432.2493446</w:t>
        </w:r>
      </w:hyperlink>
      <w:r>
        <w:t xml:space="preserve">.</w:t>
      </w:r>
    </w:p>
    <w:bookmarkEnd w:id="111"/>
    <w:bookmarkStart w:id="113"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2">
        <w:r>
          <w:rPr>
            <w:rStyle w:val="Hyperlink"/>
          </w:rPr>
          <w:t xml:space="preserve">10.1002/poi3.141</w:t>
        </w:r>
      </w:hyperlink>
      <w:r>
        <w:t xml:space="preserve">.</w:t>
      </w:r>
    </w:p>
    <w:bookmarkEnd w:id="113"/>
    <w:bookmarkStart w:id="114"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14"/>
    <w:bookmarkStart w:id="115"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15"/>
    <w:bookmarkStart w:id="11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16">
        <w:r>
          <w:rPr>
            <w:rStyle w:val="Hyperlink"/>
          </w:rPr>
          <w:t xml:space="preserve">10.2139/ssrn.2508051</w:t>
        </w:r>
      </w:hyperlink>
      <w:r>
        <w:t xml:space="preserve">.</w:t>
      </w:r>
    </w:p>
    <w:bookmarkEnd w:id="117"/>
    <w:bookmarkStart w:id="119"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18">
        <w:r>
          <w:rPr>
            <w:rStyle w:val="Hyperlink"/>
          </w:rPr>
          <w:t xml:space="preserve">10.1089/big.2013.0029</w:t>
        </w:r>
      </w:hyperlink>
      <w:r>
        <w:t xml:space="preserve">.</w:t>
      </w:r>
    </w:p>
    <w:bookmarkEnd w:id="119"/>
    <w:bookmarkStart w:id="120" w:name="ref-papert1980"/>
    <w:p>
      <w:pPr>
        <w:pStyle w:val="Bibliography"/>
      </w:pPr>
      <w:r>
        <w:t xml:space="preserve">Papert, S. (1980) ‘Mindstorms: children, computers, and powerful ideas’. Basic Books, Inc.</w:t>
      </w:r>
    </w:p>
    <w:bookmarkEnd w:id="120"/>
    <w:bookmarkStart w:id="122" w:name="ref-pollock2011"/>
    <w:p>
      <w:pPr>
        <w:pStyle w:val="Bibliography"/>
      </w:pPr>
      <w:r>
        <w:t xml:space="preserve">Pollock, R. (2011) ‘Building the (Open) Data Ecosystem – Open Knowledge Foundation Blog’. Available at:</w:t>
      </w:r>
      <w:r>
        <w:t xml:space="preserve"> </w:t>
      </w:r>
      <w:hyperlink r:id="rId121">
        <w:r>
          <w:rPr>
            <w:rStyle w:val="Hyperlink"/>
          </w:rPr>
          <w:t xml:space="preserve">https://blog.okfn.org/2011/03/31/building-the-open-data-ecosystem/</w:t>
        </w:r>
      </w:hyperlink>
      <w:r>
        <w:t xml:space="preserve"> </w:t>
      </w:r>
      <w:r>
        <w:t xml:space="preserve">(Accessed: 23 July 2019).</w:t>
      </w:r>
    </w:p>
    <w:bookmarkEnd w:id="122"/>
    <w:bookmarkStart w:id="123"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23"/>
    <w:bookmarkStart w:id="125"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24">
        <w:r>
          <w:rPr>
            <w:rStyle w:val="Hyperlink"/>
          </w:rPr>
          <w:t xml:space="preserve">10.1037/0033-2909.91.3.482</w:t>
        </w:r>
      </w:hyperlink>
      <w:r>
        <w:t xml:space="preserve">.</w:t>
      </w:r>
    </w:p>
    <w:bookmarkEnd w:id="125"/>
    <w:bookmarkStart w:id="127"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26">
        <w:r>
          <w:rPr>
            <w:rStyle w:val="Hyperlink"/>
          </w:rPr>
          <w:t xml:space="preserve">10.1016/b978-1-55860-092-8.50006-x</w:t>
        </w:r>
      </w:hyperlink>
      <w:r>
        <w:t xml:space="preserve">.</w:t>
      </w:r>
    </w:p>
    <w:bookmarkEnd w:id="127"/>
    <w:bookmarkStart w:id="12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1"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0">
        <w:r>
          <w:rPr>
            <w:rStyle w:val="Hyperlink"/>
          </w:rPr>
          <w:t xml:space="preserve">10.1093/bjsw/bcp022</w:t>
        </w:r>
      </w:hyperlink>
      <w:r>
        <w:t xml:space="preserve">.</w:t>
      </w:r>
    </w:p>
    <w:bookmarkEnd w:id="131"/>
    <w:bookmarkStart w:id="133"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32">
        <w:r>
          <w:rPr>
            <w:rStyle w:val="Hyperlink"/>
          </w:rPr>
          <w:t xml:space="preserve">10.1093/bjsw/bcm048</w:t>
        </w:r>
      </w:hyperlink>
      <w:r>
        <w:t xml:space="preserve">.</w:t>
      </w:r>
    </w:p>
    <w:bookmarkEnd w:id="133"/>
    <w:bookmarkStart w:id="135"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34">
        <w:r>
          <w:rPr>
            <w:rStyle w:val="Hyperlink"/>
          </w:rPr>
          <w:t xml:space="preserve">10.2196/medinform.3525</w:t>
        </w:r>
      </w:hyperlink>
      <w:r>
        <w:t xml:space="preserve">.</w:t>
      </w:r>
    </w:p>
    <w:bookmarkEnd w:id="135"/>
    <w:bookmarkStart w:id="137"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36">
        <w:r>
          <w:rPr>
            <w:rStyle w:val="Hyperlink"/>
          </w:rPr>
          <w:t xml:space="preserve">https://www.greatnorthcarerecord.org.uk</w:t>
        </w:r>
      </w:hyperlink>
      <w:r>
        <w:t xml:space="preserve">.</w:t>
      </w:r>
    </w:p>
    <w:bookmarkEnd w:id="137"/>
    <w:bookmarkStart w:id="139"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38">
        <w:r>
          <w:rPr>
            <w:rStyle w:val="Hyperlink"/>
          </w:rPr>
          <w:t xml:space="preserve">10.1017/s1474746411000108</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0" Target="http://www.cs.ucl.ac.uk/research/researchnotes/documents/RN_06_11.pdf" TargetMode="External" /><Relationship Type="http://schemas.openxmlformats.org/officeDocument/2006/relationships/hyperlink" Id="rId121" Target="https://blog.okfn.org/2011/03/31/building-the-open-data-ecosystem/" TargetMode="External" /><Relationship Type="http://schemas.openxmlformats.org/officeDocument/2006/relationships/hyperlink" Id="rId64"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2" Target="https://doi.org/10.1002/poi3.141" TargetMode="External" /><Relationship Type="http://schemas.openxmlformats.org/officeDocument/2006/relationships/hyperlink" Id="rId126" Target="https://doi.org/10.1016/b978-1-55860-092-8.50006-x" TargetMode="External" /><Relationship Type="http://schemas.openxmlformats.org/officeDocument/2006/relationships/hyperlink" Id="rId108" Target="https://doi.org/10.1016/j.childyouth.2015.07.003" TargetMode="External" /><Relationship Type="http://schemas.openxmlformats.org/officeDocument/2006/relationships/hyperlink" Id="rId96" Target="https://doi.org/10.1016/j.pec.2010.10.011" TargetMode="External" /><Relationship Type="http://schemas.openxmlformats.org/officeDocument/2006/relationships/hyperlink" Id="rId138" Target="https://doi.org/10.1017/s1474746411000108" TargetMode="External" /><Relationship Type="http://schemas.openxmlformats.org/officeDocument/2006/relationships/hyperlink" Id="rId124" Target="https://doi.org/10.1037/0033-2909.91.3.482" TargetMode="External" /><Relationship Type="http://schemas.openxmlformats.org/officeDocument/2006/relationships/hyperlink" Id="rId100" Target="https://doi.org/10.1038/ejhg.2014.71" TargetMode="External" /><Relationship Type="http://schemas.openxmlformats.org/officeDocument/2006/relationships/hyperlink" Id="rId79" Target="https://doi.org/10.1080/13561820020003919" TargetMode="External" /><Relationship Type="http://schemas.openxmlformats.org/officeDocument/2006/relationships/hyperlink" Id="rId70"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132" Target="https://doi.org/10.1093/bjsw/bcm048" TargetMode="External" /><Relationship Type="http://schemas.openxmlformats.org/officeDocument/2006/relationships/hyperlink" Id="rId130" Target="https://doi.org/10.1093/bjsw/bcp022" TargetMode="External" /><Relationship Type="http://schemas.openxmlformats.org/officeDocument/2006/relationships/hyperlink" Id="rId92" Target="https://doi.org/10.1109/ISTAFRICA.2016.7530615" TargetMode="External" /><Relationship Type="http://schemas.openxmlformats.org/officeDocument/2006/relationships/hyperlink" Id="rId68" Target="https://doi.org/10.1145/1011870.1011885" TargetMode="External" /><Relationship Type="http://schemas.openxmlformats.org/officeDocument/2006/relationships/hyperlink" Id="rId110"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6"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74" Target="https://doi.org/10.1332/030557312X645838" TargetMode="External" /><Relationship Type="http://schemas.openxmlformats.org/officeDocument/2006/relationships/hyperlink" Id="rId116" Target="https://doi.org/10.2139/ssrn.2508051" TargetMode="External" /><Relationship Type="http://schemas.openxmlformats.org/officeDocument/2006/relationships/hyperlink" Id="rId77" Target="https://doi.org/10.2139/ssrn.2874312" TargetMode="External" /><Relationship Type="http://schemas.openxmlformats.org/officeDocument/2006/relationships/hyperlink" Id="rId134" Target="https://doi.org/10.2196/medinform.3525" TargetMode="External" /><Relationship Type="http://schemas.openxmlformats.org/officeDocument/2006/relationships/hyperlink" Id="rId81" Target="https://doi.org/10.24908/ss.v12i2.4776" TargetMode="External" /><Relationship Type="http://schemas.openxmlformats.org/officeDocument/2006/relationships/hyperlink" Id="rId104" Target="https://doi.org/10.3389/fpubh.2015.00134" TargetMode="External" /><Relationship Type="http://schemas.openxmlformats.org/officeDocument/2006/relationships/hyperlink" Id="rId98" Target="https://doi.org/10.4018/978-1-59140-575-7.ch032" TargetMode="External" /><Relationship Type="http://schemas.openxmlformats.org/officeDocument/2006/relationships/hyperlink" Id="rId88" Target="https://doi.org/10.5210/fm.v16i2.3316" TargetMode="External" /><Relationship Type="http://schemas.openxmlformats.org/officeDocument/2006/relationships/hyperlink" Id="rId86" Target="https://mitpress.mit.edu/books/raw-data-oxymoron" TargetMode="External" /><Relationship Type="http://schemas.openxmlformats.org/officeDocument/2006/relationships/hyperlink" Id="rId136" Target="https://www.greatnorthcarerecord.org.uk" TargetMode="External" /><Relationship Type="http://schemas.openxmlformats.org/officeDocument/2006/relationships/hyperlink" Id="rId102" Target="https://www.jstor.org/stable/pdf/2352107.pdf?refreqid=excelsior%3A24bde6bf7de0eccf42c6ea11f8446d38" TargetMode="External" /><Relationship Type="http://schemas.openxmlformats.org/officeDocument/2006/relationships/hyperlink" Id="rId106" Target="https://www.socwork.net/sws/article/view/503/1007" TargetMode="External" /><Relationship Type="http://schemas.openxmlformats.org/officeDocument/2006/relationships/hyperlink" Id="rId84" Target="www.frankfield.co.uk%20http://www.inspiredbybabies.org.uk/Page2NationalrelevantDocsresources/Frank%20Field%20Preventing%20poor%20children%20becoming%20poor%20adults%202011.pdf" TargetMode="External" /><Relationship Type="http://schemas.openxmlformats.org/officeDocument/2006/relationships/hyperlink" Id="rId72"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0" Target="http://www.cs.ucl.ac.uk/research/researchnotes/documents/RN_06_11.pdf" TargetMode="External" /><Relationship Type="http://schemas.openxmlformats.org/officeDocument/2006/relationships/hyperlink" Id="rId121" Target="https://blog.okfn.org/2011/03/31/building-the-open-data-ecosystem/" TargetMode="External" /><Relationship Type="http://schemas.openxmlformats.org/officeDocument/2006/relationships/hyperlink" Id="rId64"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2" Target="https://doi.org/10.1002/poi3.141" TargetMode="External" /><Relationship Type="http://schemas.openxmlformats.org/officeDocument/2006/relationships/hyperlink" Id="rId126" Target="https://doi.org/10.1016/b978-1-55860-092-8.50006-x" TargetMode="External" /><Relationship Type="http://schemas.openxmlformats.org/officeDocument/2006/relationships/hyperlink" Id="rId108" Target="https://doi.org/10.1016/j.childyouth.2015.07.003" TargetMode="External" /><Relationship Type="http://schemas.openxmlformats.org/officeDocument/2006/relationships/hyperlink" Id="rId96" Target="https://doi.org/10.1016/j.pec.2010.10.011" TargetMode="External" /><Relationship Type="http://schemas.openxmlformats.org/officeDocument/2006/relationships/hyperlink" Id="rId138" Target="https://doi.org/10.1017/s1474746411000108" TargetMode="External" /><Relationship Type="http://schemas.openxmlformats.org/officeDocument/2006/relationships/hyperlink" Id="rId124" Target="https://doi.org/10.1037/0033-2909.91.3.482" TargetMode="External" /><Relationship Type="http://schemas.openxmlformats.org/officeDocument/2006/relationships/hyperlink" Id="rId100" Target="https://doi.org/10.1038/ejhg.2014.71" TargetMode="External" /><Relationship Type="http://schemas.openxmlformats.org/officeDocument/2006/relationships/hyperlink" Id="rId79" Target="https://doi.org/10.1080/13561820020003919" TargetMode="External" /><Relationship Type="http://schemas.openxmlformats.org/officeDocument/2006/relationships/hyperlink" Id="rId70"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132" Target="https://doi.org/10.1093/bjsw/bcm048" TargetMode="External" /><Relationship Type="http://schemas.openxmlformats.org/officeDocument/2006/relationships/hyperlink" Id="rId130" Target="https://doi.org/10.1093/bjsw/bcp022" TargetMode="External" /><Relationship Type="http://schemas.openxmlformats.org/officeDocument/2006/relationships/hyperlink" Id="rId92" Target="https://doi.org/10.1109/ISTAFRICA.2016.7530615" TargetMode="External" /><Relationship Type="http://schemas.openxmlformats.org/officeDocument/2006/relationships/hyperlink" Id="rId68" Target="https://doi.org/10.1145/1011870.1011885" TargetMode="External" /><Relationship Type="http://schemas.openxmlformats.org/officeDocument/2006/relationships/hyperlink" Id="rId110"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6"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74" Target="https://doi.org/10.1332/030557312X645838" TargetMode="External" /><Relationship Type="http://schemas.openxmlformats.org/officeDocument/2006/relationships/hyperlink" Id="rId116" Target="https://doi.org/10.2139/ssrn.2508051" TargetMode="External" /><Relationship Type="http://schemas.openxmlformats.org/officeDocument/2006/relationships/hyperlink" Id="rId77" Target="https://doi.org/10.2139/ssrn.2874312" TargetMode="External" /><Relationship Type="http://schemas.openxmlformats.org/officeDocument/2006/relationships/hyperlink" Id="rId134" Target="https://doi.org/10.2196/medinform.3525" TargetMode="External" /><Relationship Type="http://schemas.openxmlformats.org/officeDocument/2006/relationships/hyperlink" Id="rId81" Target="https://doi.org/10.24908/ss.v12i2.4776" TargetMode="External" /><Relationship Type="http://schemas.openxmlformats.org/officeDocument/2006/relationships/hyperlink" Id="rId104" Target="https://doi.org/10.3389/fpubh.2015.00134" TargetMode="External" /><Relationship Type="http://schemas.openxmlformats.org/officeDocument/2006/relationships/hyperlink" Id="rId98" Target="https://doi.org/10.4018/978-1-59140-575-7.ch032" TargetMode="External" /><Relationship Type="http://schemas.openxmlformats.org/officeDocument/2006/relationships/hyperlink" Id="rId88" Target="https://doi.org/10.5210/fm.v16i2.3316" TargetMode="External" /><Relationship Type="http://schemas.openxmlformats.org/officeDocument/2006/relationships/hyperlink" Id="rId86" Target="https://mitpress.mit.edu/books/raw-data-oxymoron" TargetMode="External" /><Relationship Type="http://schemas.openxmlformats.org/officeDocument/2006/relationships/hyperlink" Id="rId136" Target="https://www.greatnorthcarerecord.org.uk" TargetMode="External" /><Relationship Type="http://schemas.openxmlformats.org/officeDocument/2006/relationships/hyperlink" Id="rId102" Target="https://www.jstor.org/stable/pdf/2352107.pdf?refreqid=excelsior%3A24bde6bf7de0eccf42c6ea11f8446d38" TargetMode="External" /><Relationship Type="http://schemas.openxmlformats.org/officeDocument/2006/relationships/hyperlink" Id="rId106" Target="https://www.socwork.net/sws/article/view/503/1007" TargetMode="External" /><Relationship Type="http://schemas.openxmlformats.org/officeDocument/2006/relationships/hyperlink" Id="rId84" Target="www.frankfield.co.uk%20http://www.inspiredbybabies.org.uk/Page2NationalrelevantDocsresources/Frank%20Field%20Preventing%20poor%20children%20becoming%20poor%20adults%202011.pdf" TargetMode="External" /><Relationship Type="http://schemas.openxmlformats.org/officeDocument/2006/relationships/hyperlink" Id="rId72"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2021-07-02T15:48:44Z</dcterms:created>
  <dcterms:modified xsi:type="dcterms:W3CDTF">2021-07-02T15:48:44Z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