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chapter-4"/>
    <w:p>
      <w:pPr>
        <w:pStyle w:val="Heading1"/>
      </w:pPr>
      <w:r>
        <w:rPr>
          <w:rStyle w:val="SectionNumber"/>
        </w:rPr>
        <w:t xml:space="preserve">1</w:t>
      </w:r>
      <w:r>
        <w:tab/>
      </w:r>
      <w:r>
        <w:t xml:space="preserve">Case Study One: Access to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w:t>
      </w:r>
      <w:hyperlink w:anchor="RQ1">
        <w:r>
          <w:rPr>
            <w:rStyle w:val="Hyperlink"/>
          </w:rPr>
          <w:t xml:space="preserve">RQ1</w:t>
        </w:r>
      </w:hyperlink>
      <w:r>
        <w:t xml:space="preserve">) and to explore the role of data within the support relationship (per</w:t>
      </w:r>
      <w:r>
        <w:t xml:space="preserve"> </w:t>
      </w:r>
      <w:hyperlink w:anchor="RQ2">
        <w:r>
          <w:rPr>
            <w:rStyle w:val="Hyperlink"/>
          </w:rPr>
          <w:t xml:space="preserve">RQ2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t xml:space="preserve">‘</w:t>
      </w:r>
      <w:r>
        <w:t xml:space="preserve">turned around</w:t>
      </w:r>
      <w: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t xml:space="preserve">‘</w:t>
      </w:r>
      <w:r>
        <w:t xml:space="preserve">at risk</w:t>
      </w:r>
      <w: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 (EHR)</w:t>
      </w:r>
      <w:r>
        <w:t xml:space="preserve"> </w:t>
      </w:r>
      <w:r>
        <w:t xml:space="preserve">for each supported individual and their family, stored in case management systems such as CareFirst, LiquidLogic or eCAF. To gain a holistic perspective of a family’s situation, a process of information gathering and family-centric inter-agency collaboration is adopted. The EHR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EHR data is used to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impossibly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EHR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EHR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EHR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w:t>
      </w:r>
      <w:r>
        <w:t xml:space="preserve"> </w:t>
      </w:r>
      <w:hyperlink w:anchor="RQ2">
        <w:r>
          <w:rPr>
            <w:rStyle w:val="Hyperlink"/>
          </w:rPr>
          <w:t xml:space="preserve">RQ2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w:t>
      </w:r>
      <w:r>
        <w:t xml:space="preserve"> </w:t>
      </w:r>
      <w:hyperlink w:anchor="RQ1">
        <w:r>
          <w:rPr>
            <w:rStyle w:val="Hyperlink"/>
          </w:rPr>
          <w:t xml:space="preserve">RQ1</w:t>
        </w:r>
      </w:hyperlink>
      <w:r>
        <w:t xml:space="preserve"> </w:t>
      </w:r>
      <w:r>
        <w:t xml:space="preserve">but also looked at the power imbalance and the effectiveness of the support relationship as a whole, in terms of its goal to empower families to build better lives for themselves and get them to a point where they no longer need support. As part of</w:t>
      </w:r>
      <w:r>
        <w:t xml:space="preserve"> </w:t>
      </w:r>
      <w:hyperlink w:anchor="RQ2">
        <w:r>
          <w:rPr>
            <w:rStyle w:val="Hyperlink"/>
          </w:rPr>
          <w:t xml:space="preserve">RQ2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4"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5"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w:t>
      </w:r>
      <w:r>
        <w:t xml:space="preserve"> </w:t>
      </w:r>
      <w:hyperlink w:anchor="table-ari4.1">
        <w:r>
          <w:rPr>
            <w:rStyle w:val="Hyperlink"/>
          </w:rPr>
          <w:t xml:space="preserve">Table ARI4.1</w:t>
        </w:r>
      </w:hyperlink>
      <w:r>
        <w:t xml:space="preserve"> </w:t>
      </w:r>
      <w:r>
        <w:t xml:space="preserve">in the Additional Reference Information.</w:t>
      </w:r>
    </w:p>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rPr>
          <w:iCs/>
          <w:i/>
        </w:rPr>
        <w:t xml:space="preserve">stored information about their lives</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5"/>
    <w:bookmarkStart w:id="26"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6"/>
    <w:bookmarkStart w:id="27"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7"/>
    <w:bookmarkStart w:id="28"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of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8"/>
    <w:bookmarkStart w:id="29" w:name="Xc522393afef60216141778dd694dd810eda5c25"/>
    <w:p>
      <w:pPr>
        <w:pStyle w:val="Heading3"/>
      </w:pPr>
      <w:r>
        <w:rPr>
          <w:rStyle w:val="SectionNumber"/>
        </w:rPr>
        <w:t xml:space="preserve">1.2.5</w:t>
      </w:r>
      <w:r>
        <w:tab/>
      </w:r>
      <w:r>
        <w:t xml:space="preserve">The Workshops</w:t>
      </w:r>
    </w:p>
    <w:p>
      <w:pPr>
        <w:pStyle w:val="TableCaption"/>
      </w:pPr>
      <w:r>
        <w:t xml:space="preserve">Table 4.1 - Case Study One Group Design Workshops.</w:t>
      </w:r>
    </w:p>
    <w:tbl>
      <w:tblPr>
        <w:tblStyle w:val="Table"/>
        <w:tblW w:type="pct" w:w="5000"/>
        <w:tblLook w:firstRow="1" w:lastRow="0" w:firstColumn="0" w:lastColumn="0" w:noHBand="0" w:noVBand="0" w:val="0020"/>
        <w:tblCaption w:val="Table 4.1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summer 2018, four 2-hour co-design workshops were carried out, with two phases as detailed in</w:t>
      </w:r>
      <w:r>
        <w:t xml:space="preserve"> </w:t>
      </w:r>
      <w:hyperlink w:anchor="table-4.1">
        <w:r>
          <w:rPr>
            <w:rStyle w:val="Hyperlink"/>
          </w:rPr>
          <w:t xml:space="preserve">Table 4.1</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29"/>
    <w:bookmarkStart w:id="33"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iCs/>
          <w:i/>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t xml:space="preserve">‘</w:t>
      </w:r>
      <w:r>
        <w:t xml:space="preserve">Families should always be able to talk to someone about their data.</w:t>
      </w:r>
      <w:r>
        <w:t xml:space="preserve">’</w:t>
      </w:r>
    </w:p>
    <w:p>
      <w:pPr>
        <w:pStyle w:val="FirstParagraph"/>
      </w:pPr>
      <w:r>
        <w:t xml:space="preserve">The complete list of sentences is in</w:t>
      </w:r>
      <w:r>
        <w:t xml:space="preserve"> </w:t>
      </w:r>
      <w:hyperlink w:anchor="ari-sentences">
        <w:r>
          <w:rPr>
            <w:rStyle w:val="Hyperlink"/>
          </w:rPr>
          <w:t xml:space="preserve">ARI4.2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ARI4.2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195712"/>
            <wp:effectExtent b="0" l="0" r="0" t="0"/>
            <wp:docPr descr="Figure 4.1 - Participants’ Shared Values Deduced from Sentence Rankings Data" title="" id="31" name="Picture"/>
            <a:graphic>
              <a:graphicData uri="http://schemas.openxmlformats.org/drawingml/2006/picture">
                <pic:pic>
                  <pic:nvPicPr>
                    <pic:cNvPr descr="./src/figs/fig4.1-sentence-ranking-results.png" id="32" name="Picture"/>
                    <pic:cNvPicPr>
                      <a:picLocks noChangeArrowheads="1" noChangeAspect="1"/>
                    </pic:cNvPicPr>
                  </pic:nvPicPr>
                  <pic:blipFill>
                    <a:blip r:embed="rId30"/>
                    <a:stretch>
                      <a:fillRect/>
                    </a:stretch>
                  </pic:blipFill>
                  <pic:spPr bwMode="auto">
                    <a:xfrm>
                      <a:off x="0" y="0"/>
                      <a:ext cx="5334000" cy="6195712"/>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1">
        <w:r>
          <w:rPr>
            <w:rStyle w:val="Hyperlink"/>
          </w:rPr>
          <w:t xml:space="preserve">Table 4.1</w:t>
        </w:r>
      </w:hyperlink>
      <w:r>
        <w:t xml:space="preserve">]. Transcripts of these activities were analysed to produce thematic findings, which are detailed in the next section.</w:t>
      </w:r>
    </w:p>
    <w:bookmarkEnd w:id="33"/>
    <w:bookmarkEnd w:id="34"/>
    <w:bookmarkStart w:id="40"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 or 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notation">
        <w:r>
          <w:rPr>
            <w:rStyle w:val="Hyperlink"/>
          </w:rPr>
          <w:t xml:space="preserve">ARI4.4</w:t>
        </w:r>
      </w:hyperlink>
      <w:r>
        <w:t xml:space="preserve">].</w:t>
      </w:r>
    </w:p>
    <w:bookmarkStart w:id="36"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t xml:space="preserve">Meaningful Data Interaction [</w:t>
      </w:r>
      <w:hyperlink w:anchor="X4bf33bfd9c3793655f2a19fca0ee1ca41e62e6e">
        <w:r>
          <w:rPr>
            <w:rStyle w:val="Hyperlink"/>
          </w:rPr>
          <w:t xml:space="preserve">4.3.2</w:t>
        </w:r>
      </w:hyperlink>
      <w:r>
        <w:t xml:space="preserve">],</w:t>
      </w:r>
    </w:p>
    <w:p>
      <w:pPr>
        <w:numPr>
          <w:ilvl w:val="0"/>
          <w:numId w:val="1007"/>
        </w:numPr>
        <w:pStyle w:val="Compact"/>
      </w:pPr>
      <w:r>
        <w:t xml:space="preserve">Giving a Voice to the Family [</w:t>
      </w:r>
      <w:hyperlink w:anchor="X7d362c1e174c59583bc075f9c4f790b095f0935">
        <w:r>
          <w:rPr>
            <w:rStyle w:val="Hyperlink"/>
          </w:rPr>
          <w:t xml:space="preserve">4.3.3</w:t>
        </w:r>
      </w:hyperlink>
      <w:r>
        <w:t xml:space="preserve">], and</w:t>
      </w:r>
    </w:p>
    <w:p>
      <w:pPr>
        <w:numPr>
          <w:ilvl w:val="0"/>
          <w:numId w:val="1007"/>
        </w:numPr>
        <w:pStyle w:val="Compact"/>
      </w:pPr>
      <w:r>
        <w:t xml:space="preserve">Earning Trust through Transparency [</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5"/>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4.2 -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2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w:t>
            </w:r>
            <w:r>
              <w:rPr>
                <w:iCs/>
                <w:i/>
              </w:rPr>
              <w:t xml:space="preserve"> </w:t>
            </w:r>
            <w:r>
              <w:rPr>
                <w:iCs/>
                <w:i/>
              </w:rPr>
              <w:t xml:space="preserve">“</w:t>
            </w:r>
            <w:r>
              <w:rPr>
                <w:iCs/>
                <w:i/>
              </w:rPr>
              <w:t xml:space="preserve">This is where you are now but if you [take these specific steps], even though you’ve got a criminal record, you could progress to this level.</w:t>
            </w:r>
            <w:r>
              <w:rPr>
                <w:iCs/>
                <w:i/>
              </w:rPr>
              <w:t xml:space="preserve">”</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4.3 -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3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w:t>
            </w:r>
            <w:r>
              <w:rPr>
                <w:iCs/>
                <w:i/>
              </w:rPr>
              <w:t xml:space="preserve">You should never make a judgement on data… that data could be wrong.</w:t>
            </w:r>
            <w:r>
              <w:rPr>
                <w:iCs/>
                <w:i/>
              </w:rPr>
              <w:t xml:space="preserve">’</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4.4 -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4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6"/>
    <w:bookmarkStart w:id="37"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p>
      <w:pPr>
        <w:pStyle w:val="BodyText"/>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rPr>
          <w:iCs/>
          <w:i/>
        </w:rPr>
        <w:t xml:space="preserve">findable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t xml:space="preserve">‘</w:t>
      </w:r>
      <w:r>
        <w:t xml:space="preserve">trawl through data</w:t>
      </w:r>
      <w: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effective data use for everyone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lock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—[Worker, SQ28]</w:t>
      </w:r>
    </w:p>
    <w:p>
      <w:pPr>
        <w:pStyle w:val="FirstParagraph"/>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2">
        <w:r>
          <w:rPr>
            <w:rStyle w:val="Hyperlink"/>
          </w:rPr>
          <w:t xml:space="preserve">Table 4.2</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p>
    <w:p>
      <w:pPr>
        <w:pStyle w:val="BlockText"/>
      </w:pPr>
      <w:r>
        <w:rPr>
          <w:iCs/>
          <w:i/>
        </w:rPr>
        <w:t xml:space="preserve">‘</w:t>
      </w:r>
      <w:r>
        <w:rPr>
          <w:iCs/>
          <w:i/>
        </w:rPr>
        <w:t xml:space="preserve">They could quickly tap onto the app […] and show somebody else where they’re at.</w:t>
      </w:r>
      <w:r>
        <w:rPr>
          <w:iCs/>
          <w:i/>
        </w:rPr>
        <w:t xml:space="preserve">’</w:t>
      </w:r>
      <w:r>
        <w:t xml:space="preserve">—[SQ54]</w:t>
      </w:r>
    </w:p>
    <w:p>
      <w:pPr>
        <w:pStyle w:val="Block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—[Parent, FQ7]</w:t>
      </w:r>
    </w:p>
    <w:p>
      <w:pPr>
        <w:pStyle w:val="FirstParagraph"/>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p>
    <w:p>
      <w:pPr>
        <w:pStyle w:val="BlockText"/>
      </w:pP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—[SQ8]</w:t>
      </w:r>
    </w:p>
    <w:p>
      <w:pPr>
        <w:pStyle w:val="FirstParagraph"/>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lock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 that they feel they’re being judged on.</w:t>
      </w:r>
      <w:r>
        <w:rPr>
          <w:iCs/>
          <w:i/>
        </w:rPr>
        <w:t xml:space="preserve">’</w:t>
      </w:r>
      <w:r>
        <w:t xml:space="preserve">—[Worker, CQ13]</w:t>
      </w:r>
    </w:p>
    <w:p>
      <w:pPr>
        <w:pStyle w:val="FirstParagraph"/>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lock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FirstParagraph"/>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lock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-[Worker, SQ49]</w:t>
      </w:r>
    </w:p>
    <w:p>
      <w:pPr>
        <w:pStyle w:val="FirstParagraph"/>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7"/>
    <w:bookmarkStart w:id="38"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EH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p>
    <w:p>
      <w:pPr>
        <w:pStyle w:val="BlockText"/>
      </w:pPr>
      <w:r>
        <w:rPr>
          <w:iCs/>
          <w:i/>
        </w:rPr>
        <w:t xml:space="preserve">’I had a family where trying to unpick what had happened, over ten years, to the child, was really difficult. So, I went away, got the information and came back and if you have</w:t>
      </w:r>
      <w:r>
        <w:t xml:space="preserve"> </w:t>
      </w:r>
      <w:r>
        <w:t xml:space="preserve">[…]</w:t>
      </w:r>
      <w:r>
        <w:t xml:space="preserve"> </w:t>
      </w:r>
      <w:r>
        <w:rPr>
          <w:iCs/>
          <w:i/>
        </w:rPr>
        <w:t xml:space="preserve">that picture of how the family works</w:t>
      </w:r>
      <w:r>
        <w:t xml:space="preserve"> </w:t>
      </w:r>
      <w:r>
        <w:t xml:space="preserve">[when you meet them]</w:t>
      </w:r>
      <w:r>
        <w:rPr>
          <w:iCs/>
          <w:i/>
        </w:rPr>
        <w:t xml:space="preserve">,</w:t>
      </w:r>
      <w:r>
        <w:t xml:space="preserve"> </w:t>
      </w:r>
      <w:r>
        <w:t xml:space="preserve">[that helps]</w:t>
      </w:r>
      <w:r>
        <w:rPr>
          <w:iCs/>
          <w:i/>
        </w:rPr>
        <w:t xml:space="preserve">.’</w:t>
      </w:r>
      <w:r>
        <w:t xml:space="preserve">—[SQ1]</w:t>
      </w:r>
    </w:p>
    <w:p>
      <w:pPr>
        <w:pStyle w:val="FirstParagraph"/>
      </w:pP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p>
    <w:p>
      <w:pPr>
        <w:pStyle w:val="BlockText"/>
      </w:pP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—[Worker, SQ61]</w:t>
      </w:r>
    </w:p>
    <w:p>
      <w:pPr>
        <w:pStyle w:val="FirstParagraph"/>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bCs/>
          <w:b/>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lockText"/>
      </w:pPr>
      <w:r>
        <w:rPr>
          <w:iCs/>
          <w:i/>
        </w:rPr>
        <w:t xml:space="preserve">“</w:t>
      </w:r>
      <w:r>
        <w:t xml:space="preserve">[There would be an]</w:t>
      </w:r>
      <w:r>
        <w:t xml:space="preserve"> </w:t>
      </w:r>
      <w:r>
        <w:rPr>
          <w:iCs/>
          <w:i/>
        </w:rPr>
        <w:t xml:space="preserve">individual view where each person within the family would have their own section</w:t>
      </w:r>
      <w:r>
        <w:t xml:space="preserve"> </w:t>
      </w:r>
      <w:r>
        <w:t xml:space="preserve">[…]</w:t>
      </w:r>
      <w:r>
        <w:t xml:space="preserve"> </w:t>
      </w:r>
      <w:r>
        <w:rPr>
          <w:iCs/>
          <w:i/>
        </w:rPr>
        <w:t xml:space="preserve">you could sit with them</w:t>
      </w:r>
      <w:r>
        <w:t xml:space="preserve"> </w:t>
      </w:r>
      <w:r>
        <w:t xml:space="preserve">[…]</w:t>
      </w:r>
      <w:r>
        <w:t xml:space="preserve"> </w:t>
      </w:r>
      <w:r>
        <w:rPr>
          <w:iCs/>
          <w:i/>
        </w:rPr>
        <w:t xml:space="preserve">and go through the data that we have got which would enable them to change anything that they want taken out.”</w:t>
      </w:r>
      <w:r>
        <w:t xml:space="preserve">—[Worker, SQ66]</w:t>
      </w:r>
    </w:p>
    <w:p>
      <w:pPr>
        <w:pStyle w:val="FirstParagraph"/>
      </w:pPr>
      <w:r>
        <w:t xml:space="preserve">Shared data interaction carries the potential to bring benefits in accountability, accuracy, simplicity [SQ25, SQ26] and consent.</w:t>
      </w:r>
    </w:p>
    <w:p>
      <w:pPr>
        <w:pStyle w:val="BodyText"/>
      </w:pPr>
      <w:r>
        <w:rPr>
          <w:bCs/>
          <w:b/>
        </w:rP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lockText"/>
      </w:pPr>
      <w:r>
        <w:t xml:space="preserve">Worker A:</w:t>
      </w:r>
      <w:r>
        <w:t xml:space="preserve"> </w:t>
      </w:r>
      <w:r>
        <w:rPr>
          <w:iCs/>
          <w:i/>
        </w:rPr>
        <w:t xml:space="preserve">‘</w:t>
      </w:r>
      <w:r>
        <w:rPr>
          <w:iCs/>
          <w:i/>
        </w:rPr>
        <w:t xml:space="preserve">We would get a report through to say…</w:t>
      </w:r>
      <w:r>
        <w:rPr>
          <w:iCs/>
          <w:i/>
        </w:rPr>
        <w:t xml:space="preserve">’</w:t>
      </w:r>
      <w:r>
        <w:rPr>
          <w:iCs/>
          <w:i/>
        </w:rPr>
        <w:t xml:space="preserve">“</w:t>
      </w:r>
      <w:r>
        <w:t xml:space="preserve">Worker B:</w:t>
      </w:r>
      <w:r>
        <w:t xml:space="preserve"> </w:t>
      </w:r>
      <w:r>
        <w:rPr>
          <w:iCs/>
          <w:i/>
        </w:rPr>
        <w:t xml:space="preserve">‘</w:t>
      </w:r>
      <w:r>
        <w:rPr>
          <w:iCs/>
          <w:i/>
        </w:rPr>
        <w:t xml:space="preserve">They’ve recorded something.</w:t>
      </w:r>
      <w:r>
        <w:rPr>
          <w:iCs/>
          <w:i/>
        </w:rPr>
        <w:t xml:space="preserve">’</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—[SQ65]</w:t>
      </w:r>
    </w:p>
    <w:p>
      <w:pPr>
        <w:pStyle w:val="FirstParagraph"/>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lock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FirstParagraph"/>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lock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FirstParagraph"/>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3">
        <w:r>
          <w:rPr>
            <w:rStyle w:val="Hyperlink"/>
          </w:rPr>
          <w:t xml:space="preserve">Table 4.3</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lock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Worker B:</w:t>
      </w:r>
      <w:r>
        <w:t xml:space="preserve"> </w:t>
      </w:r>
      <w:r>
        <w:rPr>
          <w:iCs/>
          <w:i/>
        </w:rPr>
        <w:t xml:space="preserve">‘</w:t>
      </w:r>
      <w:r>
        <w:rPr>
          <w:iCs/>
          <w:i/>
        </w:rPr>
        <w:t xml:space="preserve">I think it’s confidential.</w:t>
      </w:r>
      <w:r>
        <w:rPr>
          <w:iCs/>
          <w:i/>
        </w:rPr>
        <w:t xml:space="preserve">’</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—[SQ53]</w:t>
      </w:r>
    </w:p>
    <w:p>
      <w:pPr>
        <w:pStyle w:val="FirstParagraph"/>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lock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—[Parent, FQ8]</w:t>
      </w:r>
    </w:p>
    <w:p>
      <w:pPr>
        <w:pStyle w:val="FirstParagraph"/>
      </w:pPr>
      <w:r>
        <w:t xml:space="preserve">Theme 2 shows see that giving families a role in the creation and stewardship of their data selves may unlock new capabilities and a sense of empowerment for families.</w:t>
      </w:r>
    </w:p>
    <w:bookmarkEnd w:id="38"/>
    <w:bookmarkStart w:id="39"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lockText"/>
      </w:pPr>
      <w:r>
        <w:rPr>
          <w:iCs/>
          <w:i/>
        </w:rPr>
        <w:t xml:space="preserve">‘</w:t>
      </w:r>
      <w:r>
        <w:rPr>
          <w:iCs/>
          <w:i/>
        </w:rPr>
        <w:t xml:space="preserve">I think that [families] have got a right to know what is held about them and what is said about them.</w:t>
      </w:r>
      <w:r>
        <w:rPr>
          <w:iCs/>
          <w:i/>
        </w:rPr>
        <w:t xml:space="preserve">’</w:t>
      </w:r>
      <w:r>
        <w:t xml:space="preserve">—[Worker, SQ50]</w:t>
      </w:r>
    </w:p>
    <w:p>
      <w:pPr>
        <w:pStyle w:val="FirstParagraph"/>
      </w:pPr>
      <w:r>
        <w:t xml:space="preserve">Even for data that would itself would be considered uncontroversial, a lack of awareness to that data or a lack of transparency on how data is informing judgements can cause great worry to families:</w:t>
      </w:r>
    </w:p>
    <w:p>
      <w:pPr>
        <w:pStyle w:val="BlockText"/>
      </w:pPr>
      <w:r>
        <w:rPr>
          <w:iCs/>
          <w:i/>
        </w:rPr>
        <w:t xml:space="preserve">‘</w:t>
      </w:r>
      <w:r>
        <w:rPr>
          <w:iCs/>
          <w:i/>
        </w:rPr>
        <w:t xml:space="preserve">Some people that I’ve worked with, I think as soon as they know you’re holding information about them they get really tight and [say],</w:t>
      </w:r>
      <w:r>
        <w:rPr>
          <w:iCs/>
          <w:i/>
        </w:rPr>
        <w:t xml:space="preserve"> </w:t>
      </w:r>
      <w:r>
        <w:rPr>
          <w:iCs/>
          <w:i/>
        </w:rPr>
        <w:t xml:space="preserve">“</w:t>
      </w:r>
      <w:r>
        <w:rPr>
          <w:iCs/>
          <w:i/>
        </w:rPr>
        <w:t xml:space="preserve">What are you holding about me?</w:t>
      </w:r>
      <w:r>
        <w:rPr>
          <w:iCs/>
          <w:i/>
        </w:rPr>
        <w:t xml:space="preserve">”</w:t>
      </w:r>
      <w:r>
        <w:rPr>
          <w:iCs/>
          <w:i/>
        </w:rPr>
        <w:t xml:space="preserve"> </w:t>
      </w:r>
      <w:r>
        <w:rPr>
          <w:iCs/>
          <w:i/>
        </w:rPr>
        <w:t xml:space="preserve">[…] They don’t like people knowing what’s going on in their lives.</w:t>
      </w:r>
      <w:r>
        <w:rPr>
          <w:iCs/>
          <w:i/>
        </w:rPr>
        <w:t xml:space="preserve">’</w:t>
      </w:r>
      <w:r>
        <w:t xml:space="preserve">—[Worker, SQ70]</w:t>
      </w:r>
    </w:p>
    <w:p>
      <w:pPr>
        <w:pStyle w:val="FirstParagraph"/>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lock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—[Parent, CQ3]</w:t>
      </w:r>
    </w:p>
    <w:p>
      <w:pPr>
        <w:pStyle w:val="FirstParagraph"/>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lockText"/>
      </w:pP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t xml:space="preserve">—[Parent, CQ7]</w:t>
      </w:r>
    </w:p>
    <w:p>
      <w:pPr>
        <w:pStyle w:val="FirstParagraph"/>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completer and more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lock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Child:</w:t>
      </w:r>
      <w:r>
        <w:t xml:space="preserve"> </w:t>
      </w:r>
      <w:r>
        <w:rPr>
          <w:iCs/>
          <w:i/>
        </w:rPr>
        <w:t xml:space="preserve">‘</w:t>
      </w:r>
      <w:r>
        <w:rPr>
          <w:iCs/>
          <w:i/>
        </w:rPr>
        <w:t xml:space="preserve">That’s my life.</w:t>
      </w:r>
      <w:r>
        <w:rPr>
          <w:iCs/>
          <w:i/>
        </w:rPr>
        <w:t xml:space="preserve">’</w:t>
      </w:r>
      <w:r>
        <w:t xml:space="preserve">—[FQ2]</w:t>
      </w:r>
    </w:p>
    <w:p>
      <w:pPr>
        <w:pStyle w:val="FirstParagraph"/>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lock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—[CQ6]</w:t>
      </w:r>
    </w:p>
    <w:p>
      <w:pPr>
        <w:pStyle w:val="FirstParagraph"/>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lock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Researcher:</w:t>
      </w:r>
      <w:r>
        <w:t xml:space="preserve"> </w:t>
      </w:r>
      <w:r>
        <w:rPr>
          <w:iCs/>
          <w:i/>
        </w:rPr>
        <w:t xml:space="preserve">‘</w:t>
      </w:r>
      <w:r>
        <w:rPr>
          <w:iCs/>
          <w:i/>
        </w:rPr>
        <w:t xml:space="preserve">Regardless of what they say?</w:t>
      </w:r>
      <w:r>
        <w:rPr>
          <w:iCs/>
          <w:i/>
        </w:rPr>
        <w:t xml:space="preserve">’</w:t>
      </w:r>
      <w:r>
        <w:t xml:space="preserve">Worker A:</w:t>
      </w:r>
      <w:r>
        <w:t xml:space="preserve"> </w:t>
      </w:r>
      <w:r>
        <w:rPr>
          <w:iCs/>
          <w:i/>
        </w:rPr>
        <w:t xml:space="preserve">‘</w:t>
      </w:r>
      <w:r>
        <w:rPr>
          <w:iCs/>
          <w:i/>
        </w:rPr>
        <w:t xml:space="preserve">I do, yes.</w:t>
      </w:r>
      <w:r>
        <w:rPr>
          <w:iCs/>
          <w:i/>
        </w:rPr>
        <w:t xml:space="preserve">’</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—[SQ22]</w:t>
      </w:r>
    </w:p>
    <w:p>
      <w:pPr>
        <w:pStyle w:val="FirstParagraph"/>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39"/>
    <w:bookmarkEnd w:id="40"/>
    <w:bookmarkStart w:id="47"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w:t>
      </w:r>
      <w:hyperlink w:anchor="RQ1">
        <w:r>
          <w:rPr>
            <w:rStyle w:val="Hyperlink"/>
          </w:rPr>
          <w:t xml:space="preserve">RQ1</w:t>
        </w:r>
      </w:hyperlink>
      <w:r>
        <w:t xml:space="preserve">] and the role of data within EH relationships [</w:t>
      </w:r>
      <w:hyperlink w:anchor="RQ2">
        <w:r>
          <w:rPr>
            <w:rStyle w:val="Hyperlink"/>
          </w:rPr>
          <w:t xml:space="preserve">RQ2</w:t>
        </w:r>
      </w:hyperlink>
      <w:r>
        <w:t xml:space="preserve">]. This section discusses three implications:</w:t>
      </w:r>
    </w:p>
    <w:p>
      <w:pPr>
        <w:numPr>
          <w:ilvl w:val="0"/>
          <w:numId w:val="1009"/>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09"/>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09"/>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1"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dynamic consent</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rPr>
          <w:iCs/>
          <w:i/>
        </w:rPr>
        <w:t xml:space="preserve">‘</w:t>
      </w:r>
      <w:r>
        <w:rPr>
          <w:iCs/>
          <w:i/>
        </w:rPr>
        <w:t xml:space="preserve">missing something important</w:t>
      </w:r>
      <w:r>
        <w:rPr>
          <w:iCs/>
          <w:i/>
        </w:rP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EHR to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lock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1"/>
    <w:bookmarkStart w:id="42"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Lecluijze</w:t>
      </w:r>
      <w:r>
        <w:t xml:space="preserve"> </w:t>
      </w:r>
      <w:r>
        <w:rPr>
          <w:iCs/>
          <w:i/>
        </w:rPr>
        <w:t xml:space="preserve">et al.</w:t>
      </w:r>
      <w:r>
        <w:t xml:space="preserve"> </w:t>
      </w:r>
      <w:r>
        <w:t xml:space="preserve">(</w:t>
      </w:r>
      <w:hyperlink w:anchor="ref-lecluijze2015">
        <w:r>
          <w:rPr>
            <w:rStyle w:val="Hyperlink"/>
          </w:rPr>
          <w:t xml:space="preserve">2015</w:t>
        </w:r>
      </w:hyperlink>
      <w:r>
        <w:t xml:space="preserve">)</w:t>
      </w:r>
    </w:p>
    <w:bookmarkEnd w:id="42"/>
    <w:bookmarkStart w:id="46" w:name="X8a50e98458a9c28886ed15ffb2cc666b2d3d49b"/>
    <w:p>
      <w:pPr>
        <w:pStyle w:val="Heading3"/>
      </w:pPr>
      <w:r>
        <w:rPr>
          <w:rStyle w:val="SectionNumber"/>
        </w:rPr>
        <w:t xml:space="preserve">1.4.3</w:t>
      </w:r>
      <w:r>
        <w:tab/>
      </w:r>
      <w:r>
        <w:t xml:space="preserve">Shifting the Locus of Decision Making Through Shared Data Interaction</w:t>
      </w:r>
    </w:p>
    <w:p>
      <w:pPr>
        <w:pStyle w:val="FirstParagraph"/>
      </w:pPr>
      <w:r>
        <w:t xml:space="preserve">In pursuit of</w:t>
      </w:r>
      <w:r>
        <w:t xml:space="preserve"> </w:t>
      </w:r>
      <w:hyperlink w:anchor="RQ2">
        <w:r>
          <w:rPr>
            <w:rStyle w:val="Hyperlink"/>
          </w:rPr>
          <w:t xml:space="preserve">RQ2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4" name="Picture"/>
            <a:graphic>
              <a:graphicData uri="http://schemas.openxmlformats.org/drawingml/2006/picture">
                <pic:pic>
                  <pic:nvPicPr>
                    <pic:cNvPr descr="./src/figs/fig4.2-shifting-locus.png" id="45" name="Picture"/>
                    <pic:cNvPicPr>
                      <a:picLocks noChangeArrowheads="1" noChangeAspect="1"/>
                    </pic:cNvPicPr>
                  </pic:nvPicPr>
                  <pic:blipFill>
                    <a:blip r:embed="rId43"/>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w:t>
      </w:r>
      <w:r>
        <w:t xml:space="preserve"> </w:t>
      </w:r>
      <w:r>
        <w:t xml:space="preserve">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the remainder of this subsection will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t xml:space="preserve">[Data-centric citizen interaction]</w:t>
      </w:r>
      <w:r>
        <w:t xml:space="preserve"> </w:t>
      </w:r>
      <w:r>
        <w:rPr>
          <w:iCs/>
          <w:i/>
        </w:rPr>
        <w:t xml:space="preserve">is no longer a technological necessity, but it has become a political intention.’</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6"/>
    <w:bookmarkEnd w:id="47"/>
    <w:bookmarkStart w:id="48"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0"/>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0"/>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0"/>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0"/>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0"/>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giving the family a role could be very powerful, because visible data processing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r>
        <w:t xml:space="preserve">[</w:t>
      </w:r>
      <w:hyperlink w:anchor="figure-4.1">
        <w:r>
          <w:rPr>
            <w:rStyle w:val="Hyperlink"/>
          </w:rPr>
          <w:t xml:space="preserve">Figure 4.1</w:t>
        </w:r>
      </w:hyperlink>
      <w:r>
        <w:t xml:space="preserve">] informs</w:t>
      </w:r>
      <w:r>
        <w:t xml:space="preserve"> </w:t>
      </w:r>
      <w:hyperlink w:anchor="RQ1">
        <w:r>
          <w:rPr>
            <w:rStyle w:val="Hyperlink"/>
          </w:rPr>
          <w:t xml:space="preserve">RQ1</w:t>
        </w:r>
      </w:hyperlink>
      <w:r>
        <w:t xml:space="preserve">, showing perspectives upon family civic data and practices. The thematic analysis [</w:t>
      </w:r>
      <w:hyperlink w:anchor="X5d05199b7d43b0bd203a9cf2e8e874dad4ff45f">
        <w:r>
          <w:rPr>
            <w:rStyle w:val="Hyperlink"/>
          </w:rPr>
          <w:t xml:space="preserve">4.3</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practices would improve families’ engagement and the support they receive. These proposed practices, as well as the shared data interaction approach, challenge the status quo and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48"/>
    <w:bookmarkEnd w:id="49"/>
    <w:bookmarkStart w:id="147" w:name="bibliography"/>
    <w:p>
      <w:pPr>
        <w:pStyle w:val="Heading1"/>
      </w:pPr>
      <w:r>
        <w:t xml:space="preserve">Bibliography</w:t>
      </w:r>
    </w:p>
    <w:bookmarkStart w:id="146" w:name="refs"/>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2"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2"/>
    <w:bookmarkStart w:id="53" w:name="ref-bate2018"/>
    <w:p>
      <w:pPr>
        <w:pStyle w:val="Bibliography"/>
      </w:pPr>
      <w:r>
        <w:t xml:space="preserve">Bate, A. and Bellis, A. (2018)</w:t>
      </w:r>
      <w:r>
        <w:t xml:space="preserve"> </w:t>
      </w:r>
      <w:r>
        <w:rPr>
          <w:iCs/>
          <w:i/>
        </w:rPr>
        <w:t xml:space="preserve">The Troubled Families programme ( England )</w:t>
      </w:r>
      <w:r>
        <w:t xml:space="preserve">. July.</w:t>
      </w:r>
    </w:p>
    <w:bookmarkEnd w:id="53"/>
    <w:bookmarkStart w:id="5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5"/>
    <w:bookmarkStart w:id="5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6">
        <w:r>
          <w:rPr>
            <w:rStyle w:val="Hyperlink"/>
          </w:rPr>
          <w:t xml:space="preserve">10.1145/3173574.3173710</w:t>
        </w:r>
      </w:hyperlink>
      <w:r>
        <w:t xml:space="preserve">.</w:t>
      </w:r>
    </w:p>
    <w:bookmarkEnd w:id="57"/>
    <w:bookmarkStart w:id="59"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8">
        <w:r>
          <w:rPr>
            <w:rStyle w:val="Hyperlink"/>
          </w:rPr>
          <w:t xml:space="preserve">10.1145/3290607.3312998</w:t>
        </w:r>
      </w:hyperlink>
      <w:r>
        <w:t xml:space="preserve">.</w:t>
      </w:r>
    </w:p>
    <w:bookmarkEnd w:id="59"/>
    <w:bookmarkStart w:id="6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0">
        <w:r>
          <w:rPr>
            <w:rStyle w:val="Hyperlink"/>
          </w:rPr>
          <w:t xml:space="preserve">10.1145/1011870.1011885</w:t>
        </w:r>
      </w:hyperlink>
      <w:r>
        <w:t xml:space="preserve">.</w:t>
      </w:r>
    </w:p>
    <w:bookmarkEnd w:id="61"/>
    <w:bookmarkStart w:id="6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2">
        <w:r>
          <w:rPr>
            <w:rStyle w:val="Hyperlink"/>
          </w:rPr>
          <w:t xml:space="preserve">10.1080/2373566x.2016.1237858</w:t>
        </w:r>
      </w:hyperlink>
      <w:r>
        <w:t xml:space="preserve">.</w:t>
      </w:r>
    </w:p>
    <w:bookmarkEnd w:id="63"/>
    <w:bookmarkStart w:id="65"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4">
        <w:r>
          <w:rPr>
            <w:rStyle w:val="Hyperlink"/>
          </w:rPr>
          <w:t xml:space="preserve">www.policyexchange.org.uk https://policyexchange.org.uk/publication/small-pieces-loosely-joined-how-smarter-use-of-technology-and-data-can-deliver-real-reform-of-local-government/</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8"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68"/>
    <w:bookmarkStart w:id="7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9">
        <w:r>
          <w:rPr>
            <w:rStyle w:val="Hyperlink"/>
          </w:rPr>
          <w:t xml:space="preserve">10.2139/ssrn.2874312</w:t>
        </w:r>
      </w:hyperlink>
      <w:r>
        <w:t xml:space="preserve">.</w:t>
      </w:r>
    </w:p>
    <w:bookmarkEnd w:id="70"/>
    <w:bookmarkStart w:id="71"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1"/>
    <w:bookmarkStart w:id="73"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2">
        <w:r>
          <w:rPr>
            <w:rStyle w:val="Hyperlink"/>
          </w:rPr>
          <w:t xml:space="preserve">10.1017/S1474746416000476</w:t>
        </w:r>
      </w:hyperlink>
      <w:r>
        <w:t xml:space="preserve">.</w:t>
      </w:r>
    </w:p>
    <w:bookmarkEnd w:id="73"/>
    <w:bookmarkStart w:id="75"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4">
        <w:r>
          <w:rPr>
            <w:rStyle w:val="Hyperlink"/>
          </w:rPr>
          <w:t xml:space="preserve">10.1080/13561820020003919</w:t>
        </w:r>
      </w:hyperlink>
      <w:r>
        <w:t xml:space="preserve">.</w:t>
      </w:r>
    </w:p>
    <w:bookmarkEnd w:id="75"/>
    <w:bookmarkStart w:id="76"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6"/>
    <w:bookmarkStart w:id="78"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7">
        <w:r>
          <w:rPr>
            <w:rStyle w:val="Hyperlink"/>
          </w:rPr>
          <w:t xml:space="preserve">10.24908/ss.v12i2.4776</w:t>
        </w:r>
      </w:hyperlink>
      <w:r>
        <w:t xml:space="preserve">.</w:t>
      </w:r>
    </w:p>
    <w:bookmarkEnd w:id="78"/>
    <w:bookmarkStart w:id="79"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79"/>
    <w:bookmarkStart w:id="81"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0">
        <w:r>
          <w:rPr>
            <w:rStyle w:val="Hyperlink"/>
          </w:rPr>
          <w:t xml:space="preserve">www.frankfield.co.uk http://www.inspiredbybabies.org.uk/Page2NationalrelevantDocsresources/Frank Field Preventing poor children becoming poor adults 2011.pdf</w:t>
        </w:r>
      </w:hyperlink>
      <w:r>
        <w:t xml:space="preserve">.</w:t>
      </w:r>
    </w:p>
    <w:bookmarkEnd w:id="81"/>
    <w:bookmarkStart w:id="83"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2">
        <w:r>
          <w:rPr>
            <w:rStyle w:val="Hyperlink"/>
          </w:rPr>
          <w:t xml:space="preserve">https://researchbriefings.files.parliament.uk/documents/SN05171/SN05171.pdf</w:t>
        </w:r>
      </w:hyperlink>
      <w:r>
        <w:t xml:space="preserve">.</w:t>
      </w:r>
    </w:p>
    <w:bookmarkEnd w:id="83"/>
    <w:bookmarkStart w:id="85"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4">
        <w:r>
          <w:rPr>
            <w:rStyle w:val="Hyperlink"/>
          </w:rPr>
          <w:t xml:space="preserve">https://mitpress.mit.edu/books/raw-data-oxymoron</w:t>
        </w:r>
      </w:hyperlink>
      <w:r>
        <w:t xml:space="preserve">.</w:t>
      </w:r>
    </w:p>
    <w:bookmarkEnd w:id="85"/>
    <w:bookmarkStart w:id="87"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6">
        <w:r>
          <w:rPr>
            <w:rStyle w:val="Hyperlink"/>
          </w:rPr>
          <w:t xml:space="preserve">10.5210/fm.v16i2.3316</w:t>
        </w:r>
      </w:hyperlink>
      <w:r>
        <w:t xml:space="preserve">.</w:t>
      </w:r>
    </w:p>
    <w:bookmarkEnd w:id="87"/>
    <w:bookmarkStart w:id="89"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8">
        <w:r>
          <w:rPr>
            <w:rStyle w:val="Hyperlink"/>
          </w:rPr>
          <w:t xml:space="preserve">http://www.cs.ucl.ac.uk/research/researchnotes/documents/RN_06_11.pdf</w:t>
        </w:r>
      </w:hyperlink>
      <w:r>
        <w:t xml:space="preserve">.</w:t>
      </w:r>
    </w:p>
    <w:bookmarkEnd w:id="89"/>
    <w:bookmarkStart w:id="91"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0">
        <w:r>
          <w:rPr>
            <w:rStyle w:val="Hyperlink"/>
          </w:rPr>
          <w:t xml:space="preserve">10.1109/ISTAFRICA.2016.7530615</w:t>
        </w:r>
      </w:hyperlink>
      <w:r>
        <w:t xml:space="preserve">.</w:t>
      </w:r>
    </w:p>
    <w:bookmarkEnd w:id="91"/>
    <w:bookmarkStart w:id="92"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2"/>
    <w:bookmarkStart w:id="93" w:name="ref-honeyman2016"/>
    <w:p>
      <w:pPr>
        <w:pStyle w:val="Bibliography"/>
      </w:pPr>
      <w:r>
        <w:t xml:space="preserve">Honeyman, M., Dunn, P. and Mckenna, H. (2016)</w:t>
      </w:r>
      <w:r>
        <w:t xml:space="preserve"> </w:t>
      </w:r>
      <w:r>
        <w:rPr>
          <w:iCs/>
          <w:i/>
        </w:rPr>
        <w:t xml:space="preserve">A digital NHS?</w:t>
      </w:r>
    </w:p>
    <w:bookmarkEnd w:id="93"/>
    <w:bookmarkStart w:id="9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4"/>
    <w:bookmarkStart w:id="9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5">
        <w:r>
          <w:rPr>
            <w:rStyle w:val="Hyperlink"/>
          </w:rPr>
          <w:t xml:space="preserve">10.1016/j.pec.2010.10.011</w:t>
        </w:r>
      </w:hyperlink>
      <w:r>
        <w:t xml:space="preserve">.</w:t>
      </w:r>
    </w:p>
    <w:bookmarkEnd w:id="96"/>
    <w:bookmarkStart w:id="9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7">
        <w:r>
          <w:rPr>
            <w:rStyle w:val="Hyperlink"/>
          </w:rPr>
          <w:t xml:space="preserve">10.4018/978-1-59140-575-7.ch032</w:t>
        </w:r>
      </w:hyperlink>
      <w:r>
        <w:t xml:space="preserve">.</w:t>
      </w:r>
    </w:p>
    <w:bookmarkEnd w:id="98"/>
    <w:bookmarkStart w:id="10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9">
        <w:r>
          <w:rPr>
            <w:rStyle w:val="Hyperlink"/>
          </w:rPr>
          <w:t xml:space="preserve">10.1038/ejhg.2014.71</w:t>
        </w:r>
      </w:hyperlink>
      <w:r>
        <w:t xml:space="preserve">.</w:t>
      </w:r>
    </w:p>
    <w:bookmarkEnd w:id="100"/>
    <w:bookmarkStart w:id="10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1">
        <w:r>
          <w:rPr>
            <w:rStyle w:val="Hyperlink"/>
          </w:rPr>
          <w:t xml:space="preserve">https://www.jstor.org/stable/pdf/2352107.pdf?refreqid=excelsior%3A24bde6bf7de0eccf42c6ea11f8446d38</w:t>
        </w:r>
      </w:hyperlink>
      <w:r>
        <w:t xml:space="preserve">.</w:t>
      </w:r>
    </w:p>
    <w:bookmarkEnd w:id="102"/>
    <w:bookmarkStart w:id="10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3">
        <w:r>
          <w:rPr>
            <w:rStyle w:val="Hyperlink"/>
          </w:rPr>
          <w:t xml:space="preserve">10.3389/fpubh.2015.00134</w:t>
        </w:r>
      </w:hyperlink>
      <w:r>
        <w:t xml:space="preserve">.</w:t>
      </w:r>
    </w:p>
    <w:bookmarkEnd w:id="104"/>
    <w:bookmarkStart w:id="10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5">
        <w:r>
          <w:rPr>
            <w:rStyle w:val="Hyperlink"/>
          </w:rPr>
          <w:t xml:space="preserve">https://www.socwork.net/sws/article/view/503/1007</w:t>
        </w:r>
      </w:hyperlink>
      <w:r>
        <w:t xml:space="preserve">.</w:t>
      </w:r>
    </w:p>
    <w:bookmarkEnd w:id="106"/>
    <w:bookmarkStart w:id="10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7">
        <w:r>
          <w:rPr>
            <w:rStyle w:val="Hyperlink"/>
          </w:rPr>
          <w:t xml:space="preserve">10.1016/j.childyouth.2015.07.003</w:t>
        </w:r>
      </w:hyperlink>
      <w:r>
        <w:t xml:space="preserve">.</w:t>
      </w:r>
    </w:p>
    <w:bookmarkEnd w:id="108"/>
    <w:bookmarkStart w:id="109"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09"/>
    <w:bookmarkStart w:id="110"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0"/>
    <w:bookmarkStart w:id="11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1">
        <w:r>
          <w:rPr>
            <w:rStyle w:val="Hyperlink"/>
          </w:rPr>
          <w:t xml:space="preserve">10.1145/2493432.2493446</w:t>
        </w:r>
      </w:hyperlink>
      <w:r>
        <w:t xml:space="preserve">.</w:t>
      </w:r>
    </w:p>
    <w:bookmarkEnd w:id="112"/>
    <w:bookmarkStart w:id="114"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3">
        <w:r>
          <w:rPr>
            <w:rStyle w:val="Hyperlink"/>
          </w:rPr>
          <w:t xml:space="preserve">10.1002/poi3.141</w:t>
        </w:r>
      </w:hyperlink>
      <w:r>
        <w:t xml:space="preserve">.</w:t>
      </w:r>
    </w:p>
    <w:bookmarkEnd w:id="114"/>
    <w:bookmarkStart w:id="115"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5"/>
    <w:bookmarkStart w:id="116"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6"/>
    <w:bookmarkStart w:id="118"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7">
        <w:r>
          <w:rPr>
            <w:rStyle w:val="Hyperlink"/>
          </w:rPr>
          <w:t xml:space="preserve">10.2139/ssrn.2508051</w:t>
        </w:r>
      </w:hyperlink>
      <w:r>
        <w:t xml:space="preserve">.</w:t>
      </w:r>
    </w:p>
    <w:bookmarkEnd w:id="118"/>
    <w:bookmarkStart w:id="120"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9">
        <w:r>
          <w:rPr>
            <w:rStyle w:val="Hyperlink"/>
          </w:rPr>
          <w:t xml:space="preserve">10.1089/big.2013.0029</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3"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3"/>
    <w:bookmarkStart w:id="124"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4"/>
    <w:bookmarkStart w:id="126"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5">
        <w:r>
          <w:rPr>
            <w:rStyle w:val="Hyperlink"/>
          </w:rPr>
          <w:t xml:space="preserve">https://blog.okfn.org/2011/03/31/building-the-open-data-ecosystem/</w:t>
        </w:r>
      </w:hyperlink>
      <w:r>
        <w:t xml:space="preserve"> </w:t>
      </w:r>
      <w:r>
        <w:t xml:space="preserve">(accessed: 23 July 2019).</w:t>
      </w:r>
    </w:p>
    <w:bookmarkEnd w:id="126"/>
    <w:bookmarkStart w:id="127"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7"/>
    <w:bookmarkStart w:id="129"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8">
        <w:r>
          <w:rPr>
            <w:rStyle w:val="Hyperlink"/>
          </w:rPr>
          <w:t xml:space="preserve">10.1037/0033-2909.91.3.482</w:t>
        </w:r>
      </w:hyperlink>
      <w:r>
        <w:t xml:space="preserve">.</w:t>
      </w:r>
    </w:p>
    <w:bookmarkEnd w:id="129"/>
    <w:bookmarkStart w:id="131"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0">
        <w:r>
          <w:rPr>
            <w:rStyle w:val="Hyperlink"/>
          </w:rPr>
          <w:t xml:space="preserve">10.1016/b978-1-55860-092-8.50006-x</w:t>
        </w:r>
      </w:hyperlink>
      <w:r>
        <w:t xml:space="preserve">.</w:t>
      </w:r>
    </w:p>
    <w:bookmarkEnd w:id="131"/>
    <w:bookmarkStart w:id="133"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2">
        <w:r>
          <w:rPr>
            <w:rStyle w:val="Hyperlink"/>
          </w:rPr>
          <w:t xml:space="preserve">10.1177/0162243910377624</w:t>
        </w:r>
      </w:hyperlink>
      <w:r>
        <w:t xml:space="preserve">.</w:t>
      </w:r>
    </w:p>
    <w:bookmarkEnd w:id="133"/>
    <w:bookmarkStart w:id="135"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4">
        <w:r>
          <w:rPr>
            <w:rStyle w:val="Hyperlink"/>
          </w:rPr>
          <w:t xml:space="preserve">10.1093/bjsw/bcp022</w:t>
        </w:r>
      </w:hyperlink>
      <w:r>
        <w:t xml:space="preserve">.</w:t>
      </w:r>
    </w:p>
    <w:bookmarkEnd w:id="135"/>
    <w:bookmarkStart w:id="137"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6">
        <w:r>
          <w:rPr>
            <w:rStyle w:val="Hyperlink"/>
          </w:rPr>
          <w:t xml:space="preserve">10.1093/bjsw/bcm048</w:t>
        </w:r>
      </w:hyperlink>
      <w:r>
        <w:t xml:space="preserve">.</w:t>
      </w:r>
    </w:p>
    <w:bookmarkEnd w:id="137"/>
    <w:bookmarkStart w:id="139"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38">
        <w:r>
          <w:rPr>
            <w:rStyle w:val="Hyperlink"/>
          </w:rPr>
          <w:t xml:space="preserve">10.1177/0261018310367675</w:t>
        </w:r>
      </w:hyperlink>
      <w:r>
        <w:t xml:space="preserve">.</w:t>
      </w:r>
    </w:p>
    <w:bookmarkEnd w:id="139"/>
    <w:bookmarkStart w:id="141"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2">
        <w:r>
          <w:rPr>
            <w:rStyle w:val="Hyperlink"/>
          </w:rPr>
          <w:t xml:space="preserve">https://www.greatnorthcarerecord.org.uk</w:t>
        </w:r>
      </w:hyperlink>
      <w:r>
        <w:t xml:space="preserve">.</w:t>
      </w:r>
    </w:p>
    <w:bookmarkEnd w:id="143"/>
    <w:bookmarkStart w:id="145"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4">
        <w:r>
          <w:rPr>
            <w:rStyle w:val="Hyperlink"/>
          </w:rPr>
          <w:t xml:space="preserve">10.1017/s1474746411000108</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t xml:space="preserve">‘</w:t>
      </w:r>
      <w:r>
        <w:t xml:space="preserve">Troubled Families</w:t>
      </w:r>
      <w: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35">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2022-08-23T18:09:47Z</dcterms:created>
  <dcterms:modified xsi:type="dcterms:W3CDTF">2022-08-23T18:09:47Z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