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59"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three 2 hour participatory co-design workshops involving local authority support workers and parents and children from supported families that had recently participated in Early Help programmes.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4.2[CHECK],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[REF], to improve the lives of children, especially those suffering the most .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 Cornford et al 2013], later expanding to include their families [REF Malomo and Sena, 2017].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[REF Cornford et al 2013, Crossley XX]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t xml:space="preserve">“</w:t>
      </w:r>
      <w:r>
        <w:t xml:space="preserve">turned around</w:t>
      </w:r>
      <w: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t xml:space="preserve">‘</w:t>
      </w:r>
      <w:r>
        <w:t xml:space="preserve">at risk</w:t>
      </w:r>
      <w: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 (Bate and Bellis, 2018).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 (REF Cornford et al., 2013, Neves and Casimira 2018).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 (REF). This is then played out in a policy context where data-driven approaches to family care are encouraged through policy and reports about improving quality of the sector (Bate and Bellis, 2018; Department for Education, 2018; Field, 2010; OFSTED, 2015).</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t xml:space="preserve">“</w:t>
      </w:r>
      <w:r>
        <w:t xml:space="preserve">IT systems are most valuable when practitioners use the shared [between agencies] data to make more informed decisions about how to support and safeguard a child.</w:t>
      </w:r>
      <w:r>
        <w:t xml:space="preserve">”</w:t>
      </w:r>
      <w:r>
        <w:t xml:space="preserve"> </w:t>
      </w:r>
      <w:r>
        <w:t xml:space="preserve">(Department for Education, 2018).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 (Copeland, 2015) 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 (Harbird, 2006))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 (Malomo and Sena, 2017). Different operating policies, consent agreements, privacy regulations, technical access levels, system functions and staff competences result in different interpretations and limitations about what data can be shared (Malomo and Sena, 2017). Data should flow freely through the system in the service of individual care, but it does not, the public sector has a closed and fragmented ecosystem (Pollock, 2011).</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 [REF] 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(Neff, 2013; White and Wastell,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 (REF Cornford) 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 (Gitelman, 2013; Neff, 2013), and collecting data within the context of the delivery of a specific service or intervention rather than as an objective collection of facts undermines local professionals’ discretion and organisational agility to deliver the care that is needed ((Cornford et al., 2013); Lowe and Wilson 2018). This means that rather than improving the situation of a family the collection and use of data may be instead reinforcing the existing asymmetries of power that exist between data-holding organisations, the practitioners and the supported families (Cornford et al., 2013).</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t xml:space="preserve">“</w:t>
      </w:r>
      <w:r>
        <w:t xml:space="preserve">things-to-think-with</w:t>
      </w:r>
      <w: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r>
        <w:t xml:space="preserve">Wilson, Wilson and Martin (</w:t>
      </w:r>
      <w:hyperlink w:anchor="ref-wilson2020">
        <w:r>
          <w:rPr>
            <w:rStyle w:val="Hyperlink"/>
          </w:rPr>
          <w:t xml:space="preserve">2020</w:t>
        </w:r>
      </w:hyperlink>
      <w:r>
        <w:t xml:space="preserve">)</w:t>
      </w:r>
      <w:r>
        <w:t xml:space="preserve">) 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 framing, the SILVER project gave priority to the support worker perspective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and wanted to explore whether it might be possible to satisfy the needs of both parties.</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 (</w:t>
      </w:r>
      <w:r>
        <w:t xml:space="preserve">Huberman and Miles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t xml:space="preserve">‘</w:t>
      </w:r>
      <w:r>
        <w:t xml:space="preserve">effective data use for everyone</w:t>
      </w:r>
      <w: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[FQnn].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[SQ78],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believe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SQ77].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,ADD OTHER DYNAMIC CONSENT REFS).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_ [Workers, 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[SQ79], to promote an open data-sharing culture.</w:t>
      </w:r>
    </w:p>
    <w:bookmarkEnd w:id="51"/>
    <w:bookmarkEnd w:id="52"/>
    <w:bookmarkEnd w:id="53"/>
    <w:bookmarkStart w:id="57" w:name="discussion"/>
    <w:p>
      <w:pPr>
        <w:pStyle w:val="Heading2"/>
      </w:pPr>
      <w:r>
        <w:rPr>
          <w:rStyle w:val="SectionNumber"/>
        </w:rPr>
        <w:t xml:space="preserve">1.4</w:t>
      </w:r>
      <w:r>
        <w:tab/>
      </w:r>
      <w:r>
        <w:t xml:space="preserve">Discussion</w:t>
      </w:r>
    </w:p>
    <w:p>
      <w:pPr>
        <w:pStyle w:val="FirstParagraph"/>
      </w:pPr>
      <w:r>
        <w:t xml:space="preserve">[Target 3,000 words or maybe more?]</w:t>
      </w:r>
      <w:r>
        <w:t xml:space="preserve"> </w:t>
      </w:r>
      <w:r>
        <w:t xml:space="preserve">[Then comes the</w:t>
      </w:r>
      <w:r>
        <w:t xml:space="preserve"> </w:t>
      </w:r>
      <w:r>
        <w:t xml:space="preserve">‘</w:t>
      </w:r>
      <w:r>
        <w:t xml:space="preserve">Interpret</w:t>
      </w:r>
      <w:r>
        <w:t xml:space="preserve">’</w:t>
      </w:r>
      <w:r>
        <w:t xml:space="preserve"> </w:t>
      </w:r>
      <w:r>
        <w:t xml:space="preserve">part. Where you assess how these things matter, do they confirm or disconfirm theory, relating it back to the literature. This part heavily references theory from your lit review. Frames the themes/subthemes as knowledge contributions.]</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Through our analysis of attitudes to data usage in the UK early help context we have shown that data about supported individuals and their families is already providing great value to building up a more complete picture of a family’s life, in service of better support and decision-making. However, this comes at a cost to the family’s autonomy and we have identified a number of problems with the prevalent mindset in the care system – which is that families’ civic data is considered as a resource to be utilised. Such a mindset (sometimes known as</w:t>
      </w:r>
      <w:r>
        <w:t xml:space="preserve"> </w:t>
      </w:r>
      <w:r>
        <w:t xml:space="preserve">‘</w:t>
      </w:r>
      <w:r>
        <w:t xml:space="preserve">dataism</w:t>
      </w:r>
      <w:r>
        <w:t xml:space="preserve">’</w:t>
      </w:r>
      <w:r>
        <w:t xml:space="preserve">) carries an implicit assumption that data is an objective source of truth, however this would require trust in the independence and integrity of the data-collecting and data-holding institutions (van Dijck, 2014), which we have shown is often absent. Supported families lack awareness of what data is held about them and how it is used: this can lead to false expectations and surprises and in the worst cases, this can feed feelings of fear or suspicion which can harm the effectiveness of the overall care relationship. Stored data can often serve as a proxy for their involvement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without any involvement of the family in checking data accuracy, the current system is susceptible to inaccuracies and errors of judgement due to out-of-date, incorrect or missing data, which can directly affect supported families in the form of prejudice, discrimination, or privacy violations. A key finding we have uncovered is that trust is critical to a support relationship – trust in the support worker, and trust in the system as a whole, and that the current usage of families’ data is not conducive to trust.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[(REF Cornford et al., 2013)],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and this would be very powerful in building trust. Furthermore, transparency of processing allows accountability – something that is currently all but impossible, and this would further empower families by allowing them to gain confidence that they are being treated fairly and that data about them is accurate. It is evident from our findings that a trustworthy care system requires the direct involvement of the individual(s) being cared for and that the mechanisms of shared data interaction offer specific shapes in which that involvement could take place.</w:t>
      </w:r>
      <w:r>
        <w:t xml:space="preserve"> </w:t>
      </w:r>
      <w:r>
        <w:t xml:space="preserve">Consistent with field studies such as the World Health Organisation’s decision-making tool [(Johnson et al., 2010)], we found evidence that staff and supported families believe they would be able to collaborate more efficiently through shared data interaction as it would be more evidence-based (see [REF what was 8.2.3] above).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(Herselman et al., 2016)</w:t>
      </w:r>
      <w:r>
        <w:t xml:space="preserve"> </w:t>
      </w:r>
      <w:r>
        <w:t xml:space="preserve">Viewing data as a shared resource to be curated together would also solve the problem that the current system is in effect lacking a true consent mechanism, since the initial consent is in practice, a handover of power that gives the care authority carte blanche to collect and use data about the individuals (see [REF] 8.2.2). In effect, the ongoing access to and direct use of data by families (see [REF]8.2.3) would serve as a practical implementation of a</w:t>
      </w:r>
      <w:r>
        <w:t xml:space="preserve"> </w:t>
      </w:r>
      <w:r>
        <w:rPr>
          <w:i/>
        </w:rPr>
        <w:t xml:space="preserve">‘</w:t>
      </w:r>
      <w:r>
        <w:rPr>
          <w:i/>
        </w:rPr>
        <w:t xml:space="preserve">dynamic consent</w:t>
      </w:r>
      <w:r>
        <w:rPr>
          <w:i/>
        </w:rPr>
        <w:t xml:space="preserve">’</w:t>
      </w:r>
      <w:r>
        <w:t xml:space="preserve"> </w:t>
      </w:r>
      <w:r>
        <w:t xml:space="preserve">model [REF (Kaye et al., 2015; Williams et al., 2015)]. Instead of consent being seen as the acquisition of a formal permission that has to be certified, stored, reviewed and modified, adopting simple practices such as talking families through their data and carrying out regular checks together could provide a practical but less bureaucratic guarantee that families are on-board with the way their data is being used, since their ongoing awareness and absence of complaint can be taken as satisfaction. If implemented in a robust manner, this approach has the potential to greatly simplify the consent challenge for authorities, requiring less process and reducing liability. Families will be happier with the use of their data if they can see it, notice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 [REF (Cornford et al., 2013)].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[REF (Bridle, 2016)]</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using their authority to pass judgement and deliver advice, the care worker becomes an ally, with the family member(s) empowered as an agent in their own self-care, with a greater ability to take action and drive things forward than they had previously (see REF Theme 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 effect change based on what they learn from it. This involves the translation of raw data into meaningful information – through summaries, visualisations and explanations (the challenge of who can or would create these information representations is an area for future study). The information available to the individuals must be – as described in one of the central tenets of Human-Data Interaction – legible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but also their access must be effective</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not just within the support meetings, for example – and addressing technology, literacy, mental or physical handicaps and means that the information should be supported by a human relationship – one where someone can both explain the data as well as answer questions about it (see [REF] 8.2.3). It is the combination of effective data access and human-to-human interaction that makes data access meaningful, and the former without the latter will not empower the individual concerned. Access to data must be supported by a conversation. The system needs to have a human face that the individual may put their trust in and to which they can address their questions; simply giving access to raw data would be inadequate (see 8.2.3), and limiting [REF (Cornford et al., 2013)].</w:t>
      </w:r>
      <w:r>
        <w:t xml:space="preserve"> </w:t>
      </w:r>
      <w:r>
        <w:t xml:space="preserve">As a sub-field of Human-Computer Interaction, it is easy to assume that HDI is simply about interaction in the traditional sense of users interacting with data through an interface, but our work, which has, guided by our participants, focussed less upon layout and screen interaction and more upon the wider sociotechnical context of the support relationship, suggests that HDI can be more effective sought when the word</w:t>
      </w:r>
      <w:r>
        <w:t xml:space="preserve"> </w:t>
      </w:r>
      <w:r>
        <w:t xml:space="preserve">‘</w:t>
      </w:r>
      <w:r>
        <w:t xml:space="preserve">interaction</w:t>
      </w:r>
      <w:r>
        <w:t xml:space="preserve">’</w:t>
      </w:r>
      <w:r>
        <w:t xml:space="preserve"> </w:t>
      </w:r>
      <w:r>
        <w:t xml:space="preserve">is considered in an interpersonal sense.</w:t>
      </w:r>
      <w:r>
        <w:t xml:space="preserve"> </w:t>
      </w:r>
      <w:r>
        <w:t xml:space="preserve">By focussing on the human aspect of the proposed use of data within the support relationship, we can see that as well as improving accuracy, consent and trust, shared data interaction can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 [REF (Bowker et al., 2015; Star, 2010, 1989)] – the families understand it because it relates to their life, and the support workers understand it because they are familiar with the systems it came from. As such, it can become a valuable tool for encouraging families to open up. Many of our participants talked about how looking at data would provide a discussion stimulus or serve as a conversation starter (see [REF] 8.2.1).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t xml:space="preserve">“</w:t>
      </w:r>
      <w:r>
        <w:t xml:space="preserve">things to think with</w:t>
      </w:r>
      <w: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study. In particular in our third workshop,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w:t>
      </w:r>
      <w:r>
        <w:t xml:space="preserve"> </w:t>
      </w:r>
      <w:r>
        <w:t xml:space="preserve">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Having access to the data within the context of the support relationship is a key enabler of the Human-Data Interaction properties of agency and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if there is no ability for their comments or corrections to the data to actually influence the support discussion and the work being done, then they have no negotiability - their data access is not really part of the system, it would be tangential to the actual support process.</w:t>
      </w:r>
      <w:r>
        <w:t xml:space="preserve"> </w:t>
      </w:r>
      <w:r>
        <w:t xml:space="preserve">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t xml:space="preserve">‘</w:t>
      </w:r>
      <w:r>
        <w:t xml:space="preserve">data subject</w:t>
      </w:r>
      <w:r>
        <w:t xml:space="preserve">’</w:t>
      </w:r>
      <w:r>
        <w:t xml:space="preserve"> </w:t>
      </w:r>
      <w:r>
        <w:t xml:space="preserve">which persists even in progressive data paradigms such as the EU’s General Data Protection Regulations [REF (European Parliament, 2016)]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[REF (see S4 and Table REF3, in section REF8.1)]. This framing can inadvertently become problematic in early help practice focusing upon child welfare:</w:t>
      </w:r>
      <w:r>
        <w:t xml:space="preserve"> </w:t>
      </w:r>
      <w:r>
        <w:rPr>
          <w:i/>
        </w:rPr>
        <w:t xml:space="preserve">“</w:t>
      </w:r>
      <w:r>
        <w:rPr>
          <w:i/>
        </w:rPr>
        <w:t xml:space="preserve">children [can be seen as] the objects of a variety</w:t>
      </w:r>
      <w:r>
        <w:rPr>
          <w:i/>
        </w:rPr>
        <w:t xml:space="preserve"> </w:t>
      </w:r>
      <w:r>
        <w:rPr>
          <w:i/>
        </w:rPr>
        <w:t xml:space="preserve">of concerns which need to be acted upon rather than agents of their own lives</w:t>
      </w:r>
      <w:r>
        <w:rPr>
          <w:i/>
        </w:rPr>
        <w:t xml:space="preserve">”</w:t>
      </w:r>
      <w:r>
        <w:t xml:space="preserve"> </w:t>
      </w:r>
      <w:r>
        <w:t xml:space="preserve">[REF (European Commission, 2014)]. Analysis of the Child Index, an early warning electronic information for child welfare in the Netherlands, drew a similar conclusion on the importance of maintaining a compassionate human aspect in family-state relations:</w:t>
      </w:r>
      <w:r>
        <w:t xml:space="preserve"> </w:t>
      </w:r>
      <w:r>
        <w:t xml:space="preserve">“</w:t>
      </w:r>
      <w:r>
        <w:t xml:space="preserve">Taking into account that [care] professionals’ first love is the best interest of and care for a child, it is recommended for policymakers to provide enough room for the</w:t>
      </w:r>
      <w:r>
        <w:t xml:space="preserve"> </w:t>
      </w:r>
      <w:r>
        <w:t xml:space="preserve">‘</w:t>
      </w:r>
      <w:r>
        <w:t xml:space="preserve">love</w:t>
      </w:r>
      <w:r>
        <w:t xml:space="preserve">’</w:t>
      </w:r>
      <w:r>
        <w:t xml:space="preserve"> </w:t>
      </w:r>
      <w:r>
        <w:t xml:space="preserve">between future technologies and their social actors to flourish.</w:t>
      </w:r>
      <w:r>
        <w:t xml:space="preserve">”</w:t>
      </w:r>
      <w:r>
        <w:t xml:space="preserve"> </w:t>
      </w:r>
      <w:r>
        <w:t xml:space="preserve">[REF (Lecluijze et al., 2015)]</w:t>
      </w:r>
    </w:p>
    <w:bookmarkEnd w:id="55"/>
    <w:bookmarkStart w:id="56" w:name="Xb206752d1864f98023ac439a7a18140a88c8d22"/>
    <w:p>
      <w:pPr>
        <w:pStyle w:val="Heading3"/>
      </w:pPr>
      <w:r>
        <w:rPr>
          <w:rStyle w:val="SectionNumber"/>
        </w:rPr>
        <w:t xml:space="preserve">1.4.3</w:t>
      </w:r>
      <w:r>
        <w:tab/>
      </w:r>
      <w:r>
        <w:t xml:space="preserve">The Benefits and Implications of shifting the Locus of Decision-making</w:t>
      </w:r>
    </w:p>
    <w:p>
      <w:pPr>
        <w:pStyle w:val="FirstParagraph"/>
      </w:pPr>
      <w:r>
        <w:t xml:space="preserve">Through our discussions and activities with support workers and supported families, we have explored the possibilities of shared data interaction and our concept of shifting the locus of decision-making – the idea that power concentrates close to the point where data is accessed, and that by shifting the point where data is access to the centre of the support interaction, this would necessarily shift decision-making closer to the individuals and thus swing the power balance in their favour (see section [REF]7.2 above for a full explanation and refer to Figure 1 for an illustration of the concept). In this section we examine the potential benefits and implications of such a shift.</w:t>
      </w:r>
      <w:r>
        <w:t xml:space="preserve"> </w:t>
      </w:r>
      <w:r>
        <w:t xml:space="preserve">The introduction of data interaction into the interpersonal interaction of the support relationship can be seen as a change to the nature of the support relationship, in that some of the work that was previously done solely in the domain of the data holder (specifically, data maintenance and the direct use of data to inform judgements and plans) is now taking place in a different context – the two-party context of the support engagement itself. So at a basic level, the power is shifted by the new approach. The use of data in current practice is limited because any data must flow through the support worker as gatekeeper – the removal of the gatekeeper role redistributes the power to interpret, select and judge data much more equitably between the two parties. The potential benefits of this shift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previously inaccessible. By shifting the locus of decision-making, families can take more responsibility for their own lives, through an increased ability to reflect and make plans – an important element of harnessing one’s personal data for self-improvement [REF (Abiteboul et al., 2015; Li et al., 2010)], thus</w:t>
      </w:r>
      <w:r>
        <w:t xml:space="preserve"> </w:t>
      </w:r>
      <w:r>
        <w:t xml:space="preserve">‘</w:t>
      </w:r>
      <w:r>
        <w:t xml:space="preserve">encouraging the family to take full accountability for their own responsibilities</w:t>
      </w:r>
      <w:r>
        <w:t xml:space="preserve">’</w:t>
      </w:r>
      <w:r>
        <w:t xml:space="preserve"> </w:t>
      </w:r>
      <w:r>
        <w:t xml:space="preserve">as one support worker put it [SQ75]. The perceived benefit of individuals directly using digital interfaces for health and wellbeing are already accepted, with 93% of doctors believing that apps can improve health outcomes [REF (Kostkova, 2015)].</w:t>
      </w:r>
      <w:r>
        <w:t xml:space="preserve"> </w:t>
      </w: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locus of decision making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r>
        <w:t xml:space="preserve"> </w:t>
      </w: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[REF]) is not well suited to the creation of such unified data interfaces due to its fragmented nature [REF (Copeland, 2015)]. Identity management in this context is already very challenging to negotiate [REF (Wilson et al., 2011)]. Support workers would need additional training both on software and hardware. The need to increase digital skills across health and social care has already been identified as a current issue in the UK [REF (Honeyman et al., 2016)] and in other countries such as Poland where it is deemed critical [REF (Soja, 2015)]. This will become particularly important in a system where the care workers are also the ones who would be helping individuals to make sense of digital information. The use of computer-based communication and information approaches would need particular care with child welfare [REF (Tregeagle and Darcy, 2008)].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t xml:space="preserve">“</w:t>
      </w:r>
      <w:r>
        <w:t xml:space="preserve">in-the-home</w:t>
      </w:r>
      <w:r>
        <w:t xml:space="preserve">”</w:t>
      </w:r>
      <w:r>
        <w:t xml:space="preserve"> </w:t>
      </w:r>
      <w:r>
        <w:t xml:space="preserve">contact necessary – which is particularly challenging and costly to deliver in rural areas far from major towns [REF (Kriisk and Minas, 2017)] –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misleading workers etc. for personal gain). While very unlikely to be a mainstream issue, this is a fringe possibility that must still be considered and planned for.</w:t>
      </w:r>
      <w:r>
        <w:t xml:space="preserve"> </w:t>
      </w:r>
      <w:r>
        <w:t xml:space="preserve">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[REF (Copeland, 2015 ADD REF Local Government Association]. The state has increasingly adopted a data-centric approach to citizen interaction because it cannot manage to provide human relationships with individual citizens. But now this approach has become ingrained into government approaches to citizen relations –</w:t>
      </w:r>
      <w:r>
        <w:t xml:space="preserve"> </w:t>
      </w:r>
      <w:r>
        <w:rPr>
          <w:i/>
        </w:rPr>
        <w:t xml:space="preserve">“</w:t>
      </w:r>
      <w:r>
        <w:rPr>
          <w:i/>
        </w:rPr>
        <w:t xml:space="preserve">it is no longer a technological necessity but it has become a political intention</w:t>
      </w:r>
      <w:r>
        <w:rPr>
          <w:i/>
        </w:rPr>
        <w:t xml:space="preserve">”</w:t>
      </w:r>
      <w:r>
        <w:t xml:space="preserve"> </w:t>
      </w:r>
      <w:r>
        <w:t xml:space="preserve">[REF (Bridle, 2016)]. What we have identified is that there is a need to reverse this trend, if people’s interests are to be best served, and if a welfare state is to be truly [REF</w:t>
      </w:r>
      <w:r>
        <w:t xml:space="preserve"> </w:t>
      </w:r>
      <w:r>
        <w:t xml:space="preserve">‘</w:t>
      </w:r>
      <w:r>
        <w:t xml:space="preserve">enabling</w:t>
      </w:r>
      <w:r>
        <w:t xml:space="preserve">’</w:t>
      </w:r>
      <w:r>
        <w:t xml:space="preserve"> </w:t>
      </w:r>
      <w:r>
        <w:t xml:space="preserve">(Miettinen, 2013)]. By taking a more innovative approach to digital policy, it is possible that governments could be more effective in helping to involve those citizens that have become disadvantaged by the current system – a more human-centred approach could help to combat the digital divide [REF (Kalvet and Tan, 2008; Steyaert and Gould, 2009)].</w:t>
      </w:r>
      <w:r>
        <w:t xml:space="preserve"> </w:t>
      </w:r>
      <w:r>
        <w:t xml:space="preserve">In our model that shifts the locus of decision-making, we have not sought to provide an implementable solution that could be rolled out at scale, rather we consider our model to be a useful mental model to stimulate further discussion - our contribution’s value is that it shines a light on the positive and negative impacts of current procedures on relationship effectiveness, and identifies imagined practices that could be preferable and more efficient than current practice. Our findings serve as a challenge to the status quo, that should encourage early help providers to question their priorities when it comes to the use of people’s civic data and when they consider reconfiguring their services.</w:t>
      </w:r>
    </w:p>
    <w:bookmarkEnd w:id="56"/>
    <w:bookmarkEnd w:id="57"/>
    <w:bookmarkStart w:id="58" w:name="summation"/>
    <w:p>
      <w:pPr>
        <w:pStyle w:val="Heading2"/>
      </w:pPr>
      <w:r>
        <w:rPr>
          <w:rStyle w:val="SectionNumber"/>
        </w:rPr>
        <w:t xml:space="preserve">1.5</w:t>
      </w:r>
      <w:r>
        <w:tab/>
      </w:r>
      <w:r>
        <w:t xml:space="preserve">Summation</w:t>
      </w:r>
    </w:p>
    <w:p>
      <w:pPr>
        <w:pStyle w:val="FirstParagraph"/>
      </w:pPr>
      <w:r>
        <w:t xml:space="preserve">[Target 1,500 words or maybe less?]</w:t>
      </w:r>
      <w:r>
        <w:t xml:space="preserve"> </w:t>
      </w:r>
      <w:r>
        <w:t xml:space="preserve">[Finally after the TSEI structure for each theme, there is a combination/conclusion part of the chapter, bringing the three themes together.]</w:t>
      </w:r>
      <w:r>
        <w:t xml:space="preserve"> </w:t>
      </w:r>
      <w:r>
        <w:t xml:space="preserve">[In 4.5, I will summarise the case study in terms of how these insights expand our understanding of the research questions and their wider significance.]</w:t>
      </w:r>
    </w:p>
    <w:p>
      <w:pPr>
        <w:pStyle w:val="BodyText"/>
      </w:pPr>
      <w:r>
        <w:t xml:space="preserve">[TO REDRAFT AND SHORTEN</w:t>
      </w:r>
      <w:r>
        <w:t xml:space="preserve"> </w:t>
      </w:r>
      <w:r>
        <w:t xml:space="preserve">POSSIBLE REF THAT COULD BE ADDED AT https://miro.com/app/board/o9J_kvbFr24=/?moveToWidget=3074457347460416545&amp;cot=13]</w:t>
      </w:r>
    </w:p>
    <w:p>
      <w:pPr>
        <w:pStyle w:val="BodyText"/>
      </w:pPr>
      <w:r>
        <w:t xml:space="preserve">Through our participatory co-design workshops with supported families and support workers in North-East England, we have highlighted five major problem areas which our participants perceive to exist with current personal data practices:</w:t>
      </w:r>
      <w:r>
        <w:t xml:space="preserve"> </w:t>
      </w:r>
      <w:r>
        <w:t xml:space="preserve">1. A power imbalance –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r>
        <w:t xml:space="preserve"> </w:t>
      </w:r>
      <w:r>
        <w:t xml:space="preserve">2. A closed and opaque data ecosystem – Families lack awareness of what data is held about them and how it is used, with support workers (who themselves have limits to their access) functioning as gatekeepers to what families will be told about.</w:t>
      </w:r>
      <w:r>
        <w:t xml:space="preserve"> </w:t>
      </w:r>
      <w:r>
        <w:t xml:space="preserve">3. Ineffective, meaningless consent –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r>
        <w:t xml:space="preserve"> </w:t>
      </w:r>
      <w:r>
        <w:t xml:space="preserve">4. No accountability and limited trust – Without any transparency or ability to request or demand changes to data or data practices, families have no ability to hold data handlers to account. The lack of visibility makes families’ trust in the system hard to earn and fragile to maintain.</w:t>
      </w:r>
      <w:r>
        <w:t xml:space="preserve"> </w:t>
      </w:r>
      <w:r>
        <w:t xml:space="preserve">5. A lack of agency or true empowerment – With families having no ability to shape the way they are represented in data or see themselves in data, opportunities are missed to truly empower families to be better represented and to better themselves.</w:t>
      </w:r>
      <w:r>
        <w:t xml:space="preserve"> </w:t>
      </w:r>
      <w:r>
        <w:t xml:space="preserve">Through our explorations of a shared data interaction and personal data interfaces, we have found both a need and a desire for a new approach. We have shown that a model in which support services are deliberately open with families’ data and bring it to the heart of their face-to-face consultations could address all five of these problems. The removal of the gatekeeper role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can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r>
        <w:t xml:space="preserve"> </w:t>
      </w:r>
      <w:r>
        <w:t xml:space="preserve">We have also uncovered additional benefits of a shared data interaction approach.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used to measure service effectiveness) but in fact to the families themselves, who are now able to directly see the effects of their own actions in their data. The shift from support workers reporting what the data says to</w:t>
      </w:r>
      <w:r>
        <w:t xml:space="preserve"> </w:t>
      </w:r>
      <w:r>
        <w:t xml:space="preserve">‘</w:t>
      </w:r>
      <w:r>
        <w:t xml:space="preserve">looking at data together</w:t>
      </w:r>
      <w:r>
        <w:t xml:space="preserve">’</w:t>
      </w:r>
      <w:r>
        <w:t xml:space="preserve"> </w:t>
      </w:r>
      <w:r>
        <w:t xml:space="preserve">helps to shift the dynamic of the support interaction away from</w:t>
      </w:r>
      <w:r>
        <w:t xml:space="preserve"> </w:t>
      </w:r>
      <w:r>
        <w:t xml:space="preserve">‘</w:t>
      </w:r>
      <w:r>
        <w:t xml:space="preserve">us and them</w:t>
      </w:r>
      <w: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dialogue. Individual family members will be able to notice mistakes or gaps, and contribute explanations, context or additional data to enrich the picture. By ensuring the discussions are based on more accurate data, the quality of decision-making would naturally improve and conversations will be likely to be more effective and efficient as they will be more grounded in reality.</w:t>
      </w:r>
      <w:r>
        <w:t xml:space="preserve"> </w:t>
      </w: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their data, and to explain or clarify things seen in the data places more respect upon the family than the purely data-and-technology-based approach of the state-citizen service infrastructure experienced on the whole by non-supported families. The ability to act independently, in their own time and in contexts outside of the support interaction, allows individuals to alleviate concerns quickly and maintain confidence that their data selves, the version of themselves used by the state to inform decisions, remain fair and accurate, but also opens up new opportunities to individuals for using their data for their own ends in ways that were not previously possible.</w:t>
      </w:r>
      <w:r>
        <w:t xml:space="preserve"> </w:t>
      </w:r>
      <w:r>
        <w:t xml:space="preserve">In exploring the usage of data in its full sociotechnical context, not just from the provider’s perspective or citizen’s perspective, we have shown that merely providing people with access to data would be insufficient to properly address the identified problems, and that in applying the principles of Human-Data Interaction we need to consider interaction in an interpersonal sense. Capabilities – or their absence – matter more than the nature of the data interaction. Data interfaces are limited by their operating context as to how much they can offer, but considering the wider human-facing relationship between the individual and the representative of the state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r>
        <w:t xml:space="preserve"> </w:t>
      </w:r>
      <w:r>
        <w:t xml:space="preserve">Through our sentence ranking exercises we have been able to offer a snapshot overview of what this sample of support workers and supported families think about data, and where they agree and disagree (see Table 3). Our detailed analysis of our workshop transcripts has provided an understanding of the positive and negative impacts on the support relationship of current civic data practices within early help, and through our qualitative analysis we have been able to identify [CHANGE]38 specific practices, many of which are currently imagined or only just emerging, which participants believe would improve families engagement and the support they receive (see Table 4). We believe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our findings suggest that such an approach may get closer to the heart of the real issue of empowering</w:t>
      </w:r>
      <w:r>
        <w:t xml:space="preserve"> </w:t>
      </w:r>
      <w:r>
        <w:t xml:space="preserve">‘</w:t>
      </w:r>
      <w:r>
        <w:t xml:space="preserve">left-behind</w:t>
      </w:r>
      <w:r>
        <w:t xml:space="preserve">’</w:t>
      </w:r>
      <w:r>
        <w:t xml:space="preserve"> </w:t>
      </w:r>
      <w:r>
        <w:t xml:space="preserve">(disempowered) families than a purely state-centred approach to problem solving, and that this may offer part of a route to a more enabling welfare state. More generally our work serves as a reminder that as we move into the data-driven age it is important that data stays close to the people it is about, rather than those that use the data to provide services, and that service practice and processes should remain human-centric rather than data-centric. This is a general principle that could be equally applied to other domains including education, healthcare, democracy and commerce, and our emphasis upon individual capability over interface design is a useful mindset that can be applied to many human-computer interaction and design endeavours.</w:t>
      </w:r>
    </w:p>
    <w:bookmarkEnd w:id="58"/>
    <w:bookmarkEnd w:id="59"/>
    <w:bookmarkStart w:id="79" w:name="bibliography"/>
    <w:p>
      <w:pPr>
        <w:pStyle w:val="Heading1"/>
      </w:pPr>
      <w:r>
        <w:t xml:space="preserve">Bibliography</w:t>
      </w:r>
    </w:p>
    <w:bookmarkStart w:id="78" w:name="refs"/>
    <w:bookmarkStart w:id="61"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0">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1"/>
    <w:bookmarkStart w:id="63"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2">
        <w:r>
          <w:rPr>
            <w:rStyle w:val="Hyperlink"/>
          </w:rPr>
          <w:t xml:space="preserve">10.1145/3173574.3173710</w:t>
        </w:r>
      </w:hyperlink>
      <w:r>
        <w:t xml:space="preserve">.</w:t>
      </w:r>
    </w:p>
    <w:bookmarkEnd w:id="63"/>
    <w:bookmarkStart w:id="65"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4">
        <w:r>
          <w:rPr>
            <w:rStyle w:val="Hyperlink"/>
          </w:rPr>
          <w:t xml:space="preserve">10.1145/1011870.1011885</w:t>
        </w:r>
      </w:hyperlink>
      <w:r>
        <w:t xml:space="preserve">.</w:t>
      </w:r>
    </w:p>
    <w:bookmarkEnd w:id="65"/>
    <w:bookmarkStart w:id="67"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66">
        <w:r>
          <w:rPr>
            <w:rStyle w:val="Hyperlink"/>
          </w:rPr>
          <w:t xml:space="preserve">https://mitpress.mit.edu/books/raw-data-oxymoron</w:t>
        </w:r>
      </w:hyperlink>
      <w:r>
        <w:t xml:space="preserve">.</w:t>
      </w:r>
    </w:p>
    <w:bookmarkEnd w:id="67"/>
    <w:bookmarkStart w:id="69"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68">
        <w:r>
          <w:rPr>
            <w:rStyle w:val="Hyperlink"/>
          </w:rPr>
          <w:t xml:space="preserve">10.5210/fm.v16i2.3316</w:t>
        </w:r>
      </w:hyperlink>
      <w:r>
        <w:t xml:space="preserve">.</w:t>
      </w:r>
    </w:p>
    <w:bookmarkEnd w:id="69"/>
    <w:bookmarkStart w:id="70" w:name="ref-huberman2002"/>
    <w:p>
      <w:pPr>
        <w:pStyle w:val="Bibliography"/>
      </w:pPr>
      <w:r>
        <w:t xml:space="preserve">Huberman, M. and Miles, M. B. (2002)</w:t>
      </w:r>
      <w:r>
        <w:t xml:space="preserve"> </w:t>
      </w:r>
      <w:r>
        <w:rPr>
          <w:i/>
        </w:rPr>
        <w:t xml:space="preserve">The qualitative researcher’s companion</w:t>
      </w:r>
      <w:r>
        <w:t xml:space="preserve">. Sage.</w:t>
      </w:r>
    </w:p>
    <w:bookmarkEnd w:id="70"/>
    <w:bookmarkStart w:id="72"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71">
        <w:r>
          <w:rPr>
            <w:rStyle w:val="Hyperlink"/>
          </w:rPr>
          <w:t xml:space="preserve">10.2139/ssrn.2508051</w:t>
        </w:r>
      </w:hyperlink>
      <w:r>
        <w:t xml:space="preserve">.</w:t>
      </w:r>
    </w:p>
    <w:bookmarkEnd w:id="72"/>
    <w:bookmarkStart w:id="73" w:name="ref-papert1980"/>
    <w:p>
      <w:pPr>
        <w:pStyle w:val="Bibliography"/>
      </w:pPr>
      <w:r>
        <w:t xml:space="preserve">Papert, S. (1980) ‘Mindstorms: children, computers, and powerful ideas’. Basic Books, Inc.</w:t>
      </w:r>
    </w:p>
    <w:bookmarkEnd w:id="73"/>
    <w:bookmarkStart w:id="75"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74">
        <w:r>
          <w:rPr>
            <w:rStyle w:val="Hyperlink"/>
          </w:rPr>
          <w:t xml:space="preserve">10.1177/0162243910377624</w:t>
        </w:r>
      </w:hyperlink>
      <w:r>
        <w:t xml:space="preserve">.</w:t>
      </w:r>
    </w:p>
    <w:bookmarkEnd w:id="75"/>
    <w:bookmarkStart w:id="77"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76">
        <w:r>
          <w:rPr>
            <w:rStyle w:val="Hyperlink"/>
          </w:rPr>
          <w:t xml:space="preserve">https://www.greatnorthcarerecord.org.uk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6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64" Target="https://doi.org/10.1145/1011870.1011885" TargetMode="External" /><Relationship Type="http://schemas.openxmlformats.org/officeDocument/2006/relationships/hyperlink" Id="rId62" Target="https://doi.org/10.1145/3173574.3173710" TargetMode="External" /><Relationship Type="http://schemas.openxmlformats.org/officeDocument/2006/relationships/hyperlink" Id="rId74" Target="https://doi.org/10.1177/0162243910377624" TargetMode="External" /><Relationship Type="http://schemas.openxmlformats.org/officeDocument/2006/relationships/hyperlink" Id="rId71" Target="https://doi.org/10.2139/ssrn.2508051" TargetMode="External" /><Relationship Type="http://schemas.openxmlformats.org/officeDocument/2006/relationships/hyperlink" Id="rId68" Target="https://doi.org/10.5210/fm.v16i2.3316" TargetMode="External" /><Relationship Type="http://schemas.openxmlformats.org/officeDocument/2006/relationships/hyperlink" Id="rId66" Target="https://mitpress.mit.edu/books/raw-data-oxymoron" TargetMode="External" /><Relationship Type="http://schemas.openxmlformats.org/officeDocument/2006/relationships/hyperlink" Id="rId76" Target="https://www.greatnorthcarerecord.org.uk" TargetMode="External" /></Relationships>
</file>

<file path=word/_rels/footnotes.xml.rels><?xml version="1.0" encoding="UTF-8"?>
<Relationships xmlns="http://schemas.openxmlformats.org/package/2006/relationships"><Relationship Type="http://schemas.openxmlformats.org/officeDocument/2006/relationships/hyperlink" Id="rId6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64" Target="https://doi.org/10.1145/1011870.1011885" TargetMode="External" /><Relationship Type="http://schemas.openxmlformats.org/officeDocument/2006/relationships/hyperlink" Id="rId62" Target="https://doi.org/10.1145/3173574.3173710" TargetMode="External" /><Relationship Type="http://schemas.openxmlformats.org/officeDocument/2006/relationships/hyperlink" Id="rId74" Target="https://doi.org/10.1177/0162243910377624" TargetMode="External" /><Relationship Type="http://schemas.openxmlformats.org/officeDocument/2006/relationships/hyperlink" Id="rId71" Target="https://doi.org/10.2139/ssrn.2508051" TargetMode="External" /><Relationship Type="http://schemas.openxmlformats.org/officeDocument/2006/relationships/hyperlink" Id="rId68" Target="https://doi.org/10.5210/fm.v16i2.3316" TargetMode="External" /><Relationship Type="http://schemas.openxmlformats.org/officeDocument/2006/relationships/hyperlink" Id="rId66" Target="https://mitpress.mit.edu/books/raw-data-oxymoron" TargetMode="External" /><Relationship Type="http://schemas.openxmlformats.org/officeDocument/2006/relationships/hyperlink" Id="rId76" Target="https://www.greatnorthcarerecord.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2021-07-01T21:51:09Z</dcterms:created>
  <dcterms:modified xsi:type="dcterms:W3CDTF">2021-07-01T21:51:09Z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