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 to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w:t>
      </w:r>
      <w:hyperlink w:anchor="RQ1">
        <w:r>
          <w:rPr>
            <w:rStyle w:val="Hyperlink"/>
          </w:rPr>
          <w:t xml:space="preserve">RQ1</w:t>
        </w:r>
      </w:hyperlink>
      <w:r>
        <w:t xml:space="preserve">) and to explore the role of data within the support relationship (per</w:t>
      </w:r>
      <w:r>
        <w:t xml:space="preserve"> </w:t>
      </w:r>
      <w:hyperlink w:anchor="RQ2">
        <w:r>
          <w:rPr>
            <w:rStyle w:val="Hyperlink"/>
          </w:rPr>
          <w:t xml:space="preserve">RQ2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t xml:space="preserve">‘</w:t>
      </w:r>
      <w:r>
        <w:t xml:space="preserve">turned around</w:t>
      </w:r>
      <w: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t xml:space="preserve">‘</w:t>
      </w:r>
      <w:r>
        <w:t xml:space="preserve">at risk</w:t>
      </w:r>
      <w: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 (EHR)</w:t>
      </w:r>
      <w:r>
        <w:t xml:space="preserve"> </w:t>
      </w:r>
      <w:r>
        <w:t xml:space="preserve">for each supported individual and their family, stored in case management systems such as CareFirst, LiquidLogic or eCAF. To gain a holistic perspective of a family’s situation, a process of information gathering and family-centric inter-agency collaboration is adopted. The EHR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EHR data is used to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impossibly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EHR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EHR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EHR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w:t>
      </w:r>
      <w:r>
        <w:t xml:space="preserve"> </w:t>
      </w:r>
      <w:hyperlink w:anchor="RQ2">
        <w:r>
          <w:rPr>
            <w:rStyle w:val="Hyperlink"/>
          </w:rPr>
          <w:t xml:space="preserve">RQ2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w:t>
      </w:r>
      <w:r>
        <w:t xml:space="preserve"> </w:t>
      </w:r>
      <w:hyperlink w:anchor="RQ1">
        <w:r>
          <w:rPr>
            <w:rStyle w:val="Hyperlink"/>
          </w:rPr>
          <w:t xml:space="preserve">RQ1</w:t>
        </w:r>
      </w:hyperlink>
      <w:r>
        <w:t xml:space="preserve"> </w:t>
      </w:r>
      <w:r>
        <w:t xml:space="preserve">but also looked at the power imbalance and the effectiveness of the support relationship as a whole, in terms of its goal to empower families to build better lives for themselves and get them to a point where they no longer need support. As part of</w:t>
      </w:r>
      <w:r>
        <w:t xml:space="preserve"> </w:t>
      </w:r>
      <w:hyperlink w:anchor="RQ2">
        <w:r>
          <w:rPr>
            <w:rStyle w:val="Hyperlink"/>
          </w:rPr>
          <w:t xml:space="preserve">RQ2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4.1">
        <w:r>
          <w:rPr>
            <w:rStyle w:val="Hyperlink"/>
          </w:rPr>
          <w:t xml:space="preserve">Table ARI4.1</w:t>
        </w:r>
      </w:hyperlink>
      <w:r>
        <w:t xml:space="preserve"> </w:t>
      </w:r>
      <w:r>
        <w:t xml:space="preserve">in the Additional Reference Information.</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rPr>
          <w:iCs/>
          <w:i/>
        </w:rPr>
        <w:t xml:space="preserve">stored information about their lives</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of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TableCaption"/>
      </w:pPr>
      <w:r>
        <w:t xml:space="preserve">Table 4.1 - Case Study One Group Design Workshops.</w:t>
      </w:r>
    </w:p>
    <w:tbl>
      <w:tblPr>
        <w:tblStyle w:val="Table"/>
        <w:tblW w:type="pct" w:w="5000"/>
        <w:tblLook w:firstRow="1" w:lastRow="0" w:firstColumn="0" w:lastColumn="0" w:noHBand="0" w:noVBand="0" w:val="0020"/>
        <w:tblCaption w:val="Table 4.1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iCs/>
          <w:i/>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t xml:space="preserve">‘</w:t>
      </w:r>
      <w:r>
        <w:t xml:space="preserve">Families should always be able to talk to someone about their data.</w:t>
      </w:r>
      <w:r>
        <w:t xml:space="preserve">’</w:t>
      </w:r>
    </w:p>
    <w:p>
      <w:pPr>
        <w:pStyle w:val="FirstParagraph"/>
      </w:pPr>
      <w:r>
        <w:t xml:space="preserve">The complete list of sentences is in</w:t>
      </w:r>
      <w:r>
        <w:t xml:space="preserve"> </w:t>
      </w:r>
      <w:hyperlink w:anchor="ari-sentences">
        <w:r>
          <w:rPr>
            <w:rStyle w:val="Hyperlink"/>
          </w:rPr>
          <w:t xml:space="preserve">ARI4.2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ARI4.2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195712"/>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195712"/>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 or 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notation">
        <w:r>
          <w:rPr>
            <w:rStyle w:val="Hyperlink"/>
          </w:rPr>
          <w:t xml:space="preserve">ARI4.4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t xml:space="preserve">Meaningful Data Interaction [</w:t>
      </w:r>
      <w:hyperlink w:anchor="X4bf33bfd9c3793655f2a19fca0ee1ca41e62e6e">
        <w:r>
          <w:rPr>
            <w:rStyle w:val="Hyperlink"/>
          </w:rPr>
          <w:t xml:space="preserve">4.3.2</w:t>
        </w:r>
      </w:hyperlink>
      <w:r>
        <w:t xml:space="preserve">],</w:t>
      </w:r>
    </w:p>
    <w:p>
      <w:pPr>
        <w:numPr>
          <w:ilvl w:val="0"/>
          <w:numId w:val="1007"/>
        </w:numPr>
        <w:pStyle w:val="Compact"/>
      </w:pPr>
      <w:r>
        <w:t xml:space="preserve">Giving a Voice to the Family [</w:t>
      </w:r>
      <w:hyperlink w:anchor="X7d362c1e174c59583bc075f9c4f790b095f0935">
        <w:r>
          <w:rPr>
            <w:rStyle w:val="Hyperlink"/>
          </w:rPr>
          <w:t xml:space="preserve">4.3.3</w:t>
        </w:r>
      </w:hyperlink>
      <w:r>
        <w:t xml:space="preserve">], and</w:t>
      </w:r>
    </w:p>
    <w:p>
      <w:pPr>
        <w:numPr>
          <w:ilvl w:val="0"/>
          <w:numId w:val="1007"/>
        </w:numPr>
        <w:pStyle w:val="Compact"/>
      </w:pPr>
      <w:r>
        <w:t xml:space="preserve">Earning Trust through Transparency [</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w:t>
            </w:r>
            <w:r>
              <w:rPr>
                <w:iCs/>
                <w:i/>
              </w:rPr>
              <w:t xml:space="preserve"> </w:t>
            </w:r>
            <w:r>
              <w:rPr>
                <w:iCs/>
                <w:i/>
              </w:rPr>
              <w:t xml:space="preserve">“</w:t>
            </w:r>
            <w:r>
              <w:rPr>
                <w:iCs/>
                <w:i/>
              </w:rPr>
              <w:t xml:space="preserve">This is where you are now but if you [take these specific steps], even though you’ve got a criminal record, you could progress to this level.</w:t>
            </w:r>
            <w:r>
              <w:rPr>
                <w:iCs/>
                <w:i/>
              </w:rPr>
              <w:t xml:space="preserve">”</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w:t>
            </w:r>
            <w:r>
              <w:rPr>
                <w:iCs/>
                <w:i/>
              </w:rPr>
              <w:t xml:space="preserve">You should never make a judgement on data… that data could be wrong.</w:t>
            </w:r>
            <w:r>
              <w:rPr>
                <w:iCs/>
                <w:i/>
              </w:rPr>
              <w:t xml:space="preserve">’</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rPr>
          <w:iCs/>
          <w:i/>
        </w:rPr>
        <w:t xml:space="preserve">findable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t xml:space="preserve">‘</w:t>
      </w:r>
      <w:r>
        <w:t xml:space="preserve">trawl through data</w:t>
      </w:r>
      <w: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effective data use for everyone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lock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—[Worker, SQ28]</w:t>
      </w:r>
    </w:p>
    <w:p>
      <w:pPr>
        <w:pStyle w:val="FirstParagraph"/>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p>
    <w:p>
      <w:pPr>
        <w:pStyle w:val="BlockText"/>
      </w:pPr>
      <w:r>
        <w:rPr>
          <w:iCs/>
          <w:i/>
        </w:rPr>
        <w:t xml:space="preserve">‘</w:t>
      </w:r>
      <w:r>
        <w:rPr>
          <w:iCs/>
          <w:i/>
        </w:rPr>
        <w:t xml:space="preserve">They could quickly tap onto the app […] and show somebody else where they’re at.</w:t>
      </w:r>
      <w:r>
        <w:rPr>
          <w:iCs/>
          <w:i/>
        </w:rPr>
        <w:t xml:space="preserve">’</w:t>
      </w:r>
      <w:r>
        <w:t xml:space="preserve">—[SQ54]</w:t>
      </w:r>
    </w:p>
    <w:p>
      <w:pPr>
        <w:pStyle w:val="Block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—[Parent, FQ7]</w:t>
      </w:r>
    </w:p>
    <w:p>
      <w:pPr>
        <w:pStyle w:val="FirstParagraph"/>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p>
    <w:p>
      <w:pPr>
        <w:pStyle w:val="BlockText"/>
      </w:pP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—[SQ8]</w:t>
      </w:r>
    </w:p>
    <w:p>
      <w:pPr>
        <w:pStyle w:val="FirstParagraph"/>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lock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 that they feel they’re being judged on.</w:t>
      </w:r>
      <w:r>
        <w:rPr>
          <w:iCs/>
          <w:i/>
        </w:rPr>
        <w:t xml:space="preserve">’</w:t>
      </w:r>
      <w:r>
        <w:t xml:space="preserve">—[Worker, CQ13]</w:t>
      </w:r>
    </w:p>
    <w:p>
      <w:pPr>
        <w:pStyle w:val="FirstParagraph"/>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lock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FirstParagraph"/>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lock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-[Worker, SQ49]</w:t>
      </w:r>
    </w:p>
    <w:p>
      <w:pPr>
        <w:pStyle w:val="FirstParagraph"/>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EH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p>
    <w:p>
      <w:pPr>
        <w:pStyle w:val="BlockText"/>
      </w:pP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—[Worker, SQ61]</w:t>
      </w:r>
    </w:p>
    <w:p>
      <w:pPr>
        <w:pStyle w:val="FirstParagraph"/>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rPr>
          <w:bCs/>
          <w:b/>
        </w:rP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lockText"/>
      </w:pPr>
      <w:r>
        <w:t xml:space="preserve">Worker A:</w:t>
      </w:r>
      <w:r>
        <w:t xml:space="preserve"> </w:t>
      </w:r>
      <w:r>
        <w:rPr>
          <w:iCs/>
          <w:i/>
        </w:rPr>
        <w:t xml:space="preserve">‘</w:t>
      </w:r>
      <w:r>
        <w:rPr>
          <w:iCs/>
          <w:i/>
        </w:rPr>
        <w:t xml:space="preserve">We would get a report through to say…</w:t>
      </w:r>
      <w:r>
        <w:rPr>
          <w:iCs/>
          <w:i/>
        </w:rPr>
        <w:t xml:space="preserve">’</w:t>
      </w:r>
      <w:r>
        <w:rPr>
          <w:iCs/>
          <w:i/>
        </w:rPr>
        <w:t xml:space="preserve">“</w:t>
      </w:r>
      <w:r>
        <w:t xml:space="preserve">Worker B:</w:t>
      </w:r>
      <w:r>
        <w:t xml:space="preserve"> </w:t>
      </w:r>
      <w:r>
        <w:rPr>
          <w:iCs/>
          <w:i/>
        </w:rPr>
        <w:t xml:space="preserve">‘</w:t>
      </w:r>
      <w:r>
        <w:rPr>
          <w:iCs/>
          <w:i/>
        </w:rPr>
        <w:t xml:space="preserve">They’ve recorded something.</w:t>
      </w:r>
      <w:r>
        <w:rPr>
          <w:iCs/>
          <w:i/>
        </w:rPr>
        <w:t xml:space="preserve">’</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—[SQ65]</w:t>
      </w:r>
    </w:p>
    <w:p>
      <w:pPr>
        <w:pStyle w:val="FirstParagraph"/>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lock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FirstParagraph"/>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lock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FirstParagraph"/>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lock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Worker B:</w:t>
      </w:r>
      <w:r>
        <w:t xml:space="preserve"> </w:t>
      </w:r>
      <w:r>
        <w:rPr>
          <w:iCs/>
          <w:i/>
        </w:rPr>
        <w:t xml:space="preserve">‘</w:t>
      </w:r>
      <w:r>
        <w:rPr>
          <w:iCs/>
          <w:i/>
        </w:rPr>
        <w:t xml:space="preserve">I think it’s confidential.</w:t>
      </w:r>
      <w:r>
        <w:rPr>
          <w:iCs/>
          <w:i/>
        </w:rPr>
        <w:t xml:space="preserve">’</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—[SQ53]</w:t>
      </w:r>
    </w:p>
    <w:p>
      <w:pPr>
        <w:pStyle w:val="FirstParagraph"/>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lock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—[Parent, FQ8]</w:t>
      </w:r>
    </w:p>
    <w:p>
      <w:pPr>
        <w:pStyle w:val="FirstParagraph"/>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lockText"/>
      </w:pPr>
      <w:r>
        <w:rPr>
          <w:iCs/>
          <w:i/>
        </w:rPr>
        <w:t xml:space="preserve">‘</w:t>
      </w:r>
      <w:r>
        <w:rPr>
          <w:iCs/>
          <w:i/>
        </w:rPr>
        <w:t xml:space="preserve">I think that [families] have got a right to know what is held about them and what is said about them.</w:t>
      </w:r>
      <w:r>
        <w:rPr>
          <w:iCs/>
          <w:i/>
        </w:rPr>
        <w:t xml:space="preserve">’</w:t>
      </w:r>
      <w:r>
        <w:t xml:space="preserve">—[Worker, SQ50]</w:t>
      </w:r>
    </w:p>
    <w:p>
      <w:pPr>
        <w:pStyle w:val="FirstParagraph"/>
      </w:pPr>
      <w:r>
        <w:t xml:space="preserve">Even for data that would itself would be considered uncontroversial, a lack of awareness to that data or a lack of transparency on how data is informing judgements can cause great worry to families:</w:t>
      </w:r>
    </w:p>
    <w:p>
      <w:pPr>
        <w:pStyle w:val="BlockText"/>
      </w:pPr>
      <w:r>
        <w:rPr>
          <w:iCs/>
          <w:i/>
        </w:rPr>
        <w:t xml:space="preserve">‘</w:t>
      </w:r>
      <w:r>
        <w:rPr>
          <w:iCs/>
          <w:i/>
        </w:rPr>
        <w:t xml:space="preserve">Some people that I’ve worked with, I think as soon as they know you’re holding information about them they get really tight and [say],</w:t>
      </w:r>
      <w:r>
        <w:rPr>
          <w:iCs/>
          <w:i/>
        </w:rPr>
        <w:t xml:space="preserve"> </w:t>
      </w:r>
      <w:r>
        <w:rPr>
          <w:iCs/>
          <w:i/>
        </w:rPr>
        <w:t xml:space="preserve">“</w:t>
      </w:r>
      <w:r>
        <w:rPr>
          <w:iCs/>
          <w:i/>
        </w:rPr>
        <w:t xml:space="preserve">What are you holding about me?</w:t>
      </w:r>
      <w:r>
        <w:rPr>
          <w:iCs/>
          <w:i/>
        </w:rPr>
        <w:t xml:space="preserve">”</w:t>
      </w:r>
      <w:r>
        <w:rPr>
          <w:iCs/>
          <w:i/>
        </w:rPr>
        <w:t xml:space="preserve"> </w:t>
      </w:r>
      <w:r>
        <w:rPr>
          <w:iCs/>
          <w:i/>
        </w:rPr>
        <w:t xml:space="preserve">[…] They don’t like people knowing what’s going on in their lives.</w:t>
      </w:r>
      <w:r>
        <w:rPr>
          <w:iCs/>
          <w:i/>
        </w:rPr>
        <w:t xml:space="preserve">’</w:t>
      </w:r>
      <w:r>
        <w:t xml:space="preserve">—[Worker, SQ70]</w:t>
      </w:r>
    </w:p>
    <w:p>
      <w:pPr>
        <w:pStyle w:val="FirstParagraph"/>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lock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—[Parent, CQ3]</w:t>
      </w:r>
    </w:p>
    <w:p>
      <w:pPr>
        <w:pStyle w:val="FirstParagraph"/>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lockText"/>
      </w:pP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t xml:space="preserve">—[Parent, CQ7]</w:t>
      </w:r>
    </w:p>
    <w:p>
      <w:pPr>
        <w:pStyle w:val="FirstParagraph"/>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lock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Child:</w:t>
      </w:r>
      <w:r>
        <w:t xml:space="preserve"> </w:t>
      </w:r>
      <w:r>
        <w:rPr>
          <w:iCs/>
          <w:i/>
        </w:rPr>
        <w:t xml:space="preserve">‘</w:t>
      </w:r>
      <w:r>
        <w:rPr>
          <w:iCs/>
          <w:i/>
        </w:rPr>
        <w:t xml:space="preserve">That’s my life.</w:t>
      </w:r>
      <w:r>
        <w:rPr>
          <w:iCs/>
          <w:i/>
        </w:rPr>
        <w:t xml:space="preserve">’</w:t>
      </w:r>
      <w:r>
        <w:t xml:space="preserve">—[FQ2]</w:t>
      </w:r>
    </w:p>
    <w:p>
      <w:pPr>
        <w:pStyle w:val="FirstParagraph"/>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lock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—[CQ6]</w:t>
      </w:r>
    </w:p>
    <w:p>
      <w:pPr>
        <w:pStyle w:val="FirstParagraph"/>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lock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Researcher:</w:t>
      </w:r>
      <w:r>
        <w:t xml:space="preserve"> </w:t>
      </w:r>
      <w:r>
        <w:rPr>
          <w:iCs/>
          <w:i/>
        </w:rPr>
        <w:t xml:space="preserve">‘</w:t>
      </w:r>
      <w:r>
        <w:rPr>
          <w:iCs/>
          <w:i/>
        </w:rPr>
        <w:t xml:space="preserve">Regardless of what they say?</w:t>
      </w:r>
      <w:r>
        <w:rPr>
          <w:iCs/>
          <w:i/>
        </w:rPr>
        <w:t xml:space="preserve">’</w:t>
      </w:r>
      <w:r>
        <w:t xml:space="preserve">Worker A:</w:t>
      </w:r>
      <w:r>
        <w:t xml:space="preserve"> </w:t>
      </w:r>
      <w:r>
        <w:rPr>
          <w:iCs/>
          <w:i/>
        </w:rPr>
        <w:t xml:space="preserve">‘</w:t>
      </w:r>
      <w:r>
        <w:rPr>
          <w:iCs/>
          <w:i/>
        </w:rPr>
        <w:t xml:space="preserve">I do, yes.</w:t>
      </w:r>
      <w:r>
        <w:rPr>
          <w:iCs/>
          <w:i/>
        </w:rPr>
        <w:t xml:space="preserve">’</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—[SQ22]</w:t>
      </w:r>
    </w:p>
    <w:p>
      <w:pPr>
        <w:pStyle w:val="FirstParagraph"/>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w:t>
      </w:r>
      <w:hyperlink w:anchor="RQ1">
        <w:r>
          <w:rPr>
            <w:rStyle w:val="Hyperlink"/>
          </w:rPr>
          <w:t xml:space="preserve">RQ1</w:t>
        </w:r>
      </w:hyperlink>
      <w:r>
        <w:t xml:space="preserve">] and the role of data within EH relationships [</w:t>
      </w:r>
      <w:hyperlink w:anchor="RQ2">
        <w:r>
          <w:rPr>
            <w:rStyle w:val="Hyperlink"/>
          </w:rPr>
          <w:t xml:space="preserve">RQ2</w:t>
        </w:r>
      </w:hyperlink>
      <w:r>
        <w:t xml:space="preserve">]. This section discusses three implications:</w:t>
      </w:r>
    </w:p>
    <w:p>
      <w:pPr>
        <w:numPr>
          <w:ilvl w:val="0"/>
          <w:numId w:val="1009"/>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09"/>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09"/>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dynamic consent</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rPr>
          <w:iCs/>
          <w:i/>
        </w:rPr>
        <w:t xml:space="preserve">‘</w:t>
      </w:r>
      <w:r>
        <w:rPr>
          <w:iCs/>
          <w:i/>
        </w:rPr>
        <w:t xml:space="preserve">missing something important</w:t>
      </w:r>
      <w:r>
        <w:rPr>
          <w:iCs/>
          <w:i/>
        </w:rP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EHR to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lock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Lecluijze</w:t>
      </w:r>
      <w:r>
        <w:t xml:space="preserve"> </w:t>
      </w:r>
      <w:r>
        <w:rPr>
          <w:iCs/>
          <w:i/>
        </w:rPr>
        <w:t xml:space="preserve">et al.</w:t>
      </w:r>
      <w:r>
        <w:t xml:space="preserve"> </w:t>
      </w:r>
      <w:r>
        <w:t xml:space="preserve">(</w:t>
      </w:r>
      <w:hyperlink w:anchor="ref-lecluijze2015">
        <w:r>
          <w:rPr>
            <w:rStyle w:val="Hyperlink"/>
          </w:rPr>
          <w:t xml:space="preserve">2015</w:t>
        </w:r>
      </w:hyperlink>
      <w:r>
        <w:t xml:space="preserve">)</w:t>
      </w:r>
    </w:p>
    <w:bookmarkEnd w:id="42"/>
    <w:bookmarkStart w:id="46" w:name="X8a50e98458a9c28886ed15ffb2cc666b2d3d49b"/>
    <w:p>
      <w:pPr>
        <w:pStyle w:val="Heading3"/>
      </w:pPr>
      <w:r>
        <w:rPr>
          <w:rStyle w:val="SectionNumber"/>
        </w:rPr>
        <w:t xml:space="preserve">1.4.3</w:t>
      </w:r>
      <w:r>
        <w:tab/>
      </w:r>
      <w:r>
        <w:t xml:space="preserve">Shifting the Locus of Decision Making Through Shared Data Interaction</w:t>
      </w:r>
    </w:p>
    <w:p>
      <w:pPr>
        <w:pStyle w:val="FirstParagraph"/>
      </w:pPr>
      <w:r>
        <w:t xml:space="preserve">In pursuit of</w:t>
      </w:r>
      <w:r>
        <w:t xml:space="preserve"> </w:t>
      </w:r>
      <w:hyperlink w:anchor="RQ2">
        <w:r>
          <w:rPr>
            <w:rStyle w:val="Hyperlink"/>
          </w:rPr>
          <w:t xml:space="preserve">RQ2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w:t>
      </w:r>
      <w:r>
        <w:t xml:space="preserve"> </w:t>
      </w:r>
      <w:r>
        <w:t xml:space="preserve">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the remainder of this subsection will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t xml:space="preserve">[Data-centric citizen interaction]</w:t>
      </w:r>
      <w:r>
        <w:t xml:space="preserve"> </w:t>
      </w:r>
      <w:r>
        <w:rPr>
          <w:iCs/>
          <w:i/>
        </w:rPr>
        <w:t xml:space="preserve">is no longer a technological necessity, but it has become a political intention.’</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0"/>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0"/>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0"/>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0"/>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0"/>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r>
        <w:t xml:space="preserve">[</w:t>
      </w:r>
      <w:hyperlink w:anchor="figure-4.1">
        <w:r>
          <w:rPr>
            <w:rStyle w:val="Hyperlink"/>
          </w:rPr>
          <w:t xml:space="preserve">Figure 4.1</w:t>
        </w:r>
      </w:hyperlink>
      <w:r>
        <w:t xml:space="preserve">] informs</w:t>
      </w:r>
      <w:r>
        <w:t xml:space="preserve"> </w:t>
      </w:r>
      <w:hyperlink w:anchor="RQ1">
        <w:r>
          <w:rPr>
            <w:rStyle w:val="Hyperlink"/>
          </w:rPr>
          <w:t xml:space="preserve">RQ1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practices would improve families’ engagement and the support they receive. These proposed practices, as well as the shared data interaction approach, challenge the status quo and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2022-08-23T16:20:52Z</dcterms:created>
  <dcterms:modified xsi:type="dcterms:W3CDTF">2022-08-23T16:20:52Z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