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 that</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09"/>
        </w:numPr>
        <w:pStyle w:val="Compact"/>
      </w:pPr>
      <w:r>
        <w:t xml:space="preserve">the need for understandable and effective summaries and visualisations,</w:t>
      </w:r>
    </w:p>
    <w:p>
      <w:pPr>
        <w:numPr>
          <w:ilvl w:val="0"/>
          <w:numId w:val="1009"/>
        </w:numPr>
        <w:pStyle w:val="Compact"/>
      </w:pPr>
      <w:r>
        <w:t xml:space="preserve">the need for direct and ongoing data access with human support, and</w:t>
      </w:r>
    </w:p>
    <w:p>
      <w:pPr>
        <w:numPr>
          <w:ilvl w:val="0"/>
          <w:numId w:val="1009"/>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0"/>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10"/>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10"/>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1"/>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1"/>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1"/>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1"/>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1"/>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2022-08-25T08:01:29Z</dcterms:created>
  <dcterms:modified xsi:type="dcterms:W3CDTF">2022-08-25T08:01:29Z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