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60" w:name="chapter-4"/>
    <w:p>
      <w:pPr>
        <w:pStyle w:val="Heading1"/>
      </w:pPr>
      <w:r>
        <w:rPr>
          <w:rStyle w:val="SectionNumber"/>
        </w:rPr>
        <w:t xml:space="preserve">1</w:t>
      </w:r>
      <w:r>
        <w:tab/>
      </w:r>
      <w:r>
        <w:t xml:space="preserve">Case Study One: Accessing and Using Civic Data in Early Help</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
        </w:rPr>
        <w:t xml:space="preserve">‘</w:t>
      </w:r>
      <w:r>
        <w:rPr>
          <w:i/>
        </w:rPr>
        <w:t xml:space="preserve">at risk</w:t>
      </w:r>
      <w:r>
        <w:rPr>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context-data-use-in-early-help"/>
    <w:p>
      <w:pPr>
        <w:pStyle w:val="Heading2"/>
      </w:pPr>
      <w:r>
        <w:rPr>
          <w:rStyle w:val="SectionNumber"/>
        </w:rPr>
        <w:t xml:space="preserve">1.1</w:t>
      </w:r>
      <w:r>
        <w:tab/>
      </w:r>
      <w:r>
        <w:t xml:space="preserve">Context: Data Use in Early Help</w:t>
      </w:r>
    </w:p>
    <w:bookmarkStart w:id="21" w:name="X17af0f4669c31c004b4cee6a0a4d2ae9e319c62"/>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
        </w:rPr>
        <w:t xml:space="preserve">Every Child Matters</w:t>
      </w:r>
      <w:r>
        <w:t xml:space="preserve"> </w:t>
      </w:r>
      <w:r>
        <w:t xml:space="preserve">policy programme [ADD REF], to improve the lives of children, especially those suffering the most. The</w:t>
      </w:r>
      <w:r>
        <w:t xml:space="preserve"> </w:t>
      </w:r>
      <w:r>
        <w:rPr>
          <w:i/>
        </w:rPr>
        <w:t xml:space="preserve">Contact Point</w:t>
      </w:r>
      <w:r>
        <w:t xml:space="preserve"> </w:t>
      </w:r>
      <w:r>
        <w:t xml:space="preserve">and</w:t>
      </w:r>
      <w:r>
        <w:t xml:space="preserve"> </w:t>
      </w:r>
      <w:r>
        <w:rPr>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w:t>
      </w:r>
      <w:r>
        <w:t xml:space="preserve"> </w:t>
      </w:r>
      <w:r>
        <w:t xml:space="preserve">(REF Wilson et al 2011; Cornford, Baines and Wilson,</w:t>
      </w:r>
      <w:r>
        <w:t xml:space="preserve"> </w:t>
      </w:r>
      <w:hyperlink w:anchor="ref-cornford2013">
        <w:r>
          <w:rPr>
            <w:rStyle w:val="Hyperlink"/>
          </w:rPr>
          <w:t xml:space="preserve">2013</w:t>
        </w:r>
      </w:hyperlink>
      <w:r>
        <w:t xml:space="preserve">)</w:t>
      </w:r>
      <w:r>
        <w:t xml:space="preserve">, later expanding to include their families</w:t>
      </w:r>
      <w:r>
        <w:t xml:space="preserve"> </w:t>
      </w:r>
      <w:r>
        <w:t xml:space="preserve">(Malomo and Sena,</w:t>
      </w:r>
      <w:r>
        <w:t xml:space="preserve"> </w:t>
      </w:r>
      <w:hyperlink w:anchor="ref-malomo2017">
        <w:r>
          <w:rPr>
            <w:rStyle w:val="Hyperlink"/>
          </w:rPr>
          <w:t xml:space="preserve">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
        </w:rPr>
        <w:t xml:space="preserve">‘</w:t>
      </w:r>
      <w:r>
        <w:rPr>
          <w:i/>
        </w:rPr>
        <w:t xml:space="preserve">turned around</w:t>
      </w:r>
      <w:r>
        <w:rPr>
          <w:i/>
        </w:rPr>
        <w:t xml:space="preserve">’</w:t>
      </w:r>
      <w:r>
        <w:t xml:space="preserve">. Local municipalities were required to work with partner agencies to identify</w:t>
      </w:r>
      <w:r>
        <w:t xml:space="preserve"> </w:t>
      </w:r>
      <w:r>
        <w:rPr>
          <w:i/>
        </w:rPr>
        <w:t xml:space="preserve">troubled families</w:t>
      </w:r>
      <w:r>
        <w:rPr>
          <w:rStyle w:val="FootnoteReference"/>
        </w:rPr>
        <w:footnoteReference w:id="20"/>
      </w:r>
      <w:r>
        <w:t xml:space="preserve"> </w:t>
      </w:r>
      <w:r>
        <w:t xml:space="preserve">– those</w:t>
      </w:r>
      <w:r>
        <w:t xml:space="preserve"> </w:t>
      </w:r>
      <w:r>
        <w:rPr>
          <w:i/>
        </w:rPr>
        <w:t xml:space="preserve">‘</w:t>
      </w:r>
      <w:r>
        <w:rPr>
          <w:i/>
        </w:rPr>
        <w:t xml:space="preserve">at risk</w:t>
      </w:r>
      <w:r>
        <w:rPr>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(Bate and Bellis,</w:t>
      </w:r>
      <w:r>
        <w:t xml:space="preserve"> </w:t>
      </w:r>
      <w:hyperlink w:anchor="ref-bate2018">
        <w:r>
          <w:rPr>
            <w:rStyle w:val="Hyperlink"/>
          </w:rPr>
          <w:t xml:space="preserve">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(Cornford, Baines and Wilson,</w:t>
      </w:r>
      <w:r>
        <w:t xml:space="preserve"> </w:t>
      </w:r>
      <w:hyperlink w:anchor="ref-cornford2013">
        <w:r>
          <w:rPr>
            <w:rStyle w:val="Hyperlink"/>
          </w:rPr>
          <w:t xml:space="preserve">2013</w:t>
        </w:r>
      </w:hyperlink>
      <w:r>
        <w:t xml:space="preserve">; Barbosa Neves and Casimiro,</w:t>
      </w:r>
      <w:r>
        <w:t xml:space="preserve"> </w:t>
      </w:r>
      <w:hyperlink w:anchor="ref-barbosa2018">
        <w:r>
          <w:rPr>
            <w:rStyle w:val="Hyperlink"/>
          </w:rPr>
          <w:t xml:space="preserve">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
        </w:rPr>
        <w:t xml:space="preserve">gatekeepers</w:t>
      </w:r>
      <w:r>
        <w:t xml:space="preserve"> </w:t>
      </w:r>
      <w:r>
        <w:t xml:space="preserve">to the data about a family</w:t>
      </w:r>
      <w:r>
        <w:t xml:space="preserve"> </w:t>
      </w:r>
      <w:r>
        <w:t xml:space="preserve">(Corra and Willer,</w:t>
      </w:r>
      <w:r>
        <w:t xml:space="preserve"> </w:t>
      </w:r>
      <w:hyperlink w:anchor="ref-corra2002">
        <w:r>
          <w:rPr>
            <w:rStyle w:val="Hyperlink"/>
          </w:rPr>
          <w:t xml:space="preserve">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(Field,</w:t>
      </w:r>
      <w:r>
        <w:t xml:space="preserve"> </w:t>
      </w:r>
      <w:hyperlink w:anchor="ref-field2010">
        <w:r>
          <w:rPr>
            <w:rStyle w:val="Hyperlink"/>
          </w:rPr>
          <w:t xml:space="preserve">2010</w:t>
        </w:r>
      </w:hyperlink>
      <w:r>
        <w:t xml:space="preserve">; OFSTED,</w:t>
      </w:r>
      <w:r>
        <w:t xml:space="preserve"> </w:t>
      </w:r>
      <w:hyperlink w:anchor="ref-ofsted2015">
        <w:r>
          <w:rPr>
            <w:rStyle w:val="Hyperlink"/>
          </w:rPr>
          <w:t xml:space="preserve">2015</w:t>
        </w:r>
      </w:hyperlink>
      <w:r>
        <w:t xml:space="preserve">; Bate and Bellis,</w:t>
      </w:r>
      <w:r>
        <w:t xml:space="preserve"> </w:t>
      </w:r>
      <w:hyperlink w:anchor="ref-bate2018">
        <w:r>
          <w:rPr>
            <w:rStyle w:val="Hyperlink"/>
          </w:rPr>
          <w:t xml:space="preserve">2018</w:t>
        </w:r>
      </w:hyperlink>
      <w:r>
        <w:t xml:space="preserve">; Department for Education,</w:t>
      </w:r>
      <w:r>
        <w:t xml:space="preserve"> </w:t>
      </w:r>
      <w:hyperlink w:anchor="ref-dfe2018">
        <w:r>
          <w:rPr>
            <w:rStyle w:val="Hyperlink"/>
          </w:rPr>
          <w:t xml:space="preserve">2018</w:t>
        </w:r>
      </w:hyperlink>
      <w:r>
        <w:t xml:space="preserve">)</w:t>
      </w:r>
      <w:r>
        <w:t xml:space="preserve">.</w:t>
      </w:r>
    </w:p>
    <w:bookmarkEnd w:id="21"/>
    <w:bookmarkStart w:id="22" w:name="X69e53464ccd3698c390e9f45d716b15bb907a94"/>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
        </w:rPr>
        <w:t xml:space="preserve">family civic data</w:t>
      </w:r>
      <w:r>
        <w:t xml:space="preserve"> </w:t>
      </w:r>
      <w:r>
        <w:t xml:space="preserve">(a term I introduce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w:t>
      </w:r>
      <w:r>
        <w:t xml:space="preserve"> </w:t>
      </w:r>
      <w:r>
        <w:t xml:space="preserve">(OFSTED,</w:t>
      </w:r>
      <w:r>
        <w:t xml:space="preserve"> </w:t>
      </w:r>
      <w:hyperlink w:anchor="ref-ofsted2015">
        <w:r>
          <w:rPr>
            <w:rStyle w:val="Hyperlink"/>
          </w:rPr>
          <w:t xml:space="preserve">2015</w:t>
        </w:r>
      </w:hyperlink>
      <w:r>
        <w:t xml:space="preserve">)</w:t>
      </w:r>
      <w:r>
        <w:t xml:space="preserve">.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
        </w:rPr>
        <w:t xml:space="preserve">‘</w:t>
      </w:r>
      <w:r>
        <w:rPr>
          <w:i/>
        </w:rPr>
        <w:t xml:space="preserve">IT systems are most valuable when practitioners use the shared [between agencies] data to make more informed decisions about how to support and safeguard a child.</w:t>
      </w:r>
      <w:r>
        <w:rPr>
          <w:i/>
        </w:rPr>
        <w:t xml:space="preserve">’</w:t>
      </w:r>
      <w:r>
        <w:t xml:space="preserve"> </w:t>
      </w:r>
      <w:r>
        <w:t xml:space="preserve">(Department for Education,</w:t>
      </w:r>
      <w:r>
        <w:t xml:space="preserve"> </w:t>
      </w:r>
      <w:hyperlink w:anchor="ref-dfe2018">
        <w:r>
          <w:rPr>
            <w:rStyle w:val="Hyperlink"/>
          </w:rPr>
          <w:t xml:space="preserve">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(Copeland,</w:t>
      </w:r>
      <w:r>
        <w:t xml:space="preserve"> </w:t>
      </w:r>
      <w:hyperlink w:anchor="ref-copeland2015">
        <w:r>
          <w:rPr>
            <w:rStyle w:val="Hyperlink"/>
          </w:rPr>
          <w:t xml:space="preserve">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(Harbird,</w:t>
      </w:r>
      <w:r>
        <w:t xml:space="preserve"> </w:t>
      </w:r>
      <w:hyperlink w:anchor="ref-harbird2006">
        <w:r>
          <w:rPr>
            <w:rStyle w:val="Hyperlink"/>
          </w:rPr>
          <w:t xml:space="preserve">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(Malomo and Sena,</w:t>
      </w:r>
      <w:r>
        <w:t xml:space="preserve"> </w:t>
      </w:r>
      <w:hyperlink w:anchor="ref-malomo2017">
        <w:r>
          <w:rPr>
            <w:rStyle w:val="Hyperlink"/>
          </w:rPr>
          <w:t xml:space="preserve">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(Malomo and Sena,</w:t>
      </w:r>
      <w:r>
        <w:t xml:space="preserve"> </w:t>
      </w:r>
      <w:hyperlink w:anchor="ref-malomo2017">
        <w:r>
          <w:rPr>
            <w:rStyle w:val="Hyperlink"/>
          </w:rPr>
          <w:t xml:space="preserve">2017</w:t>
        </w:r>
      </w:hyperlink>
      <w:r>
        <w:t xml:space="preserve">)</w:t>
      </w:r>
      <w:r>
        <w:t xml:space="preserve">. Data should flow freely through the system in the service of individual care, but it does not, the public sector has a closed and fragmented ecosystem</w:t>
      </w:r>
      <w:r>
        <w:t xml:space="preserve"> </w:t>
      </w:r>
      <w:r>
        <w:t xml:space="preserve">(Pollock,</w:t>
      </w:r>
      <w:r>
        <w:t xml:space="preserve"> </w:t>
      </w:r>
      <w:hyperlink w:anchor="ref-pollock2011">
        <w:r>
          <w:rPr>
            <w:rStyle w:val="Hyperlink"/>
          </w:rPr>
          <w:t xml:space="preserve">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 making, we can see data-centric solutionism</w:t>
      </w:r>
      <w:r>
        <w:t xml:space="preserve"> </w:t>
      </w:r>
      <w:r>
        <w:t xml:space="preserve">(Morozov,</w:t>
      </w:r>
      <w:r>
        <w:t xml:space="preserve"> </w:t>
      </w:r>
      <w:hyperlink w:anchor="ref-morozov2013">
        <w:r>
          <w:rPr>
            <w:rStyle w:val="Hyperlink"/>
          </w:rPr>
          <w:t xml:space="preserve">2013</w:t>
        </w:r>
      </w:hyperlink>
      <w:r>
        <w:t xml:space="preserve">)</w:t>
      </w:r>
      <w:r>
        <w:t xml:space="preserve"> </w:t>
      </w:r>
      <w:r>
        <w:t xml:space="preserve">being applied to try and solve a problem that was created by a data-centric approach in the first place.</w:t>
      </w:r>
    </w:p>
    <w:bookmarkEnd w:id="22"/>
    <w:bookmarkStart w:id="23" w:name="X7e36495433e4f26492e7098d44d65b8b7e743c6"/>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(Cornford, Baines and Wilson,</w:t>
      </w:r>
      <w:r>
        <w:t xml:space="preserve"> </w:t>
      </w:r>
      <w:hyperlink w:anchor="ref-cornford2013">
        <w:r>
          <w:rPr>
            <w:rStyle w:val="Hyperlink"/>
          </w:rPr>
          <w:t xml:space="preserve">2013</w:t>
        </w:r>
      </w:hyperlink>
      <w:r>
        <w:t xml:space="preserve">; Lowe and Wilson,</w:t>
      </w:r>
      <w:r>
        <w:t xml:space="preserve"> </w:t>
      </w:r>
      <w:hyperlink w:anchor="ref-lowe2015">
        <w:r>
          <w:rPr>
            <w:rStyle w:val="Hyperlink"/>
          </w:rPr>
          <w:t xml:space="preserve">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4" w:name="X7abf2e7f63c7e2b437bb4f08c49bf2eb51d4b29"/>
    <w:p>
      <w:pPr>
        <w:pStyle w:val="Heading2"/>
      </w:pPr>
      <w:r>
        <w:rPr>
          <w:rStyle w:val="SectionNumber"/>
        </w:rPr>
        <w:t xml:space="preserve">1.2</w:t>
      </w:r>
      <w:r>
        <w:tab/>
      </w:r>
      <w:r>
        <w:t xml:space="preserve">Preliminary Explorations of Family Civic Data: Families’ and Support Workers’ Perspectives</w:t>
      </w:r>
    </w:p>
    <w:bookmarkStart w:id="27" w:name="what-is-family-civic-data"/>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
        </w:rPr>
        <w:t xml:space="preserve">Family Civic Data</w:t>
      </w:r>
      <w:r>
        <w:t xml:space="preserve"> </w:t>
      </w:r>
      <w:r>
        <w:t xml:space="preserve">to refer to these types of data (further detailed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0"/>
        <w:tblLook w:firstRow="1" w:lastRow="0" w:firstColumn="0" w:lastColumn="0" w:noHBand="0" w:noVBand="0"/>
        <w:tblCaption w:val="Table 3. Example Categories of Family Civic Data."/>
      </w:tblPr>
      <w:tblGrid>
        <w:gridCol w:w="1272"/>
        <w:gridCol w:w="1272"/>
        <w:gridCol w:w="5374"/>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Type of data</w:t>
            </w:r>
          </w:p>
        </w:tc>
        <w:tc>
          <w:tcPr>
            <w:tcBorders>
              <w:bottom w:val="single"/>
            </w:tcBorders>
            <w:vAlign w:val="bottom"/>
          </w:tcPr>
          <w:p>
            <w:pPr>
              <w:pStyle w:val="Compact"/>
              <w:jc w:val="left"/>
            </w:pPr>
            <w:r>
              <w:t xml:space="preserve">Examples/Details</w:t>
            </w:r>
          </w:p>
        </w:tc>
      </w:tr>
      <w:tr>
        <w:tc>
          <w:p>
            <w:pPr>
              <w:pStyle w:val="Compact"/>
              <w:jc w:val="left"/>
            </w:pPr>
            <w:r>
              <w:t xml:space="preserve">Family</w:t>
            </w:r>
          </w:p>
        </w:tc>
        <w:tc>
          <w:p>
            <w:pPr>
              <w:pStyle w:val="Compact"/>
              <w:jc w:val="left"/>
            </w:pPr>
            <w:r>
              <w:t xml:space="preserve">Personal details</w:t>
            </w:r>
          </w:p>
        </w:tc>
        <w:tc>
          <w:p>
            <w:pPr>
              <w:pStyle w:val="Compact"/>
              <w:jc w:val="left"/>
            </w:pPr>
            <w:r>
              <w:t xml:space="preserve">Date of birth, address, telephone number.</w:t>
            </w:r>
          </w:p>
        </w:tc>
      </w:tr>
      <w:tr>
        <w:tc>
          <w:p/>
        </w:tc>
        <w:tc>
          <w:p>
            <w:pPr>
              <w:pStyle w:val="Compact"/>
              <w:jc w:val="left"/>
            </w:pPr>
            <w:r>
              <w:t xml:space="preserve">Relationships</w:t>
            </w:r>
          </w:p>
        </w:tc>
        <w:tc>
          <w:p>
            <w:pPr>
              <w:pStyle w:val="Compact"/>
              <w:jc w:val="left"/>
            </w:pPr>
            <w:r>
              <w:t xml:space="preserve">Marital status, ex’s, step-parents, living arrangements.</w:t>
            </w:r>
          </w:p>
        </w:tc>
      </w:tr>
      <w:tr>
        <w:tc>
          <w:p/>
        </w:tc>
        <w:tc>
          <w:p>
            <w:pPr>
              <w:pStyle w:val="Compact"/>
              <w:jc w:val="left"/>
            </w:pPr>
            <w:r>
              <w:t xml:space="preserve">Children</w:t>
            </w:r>
          </w:p>
        </w:tc>
        <w:tc>
          <w:p>
            <w:pPr>
              <w:pStyle w:val="Compact"/>
              <w:jc w:val="left"/>
            </w:pPr>
            <w:r>
              <w:t xml:space="preserve">Parentage, adoption, fostering, childcare.</w:t>
            </w:r>
          </w:p>
        </w:tc>
      </w:tr>
      <w:tr>
        <w:tc>
          <w:p>
            <w:pPr>
              <w:pStyle w:val="Compact"/>
              <w:jc w:val="left"/>
            </w:pPr>
            <w:r>
              <w:t xml:space="preserve">Education</w:t>
            </w:r>
          </w:p>
        </w:tc>
        <w:tc>
          <w:p>
            <w:pPr>
              <w:pStyle w:val="Compact"/>
              <w:jc w:val="left"/>
            </w:pPr>
            <w:r>
              <w:t xml:space="preserve">School Records</w:t>
            </w:r>
          </w:p>
        </w:tc>
        <w:tc>
          <w:p>
            <w:pPr>
              <w:pStyle w:val="Compact"/>
              <w:jc w:val="left"/>
            </w:pPr>
            <w:r>
              <w:t xml:space="preserve">Attendance (truancy), special needs.</w:t>
            </w:r>
          </w:p>
        </w:tc>
      </w:tr>
      <w:tr>
        <w:tc>
          <w:p/>
        </w:tc>
        <w:tc>
          <w:p>
            <w:pPr>
              <w:pStyle w:val="Compact"/>
              <w:jc w:val="left"/>
            </w:pPr>
            <w:r>
              <w:t xml:space="preserve">Academic Results</w:t>
            </w:r>
          </w:p>
        </w:tc>
        <w:tc>
          <w:p>
            <w:pPr>
              <w:pStyle w:val="Compact"/>
              <w:jc w:val="left"/>
            </w:pPr>
            <w:r>
              <w:t xml:space="preserve">SATs, reports, exam failures, training courses.</w:t>
            </w:r>
          </w:p>
        </w:tc>
      </w:tr>
      <w:tr>
        <w:tc>
          <w:p>
            <w:pPr>
              <w:pStyle w:val="Compact"/>
              <w:jc w:val="left"/>
            </w:pPr>
            <w:r>
              <w:t xml:space="preserve">Welfare</w:t>
            </w:r>
          </w:p>
        </w:tc>
        <w:tc>
          <w:p>
            <w:pPr>
              <w:pStyle w:val="Compact"/>
              <w:jc w:val="left"/>
            </w:pPr>
            <w:r>
              <w:t xml:space="preserve">Social Support</w:t>
            </w:r>
          </w:p>
        </w:tc>
        <w:tc>
          <w:p>
            <w:pPr>
              <w:pStyle w:val="Compact"/>
              <w:jc w:val="left"/>
            </w:pPr>
            <w:r>
              <w:t xml:space="preserve">Social worker visits &amp; notes, details of family crises, interventions, allegations.</w:t>
            </w:r>
          </w:p>
        </w:tc>
      </w:tr>
      <w:tr>
        <w:tc>
          <w:p/>
        </w:tc>
        <w:tc>
          <w:p>
            <w:pPr>
              <w:pStyle w:val="Compact"/>
              <w:jc w:val="left"/>
            </w:pPr>
            <w:r>
              <w:t xml:space="preserve">Welfare Benefits</w:t>
            </w:r>
          </w:p>
        </w:tc>
        <w:tc>
          <w:p>
            <w:pPr>
              <w:pStyle w:val="Compact"/>
              <w:jc w:val="left"/>
            </w:pPr>
            <w:r>
              <w:t xml:space="preserve">Jobseeker’s Allowance, child support, Disability Living Allowance, tax credits</w:t>
            </w:r>
          </w:p>
        </w:tc>
      </w:tr>
      <w:tr>
        <w:tc>
          <w:p>
            <w:pPr>
              <w:pStyle w:val="Compact"/>
              <w:jc w:val="left"/>
            </w:pPr>
            <w:r>
              <w:t xml:space="preserve">Money/Work</w:t>
            </w:r>
          </w:p>
        </w:tc>
        <w:tc>
          <w:p>
            <w:pPr>
              <w:pStyle w:val="Compact"/>
              <w:jc w:val="left"/>
            </w:pPr>
            <w:r>
              <w:t xml:space="preserve">Family Finances</w:t>
            </w:r>
          </w:p>
        </w:tc>
        <w:tc>
          <w:p>
            <w:pPr>
              <w:pStyle w:val="Compact"/>
              <w:jc w:val="left"/>
            </w:pPr>
            <w:r>
              <w:t xml:space="preserve">Salary, savings, credit cards, spending, debt</w:t>
            </w:r>
          </w:p>
        </w:tc>
      </w:tr>
      <w:tr>
        <w:tc>
          <w:p/>
        </w:tc>
        <w:tc>
          <w:p>
            <w:pPr>
              <w:pStyle w:val="Compact"/>
              <w:jc w:val="left"/>
            </w:pPr>
            <w:r>
              <w:t xml:space="preserve">Employment</w:t>
            </w:r>
          </w:p>
        </w:tc>
        <w:tc>
          <w:p>
            <w:pPr>
              <w:pStyle w:val="Compact"/>
              <w:jc w:val="left"/>
            </w:pPr>
            <w:r>
              <w:t xml:space="preserve">Job history, periods of unemployment,performance at work, NI, PAYE, pensions.</w:t>
            </w:r>
          </w:p>
        </w:tc>
      </w:tr>
      <w:tr>
        <w:tc>
          <w:p>
            <w:pPr>
              <w:pStyle w:val="Compact"/>
              <w:jc w:val="left"/>
            </w:pPr>
            <w:r>
              <w:t xml:space="preserve">Civil</w:t>
            </w:r>
          </w:p>
        </w:tc>
        <w:tc>
          <w:p>
            <w:pPr>
              <w:pStyle w:val="Compact"/>
              <w:jc w:val="left"/>
            </w:pPr>
            <w:r>
              <w:t xml:space="preserve">Housing data</w:t>
            </w:r>
          </w:p>
        </w:tc>
        <w:tc>
          <w:p>
            <w:pPr>
              <w:pStyle w:val="Compact"/>
              <w:jc w:val="left"/>
            </w:pPr>
            <w:r>
              <w:t xml:space="preserve">Council house provision, eligibility criteria.</w:t>
            </w:r>
          </w:p>
        </w:tc>
      </w:tr>
      <w:tr>
        <w:tc>
          <w:p/>
        </w:tc>
        <w:tc>
          <w:p>
            <w:pPr>
              <w:pStyle w:val="Compact"/>
              <w:jc w:val="left"/>
            </w:pPr>
            <w:r>
              <w:t xml:space="preserve">Legal documents</w:t>
            </w:r>
          </w:p>
        </w:tc>
        <w:tc>
          <w:p>
            <w:pPr>
              <w:pStyle w:val="Compact"/>
              <w:jc w:val="left"/>
            </w:pPr>
            <w:r>
              <w:t xml:space="preserve">Birth/marriage/death certificates,citizenship/immigration status, work permits.</w:t>
            </w:r>
          </w:p>
        </w:tc>
      </w:tr>
      <w:tr>
        <w:tc>
          <w:p>
            <w:pPr>
              <w:pStyle w:val="Compact"/>
              <w:jc w:val="left"/>
            </w:pPr>
            <w:r>
              <w:t xml:space="preserve">Crime</w:t>
            </w:r>
          </w:p>
        </w:tc>
        <w:tc>
          <w:p>
            <w:pPr>
              <w:pStyle w:val="Compact"/>
              <w:jc w:val="left"/>
            </w:pPr>
            <w:r>
              <w:t xml:space="preserve">Criminal records</w:t>
            </w:r>
          </w:p>
        </w:tc>
        <w:tc>
          <w:p>
            <w:pPr>
              <w:pStyle w:val="Compact"/>
              <w:jc w:val="left"/>
            </w:pPr>
            <w:r>
              <w:t xml:space="preserve">Arrests, cautions, offenders’ registers, prison time, speeding tickets, spent convictions.</w:t>
            </w:r>
          </w:p>
        </w:tc>
      </w:tr>
      <w:tr>
        <w:tc>
          <w:p/>
        </w:tc>
        <w:tc>
          <w:p>
            <w:pPr>
              <w:pStyle w:val="Compact"/>
              <w:jc w:val="left"/>
            </w:pPr>
            <w:r>
              <w:t xml:space="preserve">Court orders</w:t>
            </w:r>
          </w:p>
        </w:tc>
        <w:tc>
          <w:p>
            <w:pPr>
              <w:pStyle w:val="Compact"/>
              <w:jc w:val="left"/>
            </w:pPr>
            <w:r>
              <w:t xml:space="preserve">Restraining orders, lawsuits, custody, ASBOs.</w:t>
            </w:r>
          </w:p>
        </w:tc>
      </w:tr>
      <w:tr>
        <w:tc>
          <w:p/>
        </w:tc>
        <w:tc>
          <w:p>
            <w:pPr>
              <w:pStyle w:val="Compact"/>
              <w:jc w:val="left"/>
            </w:pPr>
            <w:r>
              <w:t xml:space="preserve">Domestic Violence</w:t>
            </w:r>
          </w:p>
        </w:tc>
        <w:tc>
          <w:p>
            <w:pPr>
              <w:pStyle w:val="Compact"/>
              <w:jc w:val="left"/>
            </w:pPr>
            <w:r>
              <w:t xml:space="preserve">Allegations made, medical records,social/legal interventions, victim support.</w:t>
            </w:r>
          </w:p>
        </w:tc>
      </w:tr>
      <w:tr>
        <w:tc>
          <w:p>
            <w:pPr>
              <w:pStyle w:val="Compact"/>
              <w:jc w:val="left"/>
            </w:pPr>
            <w:r>
              <w:t xml:space="preserve">Medical</w:t>
            </w:r>
          </w:p>
        </w:tc>
        <w:tc>
          <w:p>
            <w:pPr>
              <w:pStyle w:val="Compact"/>
              <w:jc w:val="left"/>
            </w:pPr>
            <w:r>
              <w:t xml:space="preserve">GP records</w:t>
            </w:r>
          </w:p>
        </w:tc>
        <w:tc>
          <w:p>
            <w:pPr>
              <w:pStyle w:val="Compact"/>
              <w:jc w:val="left"/>
            </w:pPr>
            <w:r>
              <w:t xml:space="preserve">GP’s notes, prescriptions, tests, referrals.</w:t>
            </w:r>
          </w:p>
        </w:tc>
      </w:tr>
      <w:tr>
        <w:tc>
          <w:p/>
        </w:tc>
        <w:tc>
          <w:p>
            <w:pPr>
              <w:pStyle w:val="Compact"/>
              <w:jc w:val="left"/>
            </w:pPr>
            <w:r>
              <w:t xml:space="preserve">Hospital records</w:t>
            </w:r>
          </w:p>
        </w:tc>
        <w:tc>
          <w:p>
            <w:pPr>
              <w:pStyle w:val="Compact"/>
              <w:jc w:val="left"/>
            </w:pPr>
            <w:r>
              <w:t xml:space="preserve">Operations, hospital stays, emergency care.</w:t>
            </w:r>
          </w:p>
        </w:tc>
      </w:tr>
      <w:tr>
        <w:tc>
          <w:p/>
        </w:tc>
        <w:tc>
          <w:p>
            <w:pPr>
              <w:pStyle w:val="Compact"/>
              <w:jc w:val="left"/>
            </w:pPr>
            <w:r>
              <w:t xml:space="preserve">Medical conditions</w:t>
            </w:r>
          </w:p>
        </w:tc>
        <w:tc>
          <w:p>
            <w:pPr>
              <w:pStyle w:val="Compact"/>
              <w:jc w:val="left"/>
            </w:pPr>
            <w:r>
              <w:t xml:space="preserve">Diagnoses, diseases, allergies, blood type.</w:t>
            </w:r>
          </w:p>
        </w:tc>
      </w:tr>
      <w:tr>
        <w:tc>
          <w:p/>
        </w:tc>
        <w:tc>
          <w:p>
            <w:pPr>
              <w:pStyle w:val="Compact"/>
              <w:jc w:val="left"/>
            </w:pPr>
            <w:r>
              <w:t xml:space="preserve">Mental health</w:t>
            </w:r>
          </w:p>
        </w:tc>
        <w:tc>
          <w:p>
            <w:pPr>
              <w:pStyle w:val="Compact"/>
              <w:jc w:val="left"/>
            </w:pPr>
            <w:r>
              <w:t xml:space="preserve">PTSD, breakdowns, depression, sectioning.</w:t>
            </w:r>
          </w:p>
        </w:tc>
      </w:tr>
      <w:tr>
        <w:tc>
          <w:p/>
        </w:tc>
        <w:tc>
          <w:p>
            <w:pPr>
              <w:pStyle w:val="Compact"/>
              <w:jc w:val="left"/>
            </w:pPr>
            <w:r>
              <w:t xml:space="preserve">Addictions</w:t>
            </w:r>
          </w:p>
        </w:tc>
        <w:tc>
          <w:p>
            <w:pPr>
              <w:pStyle w:val="Compact"/>
              <w:jc w:val="left"/>
            </w:pPr>
            <w:r>
              <w:t xml:space="preserve">Substance abuse, gambling, rehab, crime.</w:t>
            </w:r>
          </w:p>
        </w:tc>
      </w:tr>
      <w:tr>
        <w:tc>
          <w:p>
            <w:pPr>
              <w:pStyle w:val="Compact"/>
              <w:jc w:val="left"/>
            </w:pPr>
            <w:r>
              <w:t xml:space="preserve">Leisure</w:t>
            </w:r>
            <w:r>
              <w:rPr>
                <w:rStyle w:val="FootnoteReference"/>
              </w:rPr>
              <w:footnoteReference w:id="25"/>
            </w:r>
          </w:p>
        </w:tc>
        <w:tc>
          <w:p>
            <w:pPr>
              <w:pStyle w:val="Compact"/>
              <w:jc w:val="left"/>
            </w:pPr>
            <w:r>
              <w:t xml:space="preserve">Library Usage</w:t>
            </w:r>
          </w:p>
        </w:tc>
        <w:tc>
          <w:p>
            <w:pPr>
              <w:pStyle w:val="Compact"/>
              <w:jc w:val="left"/>
            </w:pPr>
            <w:r>
              <w:t xml:space="preserve">Books/CDs borrowed, computer access.</w:t>
            </w:r>
          </w:p>
        </w:tc>
      </w:tr>
      <w:tr>
        <w:tc>
          <w:p/>
        </w:tc>
        <w:tc>
          <w:p>
            <w:pPr>
              <w:pStyle w:val="Compact"/>
              <w:jc w:val="left"/>
            </w:pPr>
            <w:r>
              <w:t xml:space="preserve">Sports &amp; Health</w:t>
            </w:r>
          </w:p>
        </w:tc>
        <w:tc>
          <w:p>
            <w:pPr>
              <w:pStyle w:val="Compact"/>
              <w:jc w:val="left"/>
            </w:pPr>
            <w:r>
              <w:t xml:space="preserve">Gym usage, class attendance.</w:t>
            </w:r>
          </w:p>
        </w:tc>
      </w:tr>
      <w:tr>
        <w:tc>
          <w:p/>
        </w:tc>
        <w:tc>
          <w:p>
            <w:pPr>
              <w:pStyle w:val="Compact"/>
              <w:jc w:val="left"/>
            </w:pPr>
            <w:r>
              <w:t xml:space="preserve">Shopping Habits</w:t>
            </w:r>
          </w:p>
        </w:tc>
        <w:tc>
          <w:p>
            <w:pPr>
              <w:pStyle w:val="Compact"/>
              <w:jc w:val="left"/>
            </w:pPr>
            <w:r>
              <w:t xml:space="preserve">Loyalty cards, store &amp; online purchases.</w:t>
            </w:r>
          </w:p>
        </w:tc>
      </w:tr>
      <w:tr>
        <w:tc>
          <w:p/>
        </w:tc>
        <w:tc>
          <w:p>
            <w:pPr>
              <w:pStyle w:val="Compact"/>
              <w:jc w:val="left"/>
            </w:pPr>
            <w:r>
              <w:t xml:space="preserve">Transport Data</w:t>
            </w:r>
          </w:p>
        </w:tc>
        <w:tc>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(Brandt and Messeter,</w:t>
      </w:r>
      <w:r>
        <w:t xml:space="preserve"> </w:t>
      </w:r>
      <w:hyperlink w:anchor="ref-brandt2004">
        <w:r>
          <w:rPr>
            <w:rStyle w:val="Hyperlink"/>
          </w:rPr>
          <w:t xml:space="preserve">2004</w:t>
        </w:r>
      </w:hyperlink>
      <w:r>
        <w:t xml:space="preserve">)</w:t>
      </w:r>
      <w:r>
        <w:t xml:space="preserve"> </w:t>
      </w:r>
      <w:r>
        <w:t xml:space="preserve">in creating</w:t>
      </w:r>
      <w:r>
        <w:t xml:space="preserve"> </w:t>
      </w:r>
      <w:r>
        <w:rPr>
          <w:i/>
        </w:rPr>
        <w:t xml:space="preserve">design games</w:t>
      </w:r>
      <w:r>
        <w:t xml:space="preserve">, which observes that game pieces can be used to create common ground and as</w:t>
      </w:r>
      <w:r>
        <w:t xml:space="preserve"> </w:t>
      </w:r>
      <w:r>
        <w:rPr>
          <w:i/>
        </w:rPr>
        <w:t xml:space="preserve">“</w:t>
      </w:r>
      <w:r>
        <w:rPr>
          <w:i/>
        </w:rPr>
        <w:t xml:space="preserve">things-to-think-with</w:t>
      </w:r>
      <w:r>
        <w:rPr>
          <w:i/>
        </w:rPr>
        <w:t xml:space="preserve">”</w:t>
      </w:r>
      <w:r>
        <w:t xml:space="preserve"> </w:t>
      </w:r>
      <w:r>
        <w:t xml:space="preserve">(Papert,</w:t>
      </w:r>
      <w:r>
        <w:t xml:space="preserve"> </w:t>
      </w:r>
      <w:hyperlink w:anchor="ref-papert1980">
        <w:r>
          <w:rPr>
            <w:rStyle w:val="Hyperlink"/>
          </w:rPr>
          <w:t xml:space="preserve">1980</w:t>
        </w:r>
      </w:hyperlink>
      <w:r>
        <w:t xml:space="preserve">; Brandt and Messeter,</w:t>
      </w:r>
      <w:r>
        <w:t xml:space="preserve"> </w:t>
      </w:r>
      <w:hyperlink w:anchor="ref-brandt2004">
        <w:r>
          <w:rPr>
            <w:rStyle w:val="Hyperlink"/>
          </w:rPr>
          <w:t xml:space="preserve">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(Star,</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a28ebbe968568f4ad414cc9ead3045809f55631"/>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 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dd1ba9525a5dd22122d3c19f2d7c029b098f1ab"/>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(Wilson, Wilson and Martin,</w:t>
      </w:r>
      <w:r>
        <w:t xml:space="preserve"> </w:t>
      </w:r>
      <w:hyperlink w:anchor="ref-wilson2020">
        <w:r>
          <w:rPr>
            <w:rStyle w:val="Hyperlink"/>
          </w:rPr>
          <w:t xml:space="preserve">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(Morozov,</w:t>
      </w:r>
      <w:r>
        <w:t xml:space="preserve"> </w:t>
      </w:r>
      <w:hyperlink w:anchor="ref-morozov2013">
        <w:r>
          <w:rPr>
            <w:rStyle w:val="Hyperlink"/>
          </w:rPr>
          <w:t xml:space="preserve">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2c51f21a549517fd9a0cb1976664ff71004433b"/>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to families (and also to workers), while also serving as a boundary object that might improve the relationship itself</w:t>
      </w:r>
      <w:r>
        <w:t xml:space="preserve"> </w:t>
      </w:r>
      <w:r>
        <w:t xml:space="preserve">(Bowker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
        </w:rPr>
        <w:t xml:space="preserve">should</w:t>
      </w:r>
      <w:r>
        <w:t xml:space="preserve"> </w:t>
      </w:r>
      <w:r>
        <w:t xml:space="preserve">be used, not just expressing opinions on how it was used currently.</w:t>
      </w:r>
    </w:p>
    <w:bookmarkEnd w:id="30"/>
    <w:bookmarkStart w:id="31" w:name="the-workshops"/>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0"/>
        <w:tblLook w:firstRow="1" w:lastRow="0" w:firstColumn="0" w:lastColumn="0" w:noHBand="0" w:noVBand="0"/>
        <w:tblCaption w:val="Table 4 - Case Study One Group Design Workshops."/>
      </w:tblPr>
      <w:tblGrid>
        <w:gridCol w:w="1320"/>
        <w:gridCol w:w="2160"/>
        <w:gridCol w:w="480"/>
        <w:gridCol w:w="1920"/>
        <w:gridCol w:w="2040"/>
      </w:tblGrid>
      <w:tr>
        <w:trPr>
          <w:cnfStyle w:firstRow="1"/>
        </w:trPr>
        <w:tc>
          <w:tcPr>
            <w:tcBorders>
              <w:bottom w:val="single"/>
            </w:tcBorders>
            <w:vAlign w:val="bottom"/>
          </w:tcPr>
          <w:p>
            <w:pPr>
              <w:pStyle w:val="Compact"/>
              <w:jc w:val="center"/>
            </w:pPr>
            <w:r>
              <w:t xml:space="preserve">Workshop</w:t>
            </w:r>
          </w:p>
        </w:tc>
        <w:tc>
          <w:tcPr>
            <w:tcBorders>
              <w:bottom w:val="single"/>
            </w:tcBorders>
            <w:vAlign w:val="bottom"/>
          </w:tcPr>
          <w:p>
            <w:pPr>
              <w:pStyle w:val="Compact"/>
              <w:jc w:val="left"/>
            </w:pPr>
            <w:r>
              <w:t xml:space="preserve">Engagement</w:t>
            </w:r>
          </w:p>
        </w:tc>
        <w:tc>
          <w:tcPr>
            <w:tcBorders>
              <w:bottom w:val="single"/>
            </w:tcBorders>
            <w:vAlign w:val="bottom"/>
          </w:tcPr>
          <w:p>
            <w:pPr>
              <w:pStyle w:val="Compact"/>
              <w:jc w:val="center"/>
            </w:pPr>
            <w:r>
              <w:t xml:space="preserve">Phase</w:t>
            </w:r>
          </w:p>
        </w:tc>
        <w:tc>
          <w:tcPr>
            <w:tcBorders>
              <w:bottom w:val="single"/>
            </w:tcBorders>
            <w:vAlign w:val="bottom"/>
          </w:tcPr>
          <w:p>
            <w:pPr>
              <w:pStyle w:val="Compact"/>
              <w:jc w:val="left"/>
            </w:pPr>
            <w:r>
              <w:t xml:space="preserve">Number of Participants</w:t>
            </w:r>
          </w:p>
        </w:tc>
        <w:tc>
          <w:tcPr>
            <w:tcBorders>
              <w:bottom w:val="single"/>
            </w:tcBorders>
            <w:vAlign w:val="bottom"/>
          </w:tcPr>
          <w:p>
            <w:pPr>
              <w:pStyle w:val="Compact"/>
              <w:jc w:val="left"/>
            </w:pPr>
            <w:r>
              <w:t xml:space="preserve">Activities</w:t>
            </w:r>
          </w:p>
        </w:tc>
      </w:tr>
      <w:tr>
        <w:tc>
          <w:p>
            <w:pPr>
              <w:pStyle w:val="Compact"/>
              <w:jc w:val="center"/>
            </w:pPr>
            <w:r>
              <w:t xml:space="preserve">Workshop A</w:t>
            </w:r>
          </w:p>
        </w:tc>
        <w:tc>
          <w:p>
            <w:pPr>
              <w:pStyle w:val="Compact"/>
              <w:jc w:val="left"/>
            </w:pPr>
            <w:r>
              <w:t xml:space="preserve">Design Workshop for Families</w:t>
            </w:r>
          </w:p>
        </w:tc>
        <w:tc>
          <w:p>
            <w:pPr>
              <w:pStyle w:val="Compact"/>
              <w:jc w:val="center"/>
            </w:pPr>
            <w:r>
              <w:t xml:space="preserve">1</w:t>
            </w:r>
          </w:p>
        </w:tc>
        <w:tc>
          <w:p>
            <w:pPr>
              <w:pStyle w:val="Compact"/>
              <w:jc w:val="left"/>
            </w:pPr>
            <w:r>
              <w:t xml:space="preserve">8 adults and 9 children from 5 supported families</w:t>
            </w:r>
          </w:p>
        </w:tc>
        <w:tc>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p>
            <w:pPr>
              <w:pStyle w:val="Compact"/>
              <w:jc w:val="center"/>
            </w:pPr>
            <w:r>
              <w:t xml:space="preserve">Workshop B</w:t>
            </w:r>
            <w:r>
              <w:t xml:space="preserve">(2 instances)</w:t>
            </w:r>
          </w:p>
        </w:tc>
        <w:tc>
          <w:p>
            <w:pPr>
              <w:pStyle w:val="Compact"/>
              <w:jc w:val="left"/>
            </w:pPr>
            <w:r>
              <w:t xml:space="preserve">Design Workshop for Staff</w:t>
            </w:r>
          </w:p>
        </w:tc>
        <w:tc>
          <w:p>
            <w:pPr>
              <w:pStyle w:val="Compact"/>
              <w:jc w:val="center"/>
            </w:pPr>
            <w:r>
              <w:t xml:space="preserve">1</w:t>
            </w:r>
          </w:p>
        </w:tc>
        <w:tc>
          <w:p>
            <w:pPr>
              <w:pStyle w:val="Compact"/>
              <w:jc w:val="left"/>
            </w:pPr>
            <w:r>
              <w:t xml:space="preserve">36 support workers &amp; related staff (in total)</w:t>
            </w:r>
          </w:p>
        </w:tc>
        <w:tc>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p>
            <w:pPr>
              <w:pStyle w:val="Compact"/>
              <w:jc w:val="center"/>
            </w:pPr>
            <w:r>
              <w:t xml:space="preserve">Workshop C</w:t>
            </w:r>
          </w:p>
        </w:tc>
        <w:tc>
          <w:p>
            <w:pPr>
              <w:pStyle w:val="Compact"/>
              <w:jc w:val="left"/>
            </w:pPr>
            <w:r>
              <w:t xml:space="preserve">Combined Staff and Parents’ Design Workshop</w:t>
            </w:r>
          </w:p>
        </w:tc>
        <w:tc>
          <w:p>
            <w:pPr>
              <w:pStyle w:val="Compact"/>
              <w:jc w:val="center"/>
            </w:pPr>
            <w:r>
              <w:t xml:space="preserve">2</w:t>
            </w:r>
          </w:p>
        </w:tc>
        <w:tc>
          <w:p>
            <w:pPr>
              <w:pStyle w:val="Compact"/>
              <w:jc w:val="left"/>
            </w:pPr>
            <w:r>
              <w:t xml:space="preserve">3 support workers and 4 parents from supported families</w:t>
            </w:r>
          </w:p>
        </w:tc>
        <w:tc>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3" w:name="Xcc12b6243ec833be61ea6b305192ec2506124ff"/>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
        </w:rPr>
        <w:t xml:space="preserve">‘</w:t>
      </w:r>
      <w:r>
        <w:rPr>
          <w:i/>
        </w:rPr>
        <w:t xml:space="preserve">Families should always be able to talk to someone about their data</w:t>
      </w:r>
      <w:r>
        <w:rPr>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
        </w:rPr>
        <w:t xml:space="preserve">Agreement</w:t>
      </w:r>
      <w:r>
        <w:t xml:space="preserve">: neutral (0) -&gt; agree (+1.0)</w:t>
      </w:r>
    </w:p>
    <w:p>
      <w:pPr>
        <w:numPr>
          <w:ilvl w:val="1"/>
          <w:numId w:val="1002"/>
        </w:numPr>
        <w:pStyle w:val="Compact"/>
      </w:pPr>
      <w:r>
        <w:rPr>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
        </w:rPr>
        <w:t xml:space="preserve">Mean agreement</w:t>
      </w:r>
    </w:p>
    <w:p>
      <w:pPr>
        <w:numPr>
          <w:ilvl w:val="1"/>
          <w:numId w:val="1003"/>
        </w:numPr>
        <w:pStyle w:val="Compact"/>
      </w:pPr>
      <w:r>
        <w:rPr>
          <w:i/>
        </w:rPr>
        <w:t xml:space="preserve">Variance of agreement</w:t>
      </w:r>
    </w:p>
    <w:p>
      <w:pPr>
        <w:numPr>
          <w:ilvl w:val="1"/>
          <w:numId w:val="1003"/>
        </w:numPr>
        <w:pStyle w:val="Compact"/>
      </w:pPr>
      <w:r>
        <w:rPr>
          <w:i/>
        </w:rPr>
        <w:t xml:space="preserve">Mean importance</w:t>
      </w:r>
    </w:p>
    <w:p>
      <w:pPr>
        <w:numPr>
          <w:ilvl w:val="1"/>
          <w:numId w:val="1003"/>
        </w:numPr>
        <w:pStyle w:val="Compact"/>
      </w:pPr>
      <w:r>
        <w:rPr>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1" name="Picture"/>
            <a:graphic>
              <a:graphicData uri="http://schemas.openxmlformats.org/drawingml/2006/picture">
                <pic:pic>
                  <pic:nvPicPr>
                    <pic:cNvPr descr="./src/figs/fig21-sentence-ranking-results.png" id="0"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3"/>
    <w:bookmarkEnd w:id="34"/>
    <w:bookmarkStart w:id="53" w:name="thematic-findings"/>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(Huberman and Miles,</w:t>
      </w:r>
      <w:r>
        <w:t xml:space="preserve"> </w:t>
      </w:r>
      <w:hyperlink w:anchor="ref-huberman2002">
        <w:r>
          <w:rPr>
            <w:rStyle w:val="Hyperlink"/>
          </w:rPr>
          <w:t xml:space="preserve">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5"/>
      </w:r>
      <w:r>
        <w:t xml:space="preserve">.</w:t>
      </w:r>
    </w:p>
    <w:bookmarkStart w:id="37" w:name="themes-subthemes"/>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
        </w:rPr>
        <w:t xml:space="preserve">Meaningful Data Interaction</w:t>
      </w:r>
      <w:r>
        <w:t xml:space="preserve"> </w:t>
      </w:r>
      <w:r>
        <w:t xml:space="preserve">(Theme 1),</w:t>
      </w:r>
      <w:r>
        <w:t xml:space="preserve"> </w:t>
      </w:r>
      <w:r>
        <w:rPr>
          <w:b/>
        </w:rPr>
        <w:t xml:space="preserve">Giving a Voice to the Family</w:t>
      </w:r>
      <w:r>
        <w:t xml:space="preserve"> </w:t>
      </w:r>
      <w:r>
        <w:t xml:space="preserve">(Theme 2), and</w:t>
      </w:r>
      <w:r>
        <w:t xml:space="preserve"> </w:t>
      </w:r>
      <w:r>
        <w:rPr>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
        </w:rPr>
        <w:t xml:space="preserve">“</w:t>
      </w:r>
      <w:r>
        <w:rPr>
          <w:i/>
        </w:rPr>
        <w:t xml:space="preserve">current</w:t>
      </w:r>
      <w:r>
        <w:rPr>
          <w:i/>
        </w:rPr>
        <w:t xml:space="preserve">”</w:t>
      </w:r>
      <w:r>
        <w:t xml:space="preserve">), happening occasionally/partially (</w:t>
      </w:r>
      <w:r>
        <w:rPr>
          <w:i/>
        </w:rPr>
        <w:t xml:space="preserve">“</w:t>
      </w:r>
      <w:r>
        <w:rPr>
          <w:i/>
        </w:rPr>
        <w:t xml:space="preserve">emergent</w:t>
      </w:r>
      <w:r>
        <w:rPr>
          <w:i/>
        </w:rPr>
        <w:t xml:space="preserve">”</w:t>
      </w:r>
      <w:r>
        <w:t xml:space="preserve">) or not yet occurring at all (</w:t>
      </w:r>
      <w:r>
        <w:rPr>
          <w:i/>
        </w:rPr>
        <w:t xml:space="preserve">“</w:t>
      </w:r>
      <w:r>
        <w:rPr>
          <w:i/>
        </w:rPr>
        <w:t xml:space="preserve">imagined</w:t>
      </w:r>
      <w:r>
        <w:rPr>
          <w:i/>
        </w:rPr>
        <w:t xml:space="preserve">”</w:t>
      </w:r>
      <w:r>
        <w:t xml:space="preserve">)</w:t>
      </w:r>
      <w:r>
        <w:rPr>
          <w:rStyle w:val="FootnoteReference"/>
        </w:rPr>
        <w:footnoteReference w:id="36"/>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
        </w:rPr>
        <w:t xml:space="preserve">Theme 1 - Meaningful Data Interaction for Families</w:t>
      </w:r>
      <w:r>
        <w:t xml:space="preserve">. Subthemes &amp; Participant Quotes.</w:t>
      </w:r>
    </w:p>
    <w:tbl>
      <w:tblPr>
        <w:tblStyle w:val="Table"/>
        <w:tblW w:type="pct" w:w="5000.0"/>
        <w:tblLook w:firstRow="1" w:lastRow="0" w:firstColumn="0" w:lastColumn="0" w:noHBand="0" w:noVBand="0"/>
        <w:tblCaption w:val="Table 5. Theme 1 - Meaningful Data Interaction for Families.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Understandable Information Summaries</w:t>
            </w:r>
          </w:p>
        </w:tc>
        <w:tc>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
              </w:rPr>
              <w:t xml:space="preserve">“</w:t>
            </w:r>
            <w:r>
              <w:rPr>
                <w:i/>
              </w:rPr>
              <w:t xml:space="preserve">There’s so much data that’s stored. For me, for a parent [I want] to understand that through a text or email but just in point form. […] The less written, the better for the parent. [What we need is] a small synopsis […] like a summary view.</w:t>
            </w:r>
            <w:r>
              <w:rPr>
                <w:i/>
              </w:rPr>
              <w:t xml:space="preserve">”</w:t>
            </w:r>
            <w:r>
              <w:t xml:space="preserve"> </w:t>
            </w:r>
            <w:r>
              <w:t xml:space="preserve">[Parent, SQ44]</w:t>
            </w:r>
            <w:r>
              <w:rPr>
                <w:i/>
              </w:rPr>
              <w:t xml:space="preserve">“</w:t>
            </w:r>
            <w:r>
              <w:rPr>
                <w:i/>
              </w:rPr>
              <w:t xml:space="preserve">Some families will go,</w:t>
            </w:r>
            <w:r>
              <w:rPr>
                <w:i/>
              </w:rPr>
              <w:t xml:space="preserve"> </w:t>
            </w:r>
            <w:r>
              <w:rPr>
                <w:i/>
              </w:rPr>
              <w:t xml:space="preserve">‘</w:t>
            </w:r>
            <w:r>
              <w:rPr>
                <w:i/>
              </w:rPr>
              <w:t xml:space="preserve">Well you know that information because it’s all there somewhere.</w:t>
            </w:r>
            <w:r>
              <w:rPr>
                <w:i/>
              </w:rPr>
              <w:t xml:space="preserve">’</w:t>
            </w:r>
            <w:r>
              <w:rPr>
                <w:i/>
              </w:rPr>
              <w:t xml:space="preserve"> </w:t>
            </w:r>
            <w:r>
              <w:rPr>
                <w:i/>
              </w:rPr>
              <w:t xml:space="preserve">We’re like,</w:t>
            </w:r>
            <w:r>
              <w:rPr>
                <w:i/>
              </w:rPr>
              <w:t xml:space="preserve"> </w:t>
            </w:r>
            <w:r>
              <w:rPr>
                <w:i/>
              </w:rPr>
              <w:t xml:space="preserve">‘</w:t>
            </w:r>
            <w:r>
              <w:rPr>
                <w:i/>
              </w:rPr>
              <w:t xml:space="preserve">Yes, but we don’t want to trawl back to eight years ago.</w:t>
            </w:r>
            <w:r>
              <w:rPr>
                <w:i/>
              </w:rPr>
              <w:t xml:space="preserve">’</w:t>
            </w:r>
            <w:r>
              <w:rPr>
                <w:i/>
              </w:rPr>
              <w:t xml:space="preserve"> </w:t>
            </w:r>
            <w:r>
              <w:rPr>
                <w:i/>
              </w:rPr>
              <w:t xml:space="preserve">There’s reams and reams and reams of it [data].</w:t>
            </w:r>
            <w:r>
              <w:rPr>
                <w:i/>
              </w:rPr>
              <w:t xml:space="preserve">”</w:t>
            </w:r>
            <w:r>
              <w:t xml:space="preserve"> </w:t>
            </w:r>
            <w:r>
              <w:t xml:space="preserve">[Worker, SQ40]</w:t>
            </w:r>
          </w:p>
        </w:tc>
        <w:tc>
          <w:p>
            <w:pPr>
              <w:pStyle w:val="Compact"/>
              <w:jc w:val="center"/>
            </w:pPr>
            <w:r>
              <w:t xml:space="preserve">Emergent</w:t>
            </w:r>
          </w:p>
        </w:tc>
      </w:tr>
      <w:tr>
        <w:tc>
          <w:p>
            <w:pPr>
              <w:pStyle w:val="Compact"/>
              <w:jc w:val="left"/>
            </w:pPr>
            <w:r>
              <w:t xml:space="preserve">Interact With Data Together</w:t>
            </w:r>
          </w:p>
        </w:tc>
        <w:tc>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
              </w:rPr>
              <w:t xml:space="preserve">“</w:t>
            </w:r>
            <w:r>
              <w:rPr>
                <w:i/>
              </w:rPr>
              <w:t xml:space="preserve">You could have a table, you’d look at where they are and where they could be. [You could say] ’This is where you are now but if you [take these specific steps], even though you’ve got a criminal record, you could progress to this level.</w:t>
            </w:r>
            <w:r>
              <w:rPr>
                <w:i/>
              </w:rPr>
              <w:t xml:space="preserve">”</w:t>
            </w:r>
            <w:r>
              <w:t xml:space="preserve"> </w:t>
            </w:r>
            <w:r>
              <w:t xml:space="preserve">[Worker, SQ29]</w:t>
            </w:r>
          </w:p>
        </w:tc>
        <w:tc>
          <w:p>
            <w:pPr>
              <w:pStyle w:val="Compact"/>
              <w:jc w:val="center"/>
            </w:pPr>
            <w:r>
              <w:t xml:space="preserve">Emergent / Imagined</w:t>
            </w:r>
          </w:p>
        </w:tc>
      </w:tr>
      <w:tr>
        <w:tc>
          <w:p>
            <w:pPr>
              <w:pStyle w:val="Compact"/>
              <w:jc w:val="left"/>
            </w:pPr>
            <w:r>
              <w:t xml:space="preserve">Direct and unified data access</w:t>
            </w:r>
          </w:p>
        </w:tc>
        <w:tc>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tc>
        <w:tc>
          <w:p>
            <w:pPr>
              <w:pStyle w:val="Compact"/>
              <w:jc w:val="center"/>
            </w:pPr>
            <w:r>
              <w:t xml:space="preserve">Imagined</w:t>
            </w:r>
          </w:p>
        </w:tc>
      </w:tr>
      <w:tr>
        <w:tc>
          <w:p>
            <w:pPr>
              <w:pStyle w:val="Compact"/>
              <w:jc w:val="left"/>
            </w:pPr>
            <w:r>
              <w:t xml:space="preserve">Ongoing Data Access and Support</w:t>
            </w:r>
          </w:p>
        </w:tc>
        <w:tc>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
              </w:rPr>
              <w:t xml:space="preserve">“</w:t>
            </w:r>
            <w:r>
              <w:rPr>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
              </w:rPr>
              <w:t xml:space="preserve">”</w:t>
            </w:r>
            <w:r>
              <w:t xml:space="preserve"> </w:t>
            </w:r>
            <w:r>
              <w:t xml:space="preserve">[Worker, SQ51]</w:t>
            </w:r>
          </w:p>
        </w:tc>
        <w:tc>
          <w:p>
            <w:pPr>
              <w:pStyle w:val="Compact"/>
              <w:jc w:val="center"/>
            </w:pPr>
            <w:r>
              <w:t xml:space="preserve">Imagined</w:t>
            </w:r>
          </w:p>
        </w:tc>
      </w:tr>
    </w:tbl>
    <w:p>
      <w:pPr>
        <w:pStyle w:val="TableCaption"/>
      </w:pPr>
      <w:r>
        <w:t xml:space="preserve">Table 6.</w:t>
      </w:r>
      <w:r>
        <w:t xml:space="preserve"> </w:t>
      </w:r>
      <w:r>
        <w:rPr>
          <w:b/>
        </w:rPr>
        <w:t xml:space="preserve">Theme 2 - Giving a Voice to the Family</w:t>
      </w:r>
      <w:r>
        <w:t xml:space="preserve">. Subthemes &amp; Participant Quotes.</w:t>
      </w:r>
    </w:p>
    <w:tbl>
      <w:tblPr>
        <w:tblStyle w:val="Table"/>
        <w:tblW w:type="pct" w:w="5000.0"/>
        <w:tblLook w:firstRow="1" w:lastRow="0" w:firstColumn="0" w:lastColumn="0" w:noHBand="0" w:noVBand="0"/>
        <w:tblCaption w:val="Table 6. Theme 2 - Giving a Voice to the Famil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People not Records</w:t>
            </w:r>
          </w:p>
        </w:tc>
        <w:tc>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
              </w:rPr>
              <w:t xml:space="preserve">"You should never make a judgement on data… that data could be wrong.</w:t>
            </w:r>
            <w:r>
              <w:t xml:space="preserve">Worker B:</w:t>
            </w:r>
            <w:r>
              <w:t xml:space="preserve"> </w:t>
            </w:r>
            <w:r>
              <w:rPr>
                <w:i/>
              </w:rPr>
              <w:t xml:space="preserve">“</w:t>
            </w:r>
            <w:r>
              <w:rPr>
                <w:i/>
              </w:rPr>
              <w:t xml:space="preserve">It takes individuality, working with that person as well, doesn’t it?</w:t>
            </w:r>
            <w:r>
              <w:rPr>
                <w:i/>
              </w:rPr>
              <w:t xml:space="preserve">”</w:t>
            </w:r>
            <w:r>
              <w:t xml:space="preserve"> </w:t>
            </w:r>
            <w:r>
              <w:t xml:space="preserve">[SQ11]</w:t>
            </w:r>
          </w:p>
        </w:tc>
        <w:tc>
          <w:p>
            <w:pPr>
              <w:pStyle w:val="Compact"/>
              <w:jc w:val="center"/>
            </w:pPr>
            <w:r>
              <w:t xml:space="preserve">Current / Emergent</w:t>
            </w:r>
          </w:p>
        </w:tc>
      </w:tr>
      <w:tr>
        <w:tc>
          <w:p>
            <w:pPr>
              <w:pStyle w:val="Compact"/>
              <w:jc w:val="left"/>
            </w:pPr>
            <w:r>
              <w:t xml:space="preserve">Checking Data Together</w:t>
            </w:r>
          </w:p>
        </w:tc>
        <w:tc>
          <w:p>
            <w:pPr>
              <w:pStyle w:val="Compact"/>
              <w:jc w:val="left"/>
            </w:pPr>
            <w:r>
              <w:t xml:space="preserve">Families should be explicitly invited to review, discuss, check, correct and approve data records. Data recording should be visible, and workers and families should check data together.</w:t>
            </w:r>
            <w:r>
              <w:rPr>
                <w:i/>
              </w:rPr>
              <w:t xml:space="preserve">“</w:t>
            </w:r>
            <w:r>
              <w:rPr>
                <w:i/>
              </w:rPr>
              <w:t xml:space="preserve">[The parent could] countersign. [The worker would] say,</w:t>
            </w:r>
            <w:r>
              <w:rPr>
                <w:i/>
              </w:rPr>
              <w:t xml:space="preserve"> </w:t>
            </w:r>
            <w:r>
              <w:rPr>
                <w:i/>
              </w:rPr>
              <w:t xml:space="preserve">‘</w:t>
            </w:r>
            <w:r>
              <w:rPr>
                <w:i/>
              </w:rPr>
              <w:t xml:space="preserve">I feel that we’ve talked about this today so I’m going to write that down. I’m going to show you. Can you sign and me sign if you’re happy and I’m going to share this.</w:t>
            </w:r>
            <w:r>
              <w:rPr>
                <w:i/>
              </w:rPr>
              <w:t xml:space="preserve">’</w:t>
            </w:r>
            <w:r>
              <w:rPr>
                <w:i/>
              </w:rPr>
              <w:t xml:space="preserve"> </w:t>
            </w:r>
            <w:r>
              <w:rPr>
                <w:i/>
              </w:rPr>
              <w:t xml:space="preserve">That’s a bit different [better].</w:t>
            </w:r>
            <w:r>
              <w:rPr>
                <w:i/>
              </w:rPr>
              <w:t xml:space="preserve">”</w:t>
            </w:r>
            <w:r>
              <w:t xml:space="preserve"> </w:t>
            </w:r>
            <w:r>
              <w:t xml:space="preserve">[Parent, FQ12]</w:t>
            </w:r>
          </w:p>
        </w:tc>
        <w:tc>
          <w:p>
            <w:pPr>
              <w:pStyle w:val="Compact"/>
              <w:jc w:val="center"/>
            </w:pPr>
            <w:r>
              <w:t xml:space="preserve">Emergent / Imagined</w:t>
            </w:r>
          </w:p>
        </w:tc>
      </w:tr>
      <w:tr>
        <w:tc>
          <w:p>
            <w:pPr>
              <w:pStyle w:val="Compact"/>
              <w:jc w:val="left"/>
            </w:pPr>
            <w:r>
              <w:t xml:space="preserve">Changing Lives Means Changing Data and Changing Consent</w:t>
            </w:r>
          </w:p>
        </w:tc>
        <w:tc>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[true]?</w:t>
            </w:r>
            <w:r>
              <w:rPr>
                <w:i/>
              </w:rPr>
              <w:t xml:space="preserve">’</w:t>
            </w:r>
            <w:r>
              <w:rPr>
                <w:i/>
              </w:rPr>
              <w:t xml:space="preserve">”</w:t>
            </w:r>
            <w:r>
              <w:t xml:space="preserve"> </w:t>
            </w:r>
            <w:r>
              <w:t xml:space="preserve">[Worker, SQ61]</w:t>
            </w:r>
          </w:p>
        </w:tc>
        <w:tc>
          <w:p>
            <w:pPr>
              <w:pStyle w:val="Compact"/>
              <w:jc w:val="center"/>
            </w:pPr>
            <w:r>
              <w:t xml:space="preserve">Imagined</w:t>
            </w:r>
          </w:p>
        </w:tc>
      </w:tr>
      <w:tr>
        <w:tc>
          <w:p>
            <w:pPr>
              <w:pStyle w:val="Compact"/>
              <w:jc w:val="left"/>
            </w:pPr>
            <w:r>
              <w:t xml:space="preserve">Individual Agency &amp; Family-sourced Data</w:t>
            </w:r>
          </w:p>
        </w:tc>
        <w:tc>
          <w:p>
            <w:pPr>
              <w:pStyle w:val="Compact"/>
              <w:jc w:val="left"/>
            </w:pPr>
            <w:r>
              <w:t xml:space="preserve">Individuals should be able to create or contribute their own data to tell their own story and annotate particular datapoints with their own explanations.</w:t>
            </w:r>
            <w:r>
              <w:t xml:space="preserve">Worker A:</w:t>
            </w:r>
            <w:r>
              <w:rPr>
                <w:i/>
              </w:rPr>
              <w:t xml:space="preserve">“</w:t>
            </w:r>
            <w:r>
              <w:rPr>
                <w:i/>
              </w:rPr>
              <w:t xml:space="preserve">If you read information […] about me, you wouldn’t expect to meet the person you meet.</w:t>
            </w:r>
            <w:r>
              <w:rPr>
                <w:i/>
              </w:rPr>
              <w:t xml:space="preserve">”</w:t>
            </w:r>
            <w:r>
              <w:t xml:space="preserve">Worker B:</w:t>
            </w:r>
            <w:r>
              <w:t xml:space="preserve"> </w:t>
            </w:r>
            <w:r>
              <w:rPr>
                <w:i/>
              </w:rPr>
              <w:t xml:space="preserve">“</w:t>
            </w:r>
            <w:r>
              <w:rPr>
                <w:i/>
              </w:rPr>
              <w:t xml:space="preserve">That’s it. It’s the same for everybody.</w:t>
            </w:r>
            <w:r>
              <w:rPr>
                <w:i/>
              </w:rPr>
              <w:t xml:space="preserve">”</w:t>
            </w:r>
            <w:r>
              <w:t xml:space="preserve">Worker A:</w:t>
            </w:r>
            <w:r>
              <w:t xml:space="preserve"> </w:t>
            </w:r>
            <w:r>
              <w:rPr>
                <w:i/>
              </w:rPr>
              <w:t xml:space="preserve">“</w:t>
            </w:r>
            <w:r>
              <w:rPr>
                <w:i/>
              </w:rPr>
              <w:t xml:space="preserve">[…] It just [has] basic things in most of the time, doesn’t it […]. You’re not a person [in the data record] are you really?</w:t>
            </w:r>
            <w:r>
              <w:rPr>
                <w:i/>
              </w:rPr>
              <w:t xml:space="preserve">”</w:t>
            </w:r>
            <w:r>
              <w:t xml:space="preserve">Worker B:</w:t>
            </w:r>
            <w:r>
              <w:t xml:space="preserve"> </w:t>
            </w:r>
            <w:r>
              <w:rPr>
                <w:i/>
              </w:rPr>
              <w:t xml:space="preserve">“</w:t>
            </w:r>
            <w:r>
              <w:rPr>
                <w:i/>
              </w:rPr>
              <w:t xml:space="preserve">[I’d like it if you could] give your bit of personal data, your own story.</w:t>
            </w:r>
            <w:r>
              <w:rPr>
                <w:i/>
              </w:rPr>
              <w:t xml:space="preserve">”</w:t>
            </w:r>
            <w:r>
              <w:t xml:space="preserve">Worker A:</w:t>
            </w:r>
            <w:r>
              <w:t xml:space="preserve"> </w:t>
            </w:r>
            <w:r>
              <w:rPr>
                <w:i/>
              </w:rPr>
              <w:t xml:space="preserve">“</w:t>
            </w:r>
            <w:r>
              <w:rPr>
                <w:i/>
              </w:rPr>
              <w:t xml:space="preserve">Yes, because everybody makes mistakes and there’s probably thousands of people out there who have got a criminal record and have never done anything since. [They’re] getting judged by having one thing [but they should be able to write]</w:t>
            </w:r>
            <w:r>
              <w:rPr>
                <w:i/>
              </w:rPr>
              <w:t xml:space="preserve"> </w:t>
            </w:r>
            <w:r>
              <w:rPr>
                <w:i/>
              </w:rPr>
              <w:t xml:space="preserve">‘</w:t>
            </w:r>
            <w:r>
              <w:rPr>
                <w:i/>
              </w:rPr>
              <w:t xml:space="preserve">Yes, I did this because of this situation but this is what I’ve done to make myself [better]…</w:t>
            </w:r>
            <w:r>
              <w:rPr>
                <w:i/>
              </w:rPr>
              <w:t xml:space="preserve">’</w:t>
            </w:r>
            <w:r>
              <w:rPr>
                <w:i/>
              </w:rPr>
              <w:t xml:space="preserve">”</w:t>
            </w:r>
            <w:r>
              <w:t xml:space="preserve"> </w:t>
            </w:r>
            <w:r>
              <w:t xml:space="preserve">[FQ10]</w:t>
            </w:r>
          </w:p>
        </w:tc>
        <w:tc>
          <w:p>
            <w:pPr>
              <w:pStyle w:val="Compact"/>
              <w:jc w:val="center"/>
            </w:pPr>
            <w:r>
              <w:t xml:space="preserve">Imagined</w:t>
            </w:r>
          </w:p>
        </w:tc>
      </w:tr>
      <w:tr>
        <w:tc>
          <w:p>
            <w:pPr>
              <w:pStyle w:val="Compact"/>
              <w:jc w:val="left"/>
            </w:pPr>
            <w:r>
              <w:t xml:space="preserve">Granular Access Controls</w:t>
            </w:r>
          </w:p>
        </w:tc>
        <w:tc>
          <w:p>
            <w:pPr>
              <w:pStyle w:val="Compact"/>
              <w:jc w:val="left"/>
            </w:pPr>
            <w:r>
              <w:t xml:space="preserve">Families should be given controls to manage access to their data and configure and change preferences at a fine-grained level.</w:t>
            </w:r>
            <w:r>
              <w:rPr>
                <w:i/>
              </w:rPr>
              <w:t xml:space="preserve">“</w:t>
            </w:r>
            <w:r>
              <w:rPr>
                <w:i/>
              </w:rPr>
              <w:t xml:space="preserve">[Families need to] feel they’re being involved. […] [We need to be able to] sit together and say,</w:t>
            </w:r>
            <w:r>
              <w:rPr>
                <w:i/>
              </w:rPr>
              <w:t xml:space="preserve"> </w:t>
            </w:r>
            <w:r>
              <w:rPr>
                <w:i/>
              </w:rPr>
              <w:t xml:space="preserve">‘</w:t>
            </w:r>
            <w:r>
              <w:rPr>
                <w:i/>
              </w:rPr>
              <w:t xml:space="preserve">Right, that’s the information I’ll allow you to share. I don’t want that bit shared. But this bit, because it will help me and the family […]</w:t>
            </w:r>
            <w:r>
              <w:rPr>
                <w:i/>
              </w:rPr>
              <w:t xml:space="preserve">’</w:t>
            </w:r>
            <w:r>
              <w:rPr>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
              </w:rPr>
              <w:t xml:space="preserve">”</w:t>
            </w:r>
            <w:r>
              <w:t xml:space="preserve"> </w:t>
            </w:r>
            <w:r>
              <w:t xml:space="preserve">[Parent, FQ16]</w:t>
            </w:r>
          </w:p>
        </w:tc>
        <w:tc>
          <w:p>
            <w:pPr>
              <w:pStyle w:val="Compact"/>
              <w:jc w:val="center"/>
            </w:pPr>
            <w:r>
              <w:t xml:space="preserve">Imagined</w:t>
            </w:r>
          </w:p>
        </w:tc>
      </w:tr>
    </w:tbl>
    <w:p>
      <w:pPr>
        <w:pStyle w:val="TableCaption"/>
      </w:pPr>
      <w:r>
        <w:t xml:space="preserve">Table 7.</w:t>
      </w:r>
      <w:r>
        <w:t xml:space="preserve"> </w:t>
      </w:r>
      <w:r>
        <w:rPr>
          <w:b/>
        </w:rPr>
        <w:t xml:space="preserve">Theme 3 - Earning Families’ Trust Through Transparency</w:t>
      </w:r>
      <w:r>
        <w:t xml:space="preserve">. Subthemes &amp; Participant Quotes.</w:t>
      </w:r>
    </w:p>
    <w:tbl>
      <w:tblPr>
        <w:tblStyle w:val="Table"/>
        <w:tblW w:type="pct" w:w="5000.0"/>
        <w:tblLook w:firstRow="1" w:lastRow="0" w:firstColumn="0" w:lastColumn="0" w:noHBand="0" w:noVBand="0"/>
        <w:tblCaption w:val="Table 7. Theme 3 - Earning Families’ Trust Through Transparenc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Transparent, Respectful Data Handling</w:t>
            </w:r>
          </w:p>
        </w:tc>
        <w:tc>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
              </w:rPr>
              <w:t xml:space="preserve">”</w:t>
            </w:r>
            <w:r>
              <w:t xml:space="preserve"> </w:t>
            </w:r>
            <w:r>
              <w:t xml:space="preserve">[Parent, CQ7]</w:t>
            </w:r>
          </w:p>
        </w:tc>
        <w:tc>
          <w:p>
            <w:pPr>
              <w:pStyle w:val="Compact"/>
              <w:jc w:val="center"/>
            </w:pPr>
            <w:r>
              <w:t xml:space="preserve">Current</w:t>
            </w:r>
          </w:p>
        </w:tc>
      </w:tr>
      <w:tr>
        <w:tc>
          <w:p>
            <w:pPr>
              <w:pStyle w:val="Compact"/>
              <w:jc w:val="left"/>
            </w:pPr>
            <w:r>
              <w:t xml:space="preserve">Always Seek and Demonstrate Greater Understanding</w:t>
            </w:r>
          </w:p>
        </w:tc>
        <w:tc>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w:t>
            </w:r>
          </w:p>
        </w:tc>
        <w:tc>
          <w:p>
            <w:pPr>
              <w:pStyle w:val="Compact"/>
              <w:jc w:val="center"/>
            </w:pPr>
            <w:r>
              <w:t xml:space="preserve">Emergent</w:t>
            </w:r>
          </w:p>
        </w:tc>
      </w:tr>
      <w:tr>
        <w:tc>
          <w:p>
            <w:pPr>
              <w:pStyle w:val="Compact"/>
              <w:jc w:val="left"/>
            </w:pPr>
            <w:r>
              <w:t xml:space="preserve">Pro-actively Challenge Data-centric Norms</w:t>
            </w:r>
          </w:p>
        </w:tc>
        <w:tc>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
              </w:rPr>
              <w:t xml:space="preserve">“</w:t>
            </w:r>
            <w:r>
              <w:rPr>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
              </w:rPr>
              <w:t xml:space="preserve">”</w:t>
            </w:r>
            <w:r>
              <w:t xml:space="preserve"> </w:t>
            </w:r>
            <w:r>
              <w:t xml:space="preserve">[Worker, SQ18]</w:t>
            </w:r>
          </w:p>
        </w:tc>
        <w:tc>
          <w:p>
            <w:pPr>
              <w:pStyle w:val="Compact"/>
              <w:jc w:val="center"/>
            </w:pPr>
            <w:r>
              <w:t xml:space="preserve">Imagined</w:t>
            </w:r>
          </w:p>
        </w:tc>
      </w:tr>
    </w:tbl>
    <w:bookmarkEnd w:id="37"/>
    <w:bookmarkStart w:id="42" w:name="X834a896a81cc74ba34665b6286a5713ff316e26"/>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38" w:name="understandable-information-summaries"/>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
        </w:rPr>
        <w:t xml:space="preserve">“</w:t>
      </w:r>
      <w:r>
        <w:rPr>
          <w:i/>
        </w:rPr>
        <w:t xml:space="preserve">In that example, depression, ten year ago, that shouldn’t be on there for the support worker. All they should get is if Social Services have been involved and it should just be,</w:t>
      </w:r>
      <w:r>
        <w:rPr>
          <w:i/>
        </w:rPr>
        <w:t xml:space="preserve"> </w:t>
      </w:r>
      <w:r>
        <w:rPr>
          <w:i/>
        </w:rPr>
        <w:t xml:space="preserve">‘</w:t>
      </w:r>
      <w:r>
        <w:rPr>
          <w:i/>
        </w:rPr>
        <w:t xml:space="preserve">Please contact for more information.</w:t>
      </w:r>
      <w:r>
        <w:rPr>
          <w:i/>
        </w:rPr>
        <w:t xml:space="preserve">’</w:t>
      </w:r>
      <w:r>
        <w:rPr>
          <w:i/>
        </w:rPr>
        <w:t xml:space="preserve"> </w:t>
      </w:r>
      <w:r>
        <w:rPr>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
        </w:rPr>
        <w:t xml:space="preserve">“</w:t>
      </w:r>
      <w:r>
        <w:rPr>
          <w:i/>
        </w:rPr>
        <w:t xml:space="preserve">We go to them and say,</w:t>
      </w:r>
      <w:r>
        <w:rPr>
          <w:i/>
        </w:rPr>
        <w:t xml:space="preserve"> </w:t>
      </w:r>
      <w:r>
        <w:rPr>
          <w:i/>
        </w:rPr>
        <w:t xml:space="preserve">‘</w:t>
      </w:r>
      <w:r>
        <w:rPr>
          <w:i/>
        </w:rPr>
        <w:t xml:space="preserve">We’re aware that you’ve got these issues going on</w:t>
      </w:r>
      <w:r>
        <w:rPr>
          <w:i/>
        </w:rPr>
        <w:t xml:space="preserve">’</w:t>
      </w:r>
      <w:r>
        <w:rPr>
          <w:i/>
        </w:rPr>
        <w:t xml:space="preserve"> </w:t>
      </w:r>
      <w:r>
        <w:rPr>
          <w:i/>
        </w:rPr>
        <w:t xml:space="preserve">[…] and not one family I’ve ever met has said,</w:t>
      </w:r>
      <w:r>
        <w:rPr>
          <w:i/>
        </w:rPr>
        <w:t xml:space="preserve"> </w:t>
      </w:r>
      <w:r>
        <w:rPr>
          <w:i/>
        </w:rPr>
        <w:t xml:space="preserve">‘</w:t>
      </w:r>
      <w:r>
        <w:rPr>
          <w:i/>
        </w:rPr>
        <w:t xml:space="preserve">How on earth have you got that information?</w:t>
      </w:r>
      <w:r>
        <w:rPr>
          <w:i/>
        </w:rPr>
        <w:t xml:space="preserve">’</w:t>
      </w:r>
      <w:r>
        <w:rPr>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
        </w:rPr>
        <w:t xml:space="preserve">‘</w:t>
      </w:r>
      <w:r>
        <w:rPr>
          <w:i/>
        </w:rPr>
        <w:t xml:space="preserve">trawl through data</w:t>
      </w:r>
      <w:r>
        <w:rPr>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
        </w:rPr>
        <w:t xml:space="preserve">‘</w:t>
      </w:r>
      <w:r>
        <w:rPr>
          <w:i/>
        </w:rPr>
        <w:t xml:space="preserve">effective data use for everyone</w:t>
      </w:r>
      <w:r>
        <w:rPr>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
        </w:rPr>
        <w:t xml:space="preserve">“</w:t>
      </w:r>
      <w:r>
        <w:rPr>
          <w:i/>
        </w:rPr>
        <w:t xml:space="preserve">proper access to a computer.</w:t>
      </w:r>
      <w:r>
        <w:rPr>
          <w:i/>
        </w:rPr>
        <w:t xml:space="preserve">”</w:t>
      </w:r>
      <w:r>
        <w:t xml:space="preserve"> </w:t>
      </w:r>
      <w:r>
        <w:t xml:space="preserve">[Parent, CQ9]. Data tables are insufficient and may need to be supported by visualisations:</w:t>
      </w:r>
      <w:r>
        <w:t xml:space="preserve"> </w:t>
      </w:r>
      <w:r>
        <w:rPr>
          <w:i/>
        </w:rPr>
        <w:t xml:space="preserve">“</w:t>
      </w:r>
      <w:r>
        <w:rPr>
          <w:i/>
        </w:rPr>
        <w:t xml:space="preserve">Some families might not understand [a data viewing interface]. They might not be technical… I think sometimes it’s easier to do it in pictures.</w:t>
      </w:r>
      <w:r>
        <w:rPr>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38"/>
    <w:bookmarkStart w:id="39" w:name="interact-with-data-together"/>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
        </w:rPr>
        <w:t xml:space="preserve">‘</w:t>
      </w:r>
      <w:r>
        <w:rPr>
          <w:i/>
        </w:rPr>
        <w:t xml:space="preserve">a way in</w:t>
      </w:r>
      <w:r>
        <w:rPr>
          <w:i/>
        </w:rPr>
        <w:t xml:space="preserve">’</w:t>
      </w:r>
      <w:r>
        <w:t xml:space="preserve"> </w:t>
      </w:r>
      <w:r>
        <w:t xml:space="preserve">or conversation starter:</w:t>
      </w:r>
    </w:p>
    <w:p>
      <w:pPr>
        <w:pStyle w:val="BodyText"/>
      </w:pPr>
      <w:r>
        <w:rPr>
          <w:i/>
        </w:rPr>
        <w:t xml:space="preserve">“</w:t>
      </w:r>
      <w:r>
        <w:rPr>
          <w:i/>
        </w:rPr>
        <w:t xml:space="preserve">[Showing the data could be] an ice breaker [with] a new case. So,</w:t>
      </w:r>
      <w:r>
        <w:rPr>
          <w:i/>
        </w:rPr>
        <w:t xml:space="preserve"> </w:t>
      </w:r>
      <w:r>
        <w:rPr>
          <w:i/>
        </w:rPr>
        <w:t xml:space="preserve">‘</w:t>
      </w:r>
      <w:r>
        <w:rPr>
          <w:i/>
        </w:rPr>
        <w:t xml:space="preserve">We’ve got this information; can you tell me more about it?</w:t>
      </w:r>
      <w:r>
        <w:rPr>
          <w:i/>
        </w:rPr>
        <w:t xml:space="preserve">’</w:t>
      </w:r>
      <w:r>
        <w:rPr>
          <w:i/>
        </w:rPr>
        <w:t xml:space="preserve"> </w:t>
      </w:r>
      <w:r>
        <w:rPr>
          <w:i/>
        </w:rPr>
        <w:t xml:space="preserve">That opens it up, like a can of worms and it all just comes out; you know what I mean? Then you’re able to have that open and honest conversation with them to see what level of support that they need.</w:t>
      </w:r>
      <w:r>
        <w:rPr>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
        </w:rPr>
        <w:t xml:space="preserve">awareness</w:t>
      </w:r>
      <w:r>
        <w:t xml:space="preserve"> </w:t>
      </w:r>
      <w:r>
        <w:t xml:space="preserve">of what data exists and who holds it [SQ39]. Currently, much of the data stored about families is invisible to them:</w:t>
      </w:r>
      <w:r>
        <w:t xml:space="preserve"> </w:t>
      </w:r>
      <w:r>
        <w:rPr>
          <w:i/>
        </w:rPr>
        <w:t xml:space="preserve">“</w:t>
      </w:r>
      <w:r>
        <w:rPr>
          <w:i/>
        </w:rPr>
        <w:t xml:space="preserve">Families really only see the data that we [support workers] want to present.</w:t>
      </w:r>
      <w:r>
        <w:rPr>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
        </w:rPr>
        <w:t xml:space="preserve">‘</w:t>
      </w:r>
      <w:r>
        <w:rPr>
          <w:i/>
        </w:rPr>
        <w:t xml:space="preserve">already know everything</w:t>
      </w:r>
      <w:r>
        <w:rPr>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 making. Reviewing historical data is preferrable to verbal description:</w:t>
      </w:r>
      <w:r>
        <w:t xml:space="preserve"> </w:t>
      </w:r>
      <w:r>
        <w:rPr>
          <w:i/>
        </w:rPr>
        <w:t xml:space="preserve">“</w:t>
      </w:r>
      <w:r>
        <w:rPr>
          <w:i/>
        </w:rPr>
        <w:t xml:space="preserve">Whenever you go through stuff like that [verbally], especially historic stuff, they can be quite remote so [having the data in front of you] would be good for that.</w:t>
      </w:r>
      <w:r>
        <w:rPr>
          <w:i/>
        </w:rPr>
        <w:t xml:space="preserve">”</w:t>
      </w:r>
      <w:r>
        <w:t xml:space="preserve"> </w:t>
      </w:r>
      <w:r>
        <w:t xml:space="preserve">[Worker, SQ33].</w:t>
      </w:r>
    </w:p>
    <w:bookmarkEnd w:id="39"/>
    <w:bookmarkStart w:id="40" w:name="direct-and-unified-data-access"/>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
        </w:rPr>
        <w:t xml:space="preserve">personal data interfaces</w:t>
      </w:r>
      <w:r>
        <w:t xml:space="preserve">, which could empower families to use their own data:</w:t>
      </w:r>
      <w:r>
        <w:t xml:space="preserve"> </w:t>
      </w:r>
      <w:r>
        <w:rPr>
          <w:i/>
        </w:rPr>
        <w:t xml:space="preserve">“</w:t>
      </w:r>
      <w:r>
        <w:rPr>
          <w:i/>
        </w:rPr>
        <w:t xml:space="preserve">they could quickly tap onto the app […] and show somebody else where they’re at.</w:t>
      </w:r>
      <w:r>
        <w:rPr>
          <w:i/>
        </w:rPr>
        <w:t xml:space="preserve">”</w:t>
      </w:r>
      <w:r>
        <w:t xml:space="preserve"> </w:t>
      </w:r>
      <w:r>
        <w:t xml:space="preserve">[SQ54]</w:t>
      </w:r>
    </w:p>
    <w:p>
      <w:pPr>
        <w:pStyle w:val="BodyText"/>
      </w:pPr>
      <w:r>
        <w:rPr>
          <w:i/>
        </w:rPr>
        <w:t xml:space="preserve">“</w:t>
      </w:r>
      <w:r>
        <w:rPr>
          <w:i/>
        </w:rPr>
        <w:t xml:space="preserve">Our first [idea] is the lovely [child’s name] has made an app. [It’s] free to download, you can make your own password and there’s going to be a button on it so you can press it and then query the information that’s held on you straight away.</w:t>
      </w:r>
      <w:r>
        <w:rPr>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
        </w:rPr>
        <w:t xml:space="preserve">‘</w:t>
      </w:r>
      <w:r>
        <w:rPr>
          <w:i/>
        </w:rPr>
        <w:t xml:space="preserve">don’t want to be responsible for looking after all our data</w:t>
      </w:r>
      <w:r>
        <w:rPr>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
        </w:rPr>
        <w:t xml:space="preserve">“</w:t>
      </w:r>
      <w:r>
        <w:rPr>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
        </w:rPr>
        <w:t xml:space="preserve">”</w:t>
      </w:r>
      <w:r>
        <w:t xml:space="preserve"> </w:t>
      </w:r>
      <w:r>
        <w:t xml:space="preserve">[SQ8]</w:t>
      </w:r>
    </w:p>
    <w:bookmarkEnd w:id="40"/>
    <w:bookmarkStart w:id="41" w:name="ongoing-data-access-and-support"/>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
        </w:rPr>
        <w:t xml:space="preserve">“</w:t>
      </w:r>
      <w:r>
        <w:rPr>
          <w:i/>
        </w:rPr>
        <w:t xml:space="preserve">in their own time, at their own pace</w:t>
      </w:r>
      <w:r>
        <w:rPr>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
        </w:rPr>
        <w:t xml:space="preserve">“</w:t>
      </w:r>
      <w:r>
        <w:rPr>
          <w:i/>
        </w:rPr>
        <w:t xml:space="preserve">[If conflict occurs,] I would need to go away and seek some advice on what can happen next, but it could be useful for the family, to spend that period of time, perhaps looking at all the information and identifying what it is</w:t>
      </w:r>
      <w:r>
        <w:rPr>
          <w:i/>
        </w:rPr>
        <w:t xml:space="preserve"> </w:t>
      </w:r>
      <w:r>
        <w:rPr>
          <w:i/>
        </w:rPr>
        <w:t xml:space="preserve">that they feel they’re being judged on.</w:t>
      </w:r>
      <w:r>
        <w:rPr>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
        </w:rPr>
        <w:t xml:space="preserve">“</w:t>
      </w:r>
      <w:r>
        <w:rPr>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
        </w:rPr>
        <w:t xml:space="preserve">‘</w:t>
      </w:r>
      <w:r>
        <w:rPr>
          <w:i/>
        </w:rPr>
        <w:t xml:space="preserve">Families should be able to talk to someone about their data</w:t>
      </w:r>
      <w:r>
        <w:rPr>
          <w:i/>
        </w:rPr>
        <w:t xml:space="preserve">’</w:t>
      </w:r>
      <w:r>
        <w:t xml:space="preserve"> </w:t>
      </w:r>
      <w:r>
        <w:t xml:space="preserve">[S7]. Explanations are needed [CQ11] with language and vocabulary adjusted to individual literacy [SQ46] or age [SQ47]:</w:t>
      </w:r>
    </w:p>
    <w:p>
      <w:pPr>
        <w:pStyle w:val="BodyText"/>
      </w:pPr>
      <w:r>
        <w:rPr>
          <w:i/>
        </w:rPr>
        <w:t xml:space="preserve">“</w:t>
      </w:r>
      <w:r>
        <w:rPr>
          <w:i/>
        </w:rPr>
        <w:t xml:space="preserve">No matter which [presentation of data is offered], you’d have verbal context for it as well, wouldn’t you? You wouldn’t just go,</w:t>
      </w:r>
      <w:r>
        <w:rPr>
          <w:i/>
        </w:rPr>
        <w:t xml:space="preserve"> </w:t>
      </w:r>
      <w:r>
        <w:rPr>
          <w:i/>
        </w:rPr>
        <w:t xml:space="preserve">‘</w:t>
      </w:r>
      <w:r>
        <w:rPr>
          <w:i/>
        </w:rPr>
        <w:t xml:space="preserve">There’s your app</w:t>
      </w:r>
      <w:r>
        <w:rPr>
          <w:i/>
        </w:rPr>
        <w:t xml:space="preserve">’</w:t>
      </w:r>
      <w:r>
        <w:rPr>
          <w:i/>
        </w:rPr>
        <w:t xml:space="preserve"> </w:t>
      </w:r>
      <w:r>
        <w:rPr>
          <w:i/>
        </w:rPr>
        <w:t xml:space="preserve">or</w:t>
      </w:r>
      <w:r>
        <w:rPr>
          <w:i/>
        </w:rPr>
        <w:t xml:space="preserve"> </w:t>
      </w:r>
      <w:r>
        <w:rPr>
          <w:i/>
        </w:rPr>
        <w:t xml:space="preserve">‘</w:t>
      </w:r>
      <w:r>
        <w:rPr>
          <w:i/>
        </w:rPr>
        <w:t xml:space="preserve">There’s your piece of paper</w:t>
      </w:r>
      <w:r>
        <w:rPr>
          <w:i/>
        </w:rPr>
        <w:t xml:space="preserve">’</w:t>
      </w:r>
      <w:r>
        <w:rPr>
          <w:i/>
        </w:rPr>
        <w:t xml:space="preserve"> </w:t>
      </w:r>
      <w:r>
        <w:rPr>
          <w:i/>
        </w:rPr>
        <w:t xml:space="preserve">and leave them. You’d just talk it through with them anyway.</w:t>
      </w:r>
      <w:r>
        <w:rPr>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1"/>
    <w:bookmarkEnd w:id="42"/>
    <w:bookmarkStart w:id="48" w:name="theme-2-giving-a-voice-to-the-family"/>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3" w:name="people-not-records"/>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
        </w:rPr>
        <w:t xml:space="preserve">‘</w:t>
      </w:r>
      <w:r>
        <w:rPr>
          <w:i/>
        </w:rPr>
        <w:t xml:space="preserve">tend to just trust that everything that has been put down is right</w:t>
      </w:r>
      <w:r>
        <w:rPr>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
        </w:rPr>
        <w:t xml:space="preserve">“</w:t>
      </w:r>
      <w:r>
        <w:rPr>
          <w:i/>
        </w:rPr>
        <w:t xml:space="preserve">You should never make a judgement on data… that data could be wrong. It takes individuality, working with that person as well, doesn’t it?</w:t>
      </w:r>
      <w:r>
        <w:rPr>
          <w:i/>
        </w:rPr>
        <w:t xml:space="preserve">”</w:t>
      </w:r>
      <w:r>
        <w:t xml:space="preserve"> </w:t>
      </w:r>
      <w:r>
        <w:t xml:space="preserve">[SQ11]. All participants presented with the sentence</w:t>
      </w:r>
      <w:r>
        <w:t xml:space="preserve"> </w:t>
      </w:r>
      <w:r>
        <w:rPr>
          <w:i/>
        </w:rPr>
        <w:t xml:space="preserve">“</w:t>
      </w:r>
      <w:r>
        <w:rPr>
          <w:i/>
        </w:rPr>
        <w:t xml:space="preserve">Public sector officials can make good decisions just by looking at a family’s data</w:t>
      </w:r>
      <w:r>
        <w:rPr>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
        </w:rPr>
        <w:t xml:space="preserve">“</w:t>
      </w:r>
      <w:r>
        <w:rPr>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
        </w:rPr>
        <w:t xml:space="preserve">‘</w:t>
      </w:r>
      <w:r>
        <w:rPr>
          <w:i/>
        </w:rPr>
        <w:t xml:space="preserve">check the family’s claims</w:t>
      </w:r>
      <w:r>
        <w:rPr>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
        </w:rPr>
        <w:t xml:space="preserve">‘</w:t>
      </w:r>
      <w:r>
        <w:rPr>
          <w:i/>
        </w:rPr>
        <w:t xml:space="preserve">not having to repeat your story</w:t>
      </w:r>
      <w:r>
        <w:rPr>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
        </w:rPr>
        <w:t xml:space="preserve">“</w:t>
      </w:r>
      <w:r>
        <w:rPr>
          <w:i/>
        </w:rPr>
        <w:t xml:space="preserve">Labels like</w:t>
      </w:r>
      <w:r>
        <w:rPr>
          <w:i/>
        </w:rPr>
        <w:t xml:space="preserve"> </w:t>
      </w:r>
      <w:r>
        <w:rPr>
          <w:i/>
        </w:rPr>
        <w:t xml:space="preserve">‘</w:t>
      </w:r>
      <w:r>
        <w:rPr>
          <w:i/>
        </w:rPr>
        <w:t xml:space="preserve">domestic abuse</w:t>
      </w:r>
      <w:r>
        <w:rPr>
          <w:i/>
        </w:rPr>
        <w:t xml:space="preserve">’</w:t>
      </w:r>
      <w:r>
        <w:rPr>
          <w:i/>
        </w:rPr>
        <w:t xml:space="preserve"> </w:t>
      </w:r>
      <w:r>
        <w:rPr>
          <w:i/>
        </w:rPr>
        <w:t xml:space="preserve">are damaging to families and hard to shake off</w:t>
      </w:r>
      <w:r>
        <w:rPr>
          <w:i/>
        </w:rPr>
        <w:t xml:space="preserve">”</w:t>
      </w:r>
      <w:r>
        <w:t xml:space="preserve"> </w:t>
      </w:r>
      <w:r>
        <w:t xml:space="preserve">[S15], and workers recounted experiences of being uncertain how to judge historical issues:</w:t>
      </w:r>
      <w:r>
        <w:t xml:space="preserve"> </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[still true]?</w:t>
      </w:r>
      <w:r>
        <w:rPr>
          <w:i/>
        </w:rPr>
        <w:t xml:space="preserve">’</w:t>
      </w:r>
      <w:r>
        <w:rPr>
          <w:i/>
        </w:rPr>
        <w:t xml:space="preserve">”</w:t>
      </w:r>
      <w:r>
        <w:t xml:space="preserve"> </w:t>
      </w:r>
      <w:r>
        <w:t xml:space="preserve">[Worker, SQ61]</w:t>
      </w:r>
    </w:p>
    <w:p>
      <w:pPr>
        <w:pStyle w:val="BodyText"/>
      </w:pPr>
      <w:r>
        <w:t xml:space="preserve">Many participants concluded that only</w:t>
      </w:r>
      <w:r>
        <w:t xml:space="preserve"> </w:t>
      </w:r>
      <w:r>
        <w:rPr>
          <w:i/>
        </w:rPr>
        <w:t xml:space="preserve">‘</w:t>
      </w:r>
      <w:r>
        <w:rPr>
          <w:i/>
        </w:rPr>
        <w:t xml:space="preserve">relevant</w:t>
      </w:r>
      <w:r>
        <w:rPr>
          <w:i/>
        </w:rPr>
        <w:t xml:space="preserve">’</w:t>
      </w:r>
      <w:r>
        <w:t xml:space="preserve"> </w:t>
      </w:r>
      <w:r>
        <w:t xml:space="preserve">information should be available, to those who</w:t>
      </w:r>
      <w:r>
        <w:t xml:space="preserve"> </w:t>
      </w:r>
      <w:r>
        <w:rPr>
          <w:i/>
        </w:rPr>
        <w:t xml:space="preserve">‘</w:t>
      </w:r>
      <w:r>
        <w:rPr>
          <w:i/>
        </w:rPr>
        <w:t xml:space="preserve">need to know</w:t>
      </w:r>
      <w:r>
        <w:rPr>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
        </w:rPr>
        <w:t xml:space="preserve">‘</w:t>
      </w:r>
      <w:r>
        <w:rPr>
          <w:i/>
        </w:rPr>
        <w:t xml:space="preserve">Officials should be able to see historical records about families</w:t>
      </w:r>
      <w:r>
        <w:rPr>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3"/>
    <w:bookmarkStart w:id="44" w:name="checking-data-together"/>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
        </w:rPr>
        <w:t xml:space="preserve">‘</w:t>
      </w:r>
      <w:r>
        <w:rPr>
          <w:i/>
        </w:rPr>
        <w:t xml:space="preserve">approve</w:t>
      </w:r>
      <w:r>
        <w:rPr>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
        </w:rPr>
        <w:t xml:space="preserve">“</w:t>
      </w:r>
      <w:r>
        <w:rPr>
          <w:i/>
        </w:rPr>
        <w:t xml:space="preserve">[There would be an] individual view where each person within the family would have their own section […] you could sit with them […] and go through the data that we have got which would enable them to change anything that they want taken out.</w:t>
      </w:r>
      <w:r>
        <w:rPr>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4"/>
    <w:bookmarkStart w:id="45" w:name="Xfe1101d5ea641c6408ee700a07095176b282141"/>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
        </w:rPr>
        <w:t xml:space="preserve">“</w:t>
      </w:r>
      <w:r>
        <w:rPr>
          <w:i/>
        </w:rPr>
        <w:t xml:space="preserve">We would get a report through to say…</w:t>
      </w:r>
      <w:r>
        <w:rPr>
          <w:i/>
        </w:rPr>
        <w:t xml:space="preserve">”</w:t>
      </w:r>
      <w:r>
        <w:t xml:space="preserve"> </w:t>
      </w:r>
      <w:r>
        <w:t xml:space="preserve">Worker B:</w:t>
      </w:r>
      <w:r>
        <w:t xml:space="preserve"> </w:t>
      </w:r>
      <w:r>
        <w:rPr>
          <w:i/>
        </w:rPr>
        <w:t xml:space="preserve">“</w:t>
      </w:r>
      <w:r>
        <w:rPr>
          <w:i/>
        </w:rPr>
        <w:t xml:space="preserve">They’ve recorded something.</w:t>
      </w:r>
      <w:r>
        <w:rPr>
          <w:i/>
        </w:rPr>
        <w:t xml:space="preserve">”</w:t>
      </w:r>
      <w:r>
        <w:t xml:space="preserve"> </w:t>
      </w:r>
      <w:r>
        <w:t xml:space="preserve">Worker A:</w:t>
      </w:r>
      <w:r>
        <w:t xml:space="preserve"> </w:t>
      </w:r>
      <w:r>
        <w:rPr>
          <w:i/>
        </w:rPr>
        <w:t xml:space="preserve">“</w:t>
      </w:r>
      <w:r>
        <w:rPr>
          <w:i/>
        </w:rPr>
        <w:t xml:space="preserve">Yes. Then I suppose we would follow it up […] face to face.</w:t>
      </w:r>
      <w:r>
        <w:rPr>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5"/>
    <w:bookmarkStart w:id="46" w:name="individual-agency-family-sourced-data"/>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
        </w:rPr>
        <w:t xml:space="preserve">‘</w:t>
      </w:r>
      <w:r>
        <w:rPr>
          <w:i/>
        </w:rPr>
        <w:t xml:space="preserve">tell their own story</w:t>
      </w:r>
      <w:r>
        <w:rPr>
          <w:i/>
        </w:rPr>
        <w:t xml:space="preserve">’</w:t>
      </w:r>
      <w:r>
        <w:t xml:space="preserve"> </w:t>
      </w:r>
      <w:r>
        <w:t xml:space="preserve">[FQ10]. Many participants saw this as-yet-unavailable capability as expected common sense:</w:t>
      </w:r>
    </w:p>
    <w:p>
      <w:pPr>
        <w:pStyle w:val="BodyText"/>
      </w:pPr>
      <w:r>
        <w:rPr>
          <w:i/>
        </w:rPr>
        <w:t xml:space="preserve">“</w:t>
      </w:r>
      <w:r>
        <w:rPr>
          <w:i/>
        </w:rPr>
        <w:t xml:space="preserve">I just generally want to see [what is stored about me] just to know what people are saying and then obviously if it’s wrong, I can correct them on it.</w:t>
      </w:r>
      <w:r>
        <w:rPr>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
        </w:rPr>
        <w:t xml:space="preserve">“</w:t>
      </w:r>
      <w:r>
        <w:rPr>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
        </w:rPr>
        <w:t xml:space="preserve">‘</w:t>
      </w:r>
      <w:r>
        <w:rPr>
          <w:i/>
        </w:rPr>
        <w:t xml:space="preserve">show the real me</w:t>
      </w:r>
      <w:r>
        <w:rPr>
          <w:i/>
        </w:rPr>
        <w:t xml:space="preserve">’</w:t>
      </w:r>
      <w:r>
        <w:t xml:space="preserve">, as illustrated in [FQ10, shown in Table 7 above].</w:t>
      </w:r>
    </w:p>
    <w:bookmarkEnd w:id="46"/>
    <w:bookmarkStart w:id="47" w:name="granular-access-controls"/>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
        </w:rPr>
        <w:t xml:space="preserve">“</w:t>
      </w:r>
      <w:r>
        <w:rPr>
          <w:i/>
        </w:rPr>
        <w:t xml:space="preserve">When a child turns 16, when they go to the doctors, is that confidential between me and my GP or can my parents see that?</w:t>
      </w:r>
      <w:r>
        <w:rPr>
          <w:i/>
        </w:rPr>
        <w:t xml:space="preserve">”</w:t>
      </w:r>
      <w:r>
        <w:t xml:space="preserve"> </w:t>
      </w:r>
      <w:r>
        <w:t xml:space="preserve">Worker B:</w:t>
      </w:r>
      <w:r>
        <w:t xml:space="preserve"> </w:t>
      </w:r>
      <w:r>
        <w:rPr>
          <w:i/>
        </w:rPr>
        <w:t xml:space="preserve">“</w:t>
      </w:r>
      <w:r>
        <w:rPr>
          <w:i/>
        </w:rPr>
        <w:t xml:space="preserve">I think it’s confidential.</w:t>
      </w:r>
      <w:r>
        <w:rPr>
          <w:i/>
        </w:rPr>
        <w:t xml:space="preserve">”</w:t>
      </w:r>
      <w:r>
        <w:t xml:space="preserve"> </w:t>
      </w:r>
      <w:r>
        <w:t xml:space="preserve">Worker A:</w:t>
      </w:r>
      <w:r>
        <w:t xml:space="preserve"> </w:t>
      </w:r>
      <w:r>
        <w:rPr>
          <w:i/>
        </w:rPr>
        <w:t xml:space="preserve">“</w:t>
      </w:r>
      <w:r>
        <w:rPr>
          <w:i/>
        </w:rPr>
        <w:t xml:space="preserve">Exactly. So in this interface, I [would be] able to see that – [as the] 16 year old - you as my support worker could also, but not my mother.</w:t>
      </w:r>
      <w:r>
        <w:rPr>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7"/>
    <w:bookmarkEnd w:id="48"/>
    <w:bookmarkStart w:id="52" w:name="Xace599815973d24fa04845d3c97a5fd5b0a2f08"/>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49" w:name="transparent-respectful-data-handling"/>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
        </w:rPr>
        <w:t xml:space="preserve">“</w:t>
      </w:r>
      <w:r>
        <w:rPr>
          <w:i/>
        </w:rPr>
        <w:t xml:space="preserve">I think that [families] have got a right to know what is held about them and what is said about them.</w:t>
      </w:r>
      <w:r>
        <w:rPr>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
        </w:rPr>
        <w:t xml:space="preserve">“</w:t>
      </w:r>
      <w:r>
        <w:rPr>
          <w:i/>
        </w:rPr>
        <w:t xml:space="preserve">Some people that I’ve worked with, I think as soon as they know you’re holding information about them they get really tight and [say],</w:t>
      </w:r>
      <w:r>
        <w:rPr>
          <w:i/>
        </w:rPr>
        <w:t xml:space="preserve">”</w:t>
      </w:r>
      <w:r>
        <w:rPr>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
        </w:rPr>
        <w:t xml:space="preserve">“</w:t>
      </w:r>
      <w:r>
        <w:rPr>
          <w:i/>
        </w:rPr>
        <w:t xml:space="preserve">That tends to be the biggest problem with this, these little bits of information that nobody ever thinks are relevant to bring up in everyday conversation and they’re coming out.</w:t>
      </w:r>
      <w:r>
        <w:rPr>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
        </w:rPr>
        <w:t xml:space="preserve">‘</w:t>
      </w:r>
      <w:r>
        <w:rPr>
          <w:i/>
        </w:rPr>
        <w:t xml:space="preserve">a totally overwhelming feeling of people checking up on them</w:t>
      </w:r>
      <w:r>
        <w:rPr>
          <w:i/>
        </w:rPr>
        <w:t xml:space="preserve">’</w:t>
      </w:r>
      <w:r>
        <w:t xml:space="preserve"> </w:t>
      </w:r>
      <w:r>
        <w:t xml:space="preserve">[SQ71] and apply extreme scrutiny to what they are told:</w:t>
      </w:r>
      <w:r>
        <w:t xml:space="preserve"> </w:t>
      </w:r>
      <w:r>
        <w:rPr>
          <w:i/>
        </w:rPr>
        <w:t xml:space="preserve">“</w:t>
      </w:r>
      <w:r>
        <w:rPr>
          <w:i/>
        </w:rPr>
        <w:t xml:space="preserve">You can get families who [no longer] believe what’s being said about them.</w:t>
      </w:r>
      <w:r>
        <w:rPr>
          <w:i/>
        </w:rPr>
        <w:t xml:space="preserve">”</w:t>
      </w:r>
      <w:r>
        <w:t xml:space="preserve"> </w:t>
      </w:r>
      <w:r>
        <w:t xml:space="preserve">[Worker, SQ73].</w:t>
      </w:r>
      <w:r>
        <w:t xml:space="preserve"> </w:t>
      </w:r>
      <w:r>
        <w:t xml:space="preserve">Fearful of consequences [SQ72], families may withhold information:</w:t>
      </w:r>
    </w:p>
    <w:p>
      <w:pPr>
        <w:pStyle w:val="BodyText"/>
      </w:pPr>
      <w:r>
        <w:rPr>
          <w:i/>
        </w:rPr>
        <w:t xml:space="preserve">“</w:t>
      </w:r>
      <w:r>
        <w:rPr>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
        </w:rPr>
        <w:t xml:space="preserve">“</w:t>
      </w:r>
      <w:r>
        <w:rPr>
          <w:i/>
        </w:rPr>
        <w:t xml:space="preserve">Because if someone is feeling judged or stressed or angry or whatever, then they can stop the conversation</w:t>
      </w:r>
      <w:r>
        <w:rPr>
          <w:i/>
        </w:rPr>
        <w:t xml:space="preserve">”</w:t>
      </w:r>
      <w:r>
        <w:t xml:space="preserve"> </w:t>
      </w:r>
      <w:r>
        <w:t xml:space="preserve">[Parent, CQ5]. Being transparent with data can also help with accountability and accuracy, which can detect and prevent mistakes earlier:</w:t>
      </w:r>
    </w:p>
    <w:p>
      <w:pPr>
        <w:pStyle w:val="BodyText"/>
      </w:pP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
        </w:rPr>
        <w:t xml:space="preserve">”</w:t>
      </w:r>
      <w:r>
        <w:t xml:space="preserve"> </w:t>
      </w:r>
      <w:r>
        <w:t xml:space="preserve">[Parent, CQ7]</w:t>
      </w:r>
    </w:p>
    <w:p>
      <w:pPr>
        <w:pStyle w:val="BodyText"/>
      </w:pPr>
      <w:r>
        <w:t xml:space="preserve">In current practice, data handling</w:t>
      </w:r>
      <w:r>
        <w:t xml:space="preserve"> </w:t>
      </w:r>
      <w:r>
        <w:rPr>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49"/>
    <w:bookmarkStart w:id="50" w:name="X21713637c8bd0ada085d91eb9e0547d2d5f6f59"/>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
        </w:rPr>
        <w:t xml:space="preserve">“</w:t>
      </w:r>
      <w:r>
        <w:rPr>
          <w:i/>
        </w:rPr>
        <w:t xml:space="preserve">because literally [the data we have] is like everything, isn’t it? So I don’t know how I would feel…</w:t>
      </w:r>
      <w:r>
        <w:rPr>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
        </w:rPr>
        <w:t xml:space="preserve">“</w:t>
      </w:r>
      <w:r>
        <w:rPr>
          <w:i/>
        </w:rPr>
        <w:t xml:space="preserve">I don’t want everybody knowing how rubbish I am with money.</w:t>
      </w:r>
      <w:r>
        <w:rPr>
          <w:i/>
        </w:rPr>
        <w:t xml:space="preserve">”</w:t>
      </w:r>
      <w:r>
        <w:t xml:space="preserve"> </w:t>
      </w:r>
      <w:r>
        <w:t xml:space="preserve">Child:</w:t>
      </w:r>
      <w:r>
        <w:t xml:space="preserve"> </w:t>
      </w:r>
      <w:r>
        <w:rPr>
          <w:i/>
        </w:rPr>
        <w:t xml:space="preserve">“</w:t>
      </w:r>
      <w:r>
        <w:rPr>
          <w:i/>
        </w:rPr>
        <w:t xml:space="preserve">That’s my life.</w:t>
      </w:r>
      <w:r>
        <w:rPr>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0"/>
    <w:bookmarkStart w:id="51" w:name="Xec3e4ebf61b0f02193f70bdda3461144602a26c"/>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
        </w:rPr>
        <w:t xml:space="preserve">‘</w:t>
      </w:r>
      <w:r>
        <w:rPr>
          <w:i/>
        </w:rPr>
        <w:t xml:space="preserve">against</w:t>
      </w:r>
      <w:r>
        <w:rPr>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
        </w:rPr>
        <w:t xml:space="preserve">“</w:t>
      </w:r>
      <w:r>
        <w:rPr>
          <w:i/>
        </w:rPr>
        <w:t xml:space="preserve">[if the worker knew sensitive medical information] the family would be really annoyed, they would just want you [the worker] to go.</w:t>
      </w:r>
      <w:r>
        <w:rPr>
          <w:i/>
        </w:rPr>
        <w:t xml:space="preserve">”</w:t>
      </w:r>
      <w:r>
        <w:t xml:space="preserve"> </w:t>
      </w:r>
      <w:r>
        <w:t xml:space="preserve">Worker:</w:t>
      </w:r>
      <w:r>
        <w:t xml:space="preserve"> </w:t>
      </w:r>
      <w:r>
        <w:rPr>
          <w:i/>
        </w:rPr>
        <w:t xml:space="preserve">"I’m the same, me. I’d be like</w:t>
      </w:r>
      <w:r>
        <w:t xml:space="preserve"> </w:t>
      </w:r>
      <w:r>
        <w:t xml:space="preserve">‘</w:t>
      </w:r>
      <w:r>
        <w:t xml:space="preserve">I don’t know how you got all this?</w:t>
      </w:r>
      <w:r>
        <w:t xml:space="preserve">’</w:t>
      </w:r>
      <w:r>
        <w:t xml:space="preserve">.</w:t>
      </w:r>
      <w:r>
        <w:t xml:space="preserve"> </w:t>
      </w:r>
      <w:r>
        <w:rPr>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
        </w:rPr>
        <w:t xml:space="preserve">dynamic consent</w:t>
      </w:r>
      <w:r>
        <w:t xml:space="preserve"> </w:t>
      </w:r>
      <w:r>
        <w:t xml:space="preserve">(</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w:t>
      </w:r>
      <w:r>
        <w:t xml:space="preserve">Kaye</w:t>
      </w:r>
      <w:r>
        <w:t xml:space="preserve"> </w:t>
      </w:r>
      <w:r>
        <w:rPr>
          <w:i/>
        </w:rPr>
        <w:t xml:space="preserve">et al.</w:t>
      </w:r>
      <w:r>
        <w:t xml:space="preserve"> </w:t>
      </w:r>
      <w:r>
        <w:t xml:space="preserve">(</w:t>
      </w:r>
      <w:hyperlink w:anchor="ref-kaye2015">
        <w:r>
          <w:rPr>
            <w:rStyle w:val="Hyperlink"/>
          </w:rPr>
          <w:t xml:space="preserve">2015</w:t>
        </w:r>
      </w:hyperlink>
      <w:r>
        <w:t xml:space="preserve">)</w:t>
      </w:r>
      <w:r>
        <w:t xml:space="preserve">;</w:t>
      </w:r>
      <w:r>
        <w:t xml:space="preserve">Williams</w:t>
      </w:r>
      <w:r>
        <w:t xml:space="preserve"> </w:t>
      </w:r>
      <w:r>
        <w:rPr>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
        </w:rPr>
        <w:t xml:space="preserve">‘</w:t>
      </w:r>
      <w:r>
        <w:rPr>
          <w:i/>
        </w:rPr>
        <w:t xml:space="preserve">need to know</w:t>
      </w:r>
      <w:r>
        <w:rPr>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
        </w:rPr>
        <w:t xml:space="preserve">“</w:t>
      </w:r>
      <w:r>
        <w:rPr>
          <w:i/>
        </w:rPr>
        <w:t xml:space="preserve">I think to enable us to work with families, we need to have as much information to give them the best possible service. So, I think we should be able to [access their information] regardless of what families say.</w:t>
      </w:r>
      <w:r>
        <w:rPr>
          <w:i/>
        </w:rPr>
        <w:t xml:space="preserve">”</w:t>
      </w:r>
      <w:r>
        <w:t xml:space="preserve"> </w:t>
      </w:r>
      <w:r>
        <w:t xml:space="preserve">Researcher:</w:t>
      </w:r>
      <w:r>
        <w:t xml:space="preserve"> </w:t>
      </w:r>
      <w:r>
        <w:rPr>
          <w:i/>
        </w:rPr>
        <w:t xml:space="preserve">“</w:t>
      </w:r>
      <w:r>
        <w:rPr>
          <w:i/>
        </w:rPr>
        <w:t xml:space="preserve">Regardless of what they say?</w:t>
      </w:r>
      <w:r>
        <w:rPr>
          <w:i/>
        </w:rPr>
        <w:t xml:space="preserve">”</w:t>
      </w:r>
      <w:r>
        <w:t xml:space="preserve"> </w:t>
      </w:r>
      <w:r>
        <w:t xml:space="preserve">Worker A:</w:t>
      </w:r>
      <w:r>
        <w:t xml:space="preserve"> </w:t>
      </w:r>
      <w:r>
        <w:rPr>
          <w:i/>
        </w:rPr>
        <w:t xml:space="preserve">“</w:t>
      </w:r>
      <w:r>
        <w:rPr>
          <w:i/>
        </w:rPr>
        <w:t xml:space="preserve">I do, yes.</w:t>
      </w:r>
      <w:r>
        <w:rPr>
          <w:i/>
        </w:rPr>
        <w:t xml:space="preserve">”</w:t>
      </w:r>
      <w:r>
        <w:t xml:space="preserve"> </w:t>
      </w:r>
      <w:r>
        <w:t xml:space="preserve">Researcher:</w:t>
      </w:r>
      <w:r>
        <w:t xml:space="preserve"> </w:t>
      </w:r>
      <w:r>
        <w:rPr>
          <w:i/>
        </w:rPr>
        <w:t xml:space="preserve">“</w:t>
      </w:r>
      <w:r>
        <w:rPr>
          <w:i/>
        </w:rPr>
        <w:t xml:space="preserve">Does everyone feel the same way then, that they don’t get a say?</w:t>
      </w:r>
      <w:r>
        <w:rPr>
          <w:i/>
        </w:rPr>
        <w:t xml:space="preserve">”</w:t>
      </w:r>
      <w:r>
        <w:t xml:space="preserve"> </w:t>
      </w:r>
      <w:r>
        <w:t xml:space="preserve">Worker B:</w:t>
      </w:r>
      <w:r>
        <w:t xml:space="preserve"> </w:t>
      </w:r>
      <w:r>
        <w:rPr>
          <w:i/>
        </w:rPr>
        <w:t xml:space="preserve">“</w:t>
      </w:r>
      <w:r>
        <w:rPr>
          <w:i/>
        </w:rPr>
        <w:t xml:space="preserve">Yes, because you need as much information as what you can.</w:t>
      </w:r>
      <w:r>
        <w:rPr>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
        </w:rPr>
        <w:t xml:space="preserve">‘</w:t>
      </w:r>
      <w:r>
        <w:rPr>
          <w:i/>
        </w:rPr>
        <w:t xml:space="preserve">relevant</w:t>
      </w:r>
      <w:r>
        <w:rPr>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1"/>
    <w:bookmarkEnd w:id="52"/>
    <w:bookmarkEnd w:id="53"/>
    <w:bookmarkStart w:id="58" w:name="discussion"/>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 making closer to the supported family (4.4.3).</w:t>
      </w:r>
    </w:p>
    <w:bookmarkStart w:id="54" w:name="X81c7ba93f8d1a024394ef1d7640c37ea97a8c02"/>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(Dijck,</w:t>
      </w:r>
      <w:r>
        <w:t xml:space="preserve"> </w:t>
      </w:r>
      <w:hyperlink w:anchor="ref-vandijck2014">
        <w:r>
          <w:rPr>
            <w:rStyle w:val="Hyperlink"/>
          </w:rPr>
          <w:t xml:space="preserve">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
        </w:rPr>
        <w:t xml:space="preserve">‘</w:t>
      </w:r>
      <w:r>
        <w:rPr>
          <w:i/>
        </w:rPr>
        <w:t xml:space="preserve">what the computer says</w:t>
      </w:r>
      <w:r>
        <w:rPr>
          <w:i/>
        </w:rPr>
        <w:t xml:space="preserve">’</w:t>
      </w:r>
      <w:r>
        <w:t xml:space="preserve">. The more they are treated as people, not</w:t>
      </w:r>
      <w:r>
        <w:t xml:space="preserve"> </w:t>
      </w:r>
      <w:r>
        <w:rPr>
          <w:i/>
        </w:rPr>
        <w:t xml:space="preserve">‘</w:t>
      </w:r>
      <w:r>
        <w:rPr>
          <w:i/>
        </w:rPr>
        <w:t xml:space="preserve">objects to be administered</w:t>
      </w:r>
      <w:r>
        <w:rPr>
          <w:i/>
        </w:rPr>
        <w:t xml:space="preserve">’</w:t>
      </w:r>
      <w:r>
        <w:t xml:space="preserve"> </w:t>
      </w:r>
      <w:r>
        <w:t xml:space="preserve">(Cornford, Baines and Wilson,</w:t>
      </w:r>
      <w:r>
        <w:t xml:space="preserve"> </w:t>
      </w:r>
      <w:hyperlink w:anchor="ref-cornford2013">
        <w:r>
          <w:rPr>
            <w:rStyle w:val="Hyperlink"/>
          </w:rPr>
          <w:t xml:space="preserve">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(Johnson, Kim and Church,</w:t>
      </w:r>
      <w:r>
        <w:t xml:space="preserve"> </w:t>
      </w:r>
      <w:hyperlink w:anchor="ref-johnson2010">
        <w:r>
          <w:rPr>
            <w:rStyle w:val="Hyperlink"/>
          </w:rPr>
          <w:t xml:space="preserve">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
        </w:rPr>
        <w:t xml:space="preserve">“</w:t>
      </w:r>
      <w:r>
        <w:rPr>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
        </w:rPr>
        <w:t xml:space="preserve">”</w:t>
      </w:r>
      <w:r>
        <w:t xml:space="preserve"> </w:t>
      </w:r>
      <w:r>
        <w:t xml:space="preserve">(Herselman</w:t>
      </w:r>
      <w:r>
        <w:t xml:space="preserve"> </w:t>
      </w:r>
      <w:r>
        <w:rPr>
          <w:i/>
        </w:rPr>
        <w:t xml:space="preserve">et al.</w:t>
      </w:r>
      <w:r>
        <w:t xml:space="preserve">,</w:t>
      </w:r>
      <w:r>
        <w:t xml:space="preserve"> </w:t>
      </w:r>
      <w:hyperlink w:anchor="ref-herselman2016">
        <w:r>
          <w:rPr>
            <w:rStyle w:val="Hyperlink"/>
          </w:rPr>
          <w:t xml:space="preserve">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
        </w:rPr>
        <w:t xml:space="preserve">carte blanche</w:t>
      </w:r>
      <w:r>
        <w:t xml:space="preserve"> </w:t>
      </w:r>
      <w:r>
        <w:t xml:space="preserve">to collect and use data about the individuals - a</w:t>
      </w:r>
      <w:r>
        <w:t xml:space="preserve"> </w:t>
      </w:r>
      <w:r>
        <w:rPr>
          <w:i/>
        </w:rPr>
        <w:t xml:space="preserve">‘</w:t>
      </w:r>
      <w:r>
        <w:rPr>
          <w:i/>
        </w:rPr>
        <w:t xml:space="preserve">point of severance</w:t>
      </w:r>
      <w:r>
        <w:rPr>
          <w:i/>
        </w:rP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In effect, the ongoing access to and direct use of data by families would serve as a practical implementation of a</w:t>
      </w:r>
      <w:r>
        <w:t xml:space="preserve"> </w:t>
      </w:r>
      <w:r>
        <w:rPr>
          <w:i/>
        </w:rPr>
        <w:t xml:space="preserve">‘</w:t>
      </w:r>
      <w:r>
        <w:rPr>
          <w:i/>
        </w:rPr>
        <w:t xml:space="preserve">dynamic consent</w:t>
      </w:r>
      <w:r>
        <w:rPr>
          <w:i/>
        </w:rPr>
        <w:t xml:space="preserve">’</w:t>
      </w:r>
      <w:r>
        <w:t xml:space="preserve"> </w:t>
      </w:r>
      <w:r>
        <w:t xml:space="preserve">model</w:t>
      </w:r>
      <w:r>
        <w:t xml:space="preserve"> </w:t>
      </w:r>
      <w:r>
        <w:t xml:space="preserve">(Kaye</w:t>
      </w:r>
      <w:r>
        <w:t xml:space="preserve"> </w:t>
      </w:r>
      <w:r>
        <w:rPr>
          <w:i/>
        </w:rPr>
        <w:t xml:space="preserve">et al.</w:t>
      </w:r>
      <w:r>
        <w:t xml:space="preserve">,</w:t>
      </w:r>
      <w:r>
        <w:t xml:space="preserve"> </w:t>
      </w:r>
      <w:hyperlink w:anchor="ref-kaye2015">
        <w:r>
          <w:rPr>
            <w:rStyle w:val="Hyperlink"/>
          </w:rPr>
          <w:t xml:space="preserve">2015</w:t>
        </w:r>
      </w:hyperlink>
      <w:r>
        <w:t xml:space="preserve">; Williams</w:t>
      </w:r>
      <w:r>
        <w:t xml:space="preserve"> </w:t>
      </w:r>
      <w:r>
        <w:rPr>
          <w:i/>
        </w:rPr>
        <w:t xml:space="preserve">et al.</w:t>
      </w:r>
      <w:r>
        <w:t xml:space="preserve">,</w:t>
      </w:r>
      <w:r>
        <w:t xml:space="preserve"> </w:t>
      </w:r>
      <w:hyperlink w:anchor="ref-williams2015">
        <w:r>
          <w:rPr>
            <w:rStyle w:val="Hyperlink"/>
          </w:rPr>
          <w:t xml:space="preserve">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
        </w:rPr>
        <w:t xml:space="preserve">“</w:t>
      </w:r>
      <w:r>
        <w:rPr>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
        </w:rPr>
        <w:t xml:space="preserve">”</w:t>
      </w:r>
      <w:r>
        <w:t xml:space="preserve"> </w:t>
      </w:r>
      <w:r>
        <w:t xml:space="preserve">(Bridle,</w:t>
      </w:r>
      <w:r>
        <w:t xml:space="preserve"> </w:t>
      </w:r>
      <w:hyperlink w:anchor="ref-bridle2016">
        <w:r>
          <w:rPr>
            <w:rStyle w:val="Hyperlink"/>
          </w:rPr>
          <w:t xml:space="preserve">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4"/>
    <w:bookmarkStart w:id="55" w:name="X2fa4f96c568e83cc83a224b2e3d43a083ef53c5"/>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
        </w:rPr>
        <w:t xml:space="preserve">legible</w:t>
      </w:r>
      <w:r>
        <w:t xml:space="preserve"> </w:t>
      </w:r>
      <w:r>
        <w:t xml:space="preserve">(see 2.3.2 and</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but also that their access must be effective (see 2.1.4 and</w:t>
      </w:r>
      <w:r>
        <w:t xml:space="preserve"> </w:t>
      </w:r>
      <w:r>
        <w:t xml:space="preserve">(Gurstein,</w:t>
      </w:r>
      <w:r>
        <w:t xml:space="preserve"> </w:t>
      </w:r>
      <w:hyperlink w:anchor="ref-gurstein2011">
        <w:r>
          <w:rPr>
            <w:rStyle w:val="Hyperlink"/>
          </w:rPr>
          <w:t xml:space="preserve">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(Star,</w:t>
      </w:r>
      <w:r>
        <w:t xml:space="preserve"> </w:t>
      </w:r>
      <w:hyperlink w:anchor="ref-star1989">
        <w:r>
          <w:rPr>
            <w:rStyle w:val="Hyperlink"/>
          </w:rPr>
          <w:t xml:space="preserve">1989</w:t>
        </w:r>
      </w:hyperlink>
      <w:r>
        <w:t xml:space="preserve">,</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
        </w:rPr>
        <w:t xml:space="preserve">‘</w:t>
      </w:r>
      <w:r>
        <w:rPr>
          <w:i/>
        </w:rPr>
        <w:t xml:space="preserve">let’s make sure this data is right</w:t>
      </w:r>
      <w:r>
        <w:rPr>
          <w:i/>
        </w:rPr>
        <w:t xml:space="preserve">’</w:t>
      </w:r>
      <w:r>
        <w:t xml:space="preserve">) rather than appearing as if they side with the data by being the ones who voice it (</w:t>
      </w:r>
      <w:r>
        <w:rPr>
          <w:i/>
        </w:rPr>
        <w:t xml:space="preserve">‘</w:t>
      </w:r>
      <w:r>
        <w:rPr>
          <w:i/>
        </w:rPr>
        <w:t xml:space="preserve">Our records say that you have…</w:t>
      </w:r>
      <w:r>
        <w:rPr>
          <w:i/>
        </w:rPr>
        <w:t xml:space="preserve">’</w:t>
      </w:r>
      <w:r>
        <w:t xml:space="preserve">). The effectiveness of having data representations as</w:t>
      </w:r>
      <w:r>
        <w:t xml:space="preserve"> </w:t>
      </w:r>
      <w:r>
        <w:rPr>
          <w:i/>
        </w:rPr>
        <w:t xml:space="preserve">‘</w:t>
      </w:r>
      <w:r>
        <w:rPr>
          <w:i/>
        </w:rPr>
        <w:t xml:space="preserve">things to think with</w:t>
      </w:r>
      <w:r>
        <w:rPr>
          <w:i/>
        </w:rPr>
        <w:t xml:space="preserve">’</w:t>
      </w:r>
      <w:r>
        <w:t xml:space="preserve"> </w:t>
      </w:r>
      <w:r>
        <w:t xml:space="preserve">that can establish common ground is discussed in our prior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
        </w:rPr>
        <w:t xml:space="preserve">‘</w:t>
      </w:r>
      <w:r>
        <w:rPr>
          <w:i/>
        </w:rPr>
        <w:t xml:space="preserve">data subject</w:t>
      </w:r>
      <w:r>
        <w:rPr>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
        </w:rPr>
        <w:t xml:space="preserve">‘</w:t>
      </w:r>
      <w:r>
        <w:rPr>
          <w:i/>
        </w:rPr>
        <w:t xml:space="preserve">should be treated like people, not database records.</w:t>
      </w:r>
      <w:r>
        <w:rPr>
          <w:i/>
        </w:rPr>
        <w:t xml:space="preserve">’</w:t>
      </w:r>
      <w:r>
        <w:t xml:space="preserve"> </w:t>
      </w:r>
      <w:r>
        <w:t xml:space="preserve">[S4, see also 4.3.3.1]. This framing can inadvertently become problematic in early help practice focusing upon child welfare:</w:t>
      </w:r>
      <w:r>
        <w:t xml:space="preserve"> </w:t>
      </w:r>
      <w:r>
        <w:rPr>
          <w:i/>
        </w:rPr>
        <w:t xml:space="preserve">‘</w:t>
      </w:r>
      <w:r>
        <w:rPr>
          <w:i/>
        </w:rPr>
        <w:t xml:space="preserve">children [can be seen as] the objects of a variety of concerns which need to be acted upon rather than agents of their own lives</w:t>
      </w:r>
      <w:r>
        <w:rPr>
          <w:i/>
        </w:rPr>
        <w:t xml:space="preserve">’</w:t>
      </w:r>
      <w:r>
        <w:t xml:space="preserve"> </w:t>
      </w:r>
      <w:r>
        <w:t xml:space="preserve">(European Commission,</w:t>
      </w:r>
      <w:r>
        <w:t xml:space="preserve"> </w:t>
      </w:r>
      <w:hyperlink w:anchor="ref-ec2014">
        <w:r>
          <w:rPr>
            <w:rStyle w:val="Hyperlink"/>
          </w:rPr>
          <w:t xml:space="preserve">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
        </w:rPr>
        <w:t xml:space="preserve">“</w:t>
      </w:r>
      <w:r>
        <w:rPr>
          <w:i/>
        </w:rPr>
        <w:t xml:space="preserve">Taking into account that [care] professionals’ first love is the best interest of and care for a child, it is recommended for policymakers to provide enough room for the</w:t>
      </w:r>
      <w:r>
        <w:rPr>
          <w:i/>
        </w:rPr>
        <w:t xml:space="preserve"> </w:t>
      </w:r>
      <w:r>
        <w:rPr>
          <w:i/>
        </w:rPr>
        <w:t xml:space="preserve">‘</w:t>
      </w:r>
      <w:r>
        <w:rPr>
          <w:i/>
        </w:rPr>
        <w:t xml:space="preserve">love</w:t>
      </w:r>
      <w:r>
        <w:rPr>
          <w:i/>
        </w:rPr>
        <w:t xml:space="preserve">’</w:t>
      </w:r>
      <w:r>
        <w:rPr>
          <w:i/>
        </w:rPr>
        <w:t xml:space="preserve"> </w:t>
      </w:r>
      <w:r>
        <w:rPr>
          <w:i/>
        </w:rPr>
        <w:t xml:space="preserve">between future technologies and their social actors to flourish.</w:t>
      </w:r>
      <w:r>
        <w:rPr>
          <w:i/>
        </w:rPr>
        <w:t xml:space="preserve">”</w:t>
      </w:r>
      <w:r>
        <w:t xml:space="preserve"> </w:t>
      </w:r>
      <w:r>
        <w:t xml:space="preserve">(Lecluijze</w:t>
      </w:r>
      <w:r>
        <w:t xml:space="preserve"> </w:t>
      </w:r>
      <w:r>
        <w:rPr>
          <w:i/>
        </w:rPr>
        <w:t xml:space="preserve">et al.</w:t>
      </w:r>
      <w:r>
        <w:t xml:space="preserve">,</w:t>
      </w:r>
      <w:r>
        <w:t xml:space="preserve"> </w:t>
      </w:r>
      <w:hyperlink w:anchor="ref-lecluijze2015">
        <w:r>
          <w:rPr>
            <w:rStyle w:val="Hyperlink"/>
          </w:rPr>
          <w:t xml:space="preserve">2015</w:t>
        </w:r>
      </w:hyperlink>
      <w:r>
        <w:t xml:space="preserve">)</w:t>
      </w:r>
    </w:p>
    <w:bookmarkEnd w:id="55"/>
    <w:bookmarkStart w:id="57" w:name="X5d7919120b0069da883f7c90a6f497372c5c243"/>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
        </w:rPr>
        <w:t xml:space="preserve">shifting the locus of decision-making’ (LDM)</w:t>
      </w:r>
      <w:r>
        <w:t xml:space="preserve">,</w:t>
      </w:r>
      <w:r>
        <w:t xml:space="preserve"> </w:t>
      </w:r>
      <w:r>
        <w:t xml:space="preserve">This concept is distinct from</w:t>
      </w:r>
      <w:r>
        <w:t xml:space="preserve"> </w:t>
      </w:r>
      <w:r>
        <w:rPr>
          <w:i/>
        </w:rPr>
        <w:t xml:space="preserve">locus of control</w:t>
      </w:r>
      <w:r>
        <w:t xml:space="preserve"> </w:t>
      </w:r>
      <w:r>
        <w:t xml:space="preserve">(Spector,</w:t>
      </w:r>
      <w:r>
        <w:t xml:space="preserve"> </w:t>
      </w:r>
      <w:hyperlink w:anchor="ref-spector1982">
        <w:r>
          <w:rPr>
            <w:rStyle w:val="Hyperlink"/>
          </w:rPr>
          <w:t xml:space="preserve">1982</w:t>
        </w:r>
      </w:hyperlink>
      <w:r>
        <w:t xml:space="preserve">)</w:t>
      </w:r>
      <w:r>
        <w:t xml:space="preserve"> </w:t>
      </w:r>
      <w:r>
        <w:t xml:space="preserve">which normally refers to personal willpower, and</w:t>
      </w:r>
      <w:r>
        <w:t xml:space="preserve"> </w:t>
      </w:r>
      <w:r>
        <w:rPr>
          <w:i/>
        </w:rPr>
        <w:t xml:space="preserve">locus of power</w:t>
      </w:r>
      <w:r>
        <w:t xml:space="preserve">, which refers to the concentration of power within an organizational hierarchy. LDM refers to</w:t>
      </w:r>
      <w:r>
        <w:t xml:space="preserve"> </w:t>
      </w:r>
      <w:r>
        <w:rPr>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
        </w:rPr>
        <w:t xml:space="preserve">close to where data is accessed</w:t>
      </w:r>
      <w:r>
        <w:t xml:space="preserve">. In an effect that has been expected since as early as 1970</w:t>
      </w:r>
      <w:r>
        <w:t xml:space="preserve"> </w:t>
      </w:r>
      <w:r>
        <w:t xml:space="preserve">(Klatzky,</w:t>
      </w:r>
      <w:r>
        <w:t xml:space="preserve"> </w:t>
      </w:r>
      <w:hyperlink w:anchor="ref-klatzky1970">
        <w:r>
          <w:rPr>
            <w:rStyle w:val="Hyperlink"/>
          </w:rPr>
          <w:t xml:space="preserve">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BodyText"/>
      </w:pPr>
      <w:r>
        <w:drawing>
          <wp:inline>
            <wp:extent cx="5334000" cy="1470269"/>
            <wp:effectExtent b="0" l="0" r="0" t="0"/>
            <wp:docPr descr="Figure 22: Current Model of Data Interaction, and Proposed Model of Shared Data Interaction" title="" id="1" name="Picture"/>
            <a:graphic>
              <a:graphicData uri="http://schemas.openxmlformats.org/drawingml/2006/picture">
                <pic:pic>
                  <pic:nvPicPr>
                    <pic:cNvPr descr="./src/figs/fig22-shifting-locus.png" id="0" name="Picture"/>
                    <pic:cNvPicPr>
                      <a:picLocks noChangeArrowheads="1" noChangeAspect="1"/>
                    </pic:cNvPicPr>
                  </pic:nvPicPr>
                  <pic:blipFill>
                    <a:blip r:embed="rId56"/>
                    <a:stretch>
                      <a:fillRect/>
                    </a:stretch>
                  </pic:blipFill>
                  <pic:spPr bwMode="auto">
                    <a:xfrm>
                      <a:off x="0" y="0"/>
                      <a:ext cx="5334000" cy="1470269"/>
                    </a:xfrm>
                    <a:prstGeom prst="rect">
                      <a:avLst/>
                    </a:prstGeom>
                    <a:noFill/>
                    <a:ln w="9525">
                      <a:noFill/>
                      <a:headEnd/>
                      <a:tailEnd/>
                    </a:ln>
                  </pic:spPr>
                </pic:pic>
              </a:graphicData>
            </a:graphic>
          </wp:inline>
        </w:drawing>
      </w:r>
      <w:r>
        <w:t xml:space="preserve"> </w:t>
      </w:r>
      <w:r>
        <w:t xml:space="preserve">[TODO: Replace with higher resolution version]</w:t>
      </w:r>
    </w:p>
    <w:p>
      <w:pPr>
        <w:pStyle w:val="BodyText"/>
      </w:pPr>
      <w:r>
        <w:t xml:space="preserve">The current and imagined approaches are shown in Figure 22 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thus</w:t>
      </w:r>
      <w:r>
        <w:t xml:space="preserve"> </w:t>
      </w:r>
      <w:r>
        <w:rPr>
          <w:i/>
        </w:rPr>
        <w:t xml:space="preserve">‘</w:t>
      </w:r>
      <w:r>
        <w:rPr>
          <w:i/>
        </w:rPr>
        <w:t xml:space="preserve">encouraging the family to take full accountability for their own responsibilities</w:t>
      </w:r>
      <w:r>
        <w:rPr>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(Crabtree and Mortier,</w:t>
      </w:r>
      <w:r>
        <w:t xml:space="preserve"> </w:t>
      </w:r>
      <w:hyperlink w:anchor="ref-crabtree2016">
        <w:r>
          <w:rPr>
            <w:rStyle w:val="Hyperlink"/>
          </w:rPr>
          <w:t xml:space="preserve">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(Kostkova,</w:t>
      </w:r>
      <w:r>
        <w:t xml:space="preserve"> </w:t>
      </w:r>
      <w:hyperlink w:anchor="ref-kostkova2015">
        <w:r>
          <w:rPr>
            <w:rStyle w:val="Hyperlink"/>
          </w:rPr>
          <w:t xml:space="preserve">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(Copeland,</w:t>
      </w:r>
      <w:r>
        <w:t xml:space="preserve"> </w:t>
      </w:r>
      <w:hyperlink w:anchor="ref-copeland2015">
        <w:r>
          <w:rPr>
            <w:rStyle w:val="Hyperlink"/>
          </w:rPr>
          <w:t xml:space="preserve">2015</w:t>
        </w:r>
      </w:hyperlink>
      <w:r>
        <w:t xml:space="preserve">)</w:t>
      </w:r>
      <w:r>
        <w:t xml:space="preserve">. Identity management in this context is already very challenging to negotiate</w:t>
      </w:r>
      <w:r>
        <w:t xml:space="preserve"> </w:t>
      </w:r>
      <w:r>
        <w:t xml:space="preserve">(Wilson</w:t>
      </w:r>
      <w:r>
        <w:t xml:space="preserve"> </w:t>
      </w:r>
      <w:r>
        <w:rPr>
          <w:i/>
        </w:rPr>
        <w:t xml:space="preserve">et al.</w:t>
      </w:r>
      <w:r>
        <w:t xml:space="preserve">,</w:t>
      </w:r>
      <w:r>
        <w:t xml:space="preserve"> </w:t>
      </w:r>
      <w:hyperlink w:anchor="ref-wilson2011">
        <w:r>
          <w:rPr>
            <w:rStyle w:val="Hyperlink"/>
          </w:rPr>
          <w:t xml:space="preserve">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(Honeyman, Dunn and Mckenna,</w:t>
      </w:r>
      <w:r>
        <w:t xml:space="preserve"> </w:t>
      </w:r>
      <w:hyperlink w:anchor="ref-honeyman2016">
        <w:r>
          <w:rPr>
            <w:rStyle w:val="Hyperlink"/>
          </w:rPr>
          <w:t xml:space="preserve">2016</w:t>
        </w:r>
      </w:hyperlink>
      <w:r>
        <w:t xml:space="preserve">)</w:t>
      </w:r>
      <w:r>
        <w:t xml:space="preserve"> </w:t>
      </w:r>
      <w:r>
        <w:t xml:space="preserve">and in other countries such as Poland where it is deemed critical</w:t>
      </w:r>
      <w:r>
        <w:t xml:space="preserve"> </w:t>
      </w:r>
      <w:r>
        <w:t xml:space="preserve">(Soja,</w:t>
      </w:r>
      <w:r>
        <w:t xml:space="preserve"> </w:t>
      </w:r>
      <w:hyperlink w:anchor="ref-soja2015">
        <w:r>
          <w:rPr>
            <w:rStyle w:val="Hyperlink"/>
          </w:rPr>
          <w:t xml:space="preserve">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(Tregeagle and Darcy,</w:t>
      </w:r>
      <w:r>
        <w:t xml:space="preserve"> </w:t>
      </w:r>
      <w:hyperlink w:anchor="ref-tregeagle2008">
        <w:r>
          <w:rPr>
            <w:rStyle w:val="Hyperlink"/>
          </w:rPr>
          <w:t xml:space="preserve">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
        </w:rPr>
        <w:t xml:space="preserve">‘</w:t>
      </w:r>
      <w:r>
        <w:rPr>
          <w:i/>
        </w:rPr>
        <w:t xml:space="preserve">in-the-home</w:t>
      </w:r>
      <w:r>
        <w:rPr>
          <w:i/>
        </w:rPr>
        <w:t xml:space="preserve">’</w:t>
      </w:r>
      <w:r>
        <w:t xml:space="preserve"> </w:t>
      </w:r>
      <w:r>
        <w:t xml:space="preserve">contact necessary –- which is particularly challenging and costly to deliver in rural areas far from major towns</w:t>
      </w:r>
      <w:r>
        <w:t xml:space="preserve"> </w:t>
      </w:r>
      <w:r>
        <w:t xml:space="preserve">(Kriisk and Minas,</w:t>
      </w:r>
      <w:r>
        <w:t xml:space="preserve"> </w:t>
      </w:r>
      <w:hyperlink w:anchor="ref-kriisk2017">
        <w:r>
          <w:rPr>
            <w:rStyle w:val="Hyperlink"/>
          </w:rPr>
          <w:t xml:space="preserve">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
        </w:rPr>
        <w:t xml:space="preserve">’it is no longer a technological necessity but it has become a political intention"</w:t>
      </w:r>
      <w:r>
        <w:t xml:space="preserve"> </w:t>
      </w:r>
      <w:r>
        <w:t xml:space="preserve">(Bridle,</w:t>
      </w:r>
      <w:r>
        <w:t xml:space="preserve"> </w:t>
      </w:r>
      <w:hyperlink w:anchor="ref-bridle2016">
        <w:r>
          <w:rPr>
            <w:rStyle w:val="Hyperlink"/>
          </w:rPr>
          <w:t xml:space="preserve">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
        </w:rPr>
        <w:t xml:space="preserve">enabling</w:t>
      </w:r>
      <w:r>
        <w:t xml:space="preserve"> </w:t>
      </w:r>
      <w:r>
        <w:t xml:space="preserve">(Miettinen,</w:t>
      </w:r>
      <w:r>
        <w:t xml:space="preserve"> </w:t>
      </w:r>
      <w:hyperlink w:anchor="ref-miettinen2013">
        <w:r>
          <w:rPr>
            <w:rStyle w:val="Hyperlink"/>
          </w:rPr>
          <w:t xml:space="preserve">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(Kalvet,</w:t>
      </w:r>
      <w:r>
        <w:t xml:space="preserve"> </w:t>
      </w:r>
      <w:hyperlink w:anchor="ref-kalvet2008">
        <w:r>
          <w:rPr>
            <w:rStyle w:val="Hyperlink"/>
          </w:rPr>
          <w:t xml:space="preserve">2005</w:t>
        </w:r>
      </w:hyperlink>
      <w:r>
        <w:t xml:space="preserve">; Steyaert and Gould,</w:t>
      </w:r>
      <w:r>
        <w:t xml:space="preserve"> </w:t>
      </w:r>
      <w:hyperlink w:anchor="ref-steyaert2009">
        <w:r>
          <w:rPr>
            <w:rStyle w:val="Hyperlink"/>
          </w:rPr>
          <w:t xml:space="preserve">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57"/>
    <w:bookmarkEnd w:id="58"/>
    <w:bookmarkStart w:id="59" w:name="summation"/>
    <w:p>
      <w:pPr>
        <w:pStyle w:val="Heading2"/>
      </w:pPr>
      <w:r>
        <w:rPr>
          <w:rStyle w:val="SectionNumber"/>
        </w:rPr>
        <w:t xml:space="preserve">1.5</w:t>
      </w:r>
      <w:r>
        <w:tab/>
      </w:r>
      <w:r>
        <w:t xml:space="preserve">Summation</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
        </w:rPr>
        <w:t xml:space="preserve">‘</w:t>
      </w:r>
      <w:r>
        <w:rPr>
          <w:i/>
        </w:rPr>
        <w:t xml:space="preserve">looking at data together</w:t>
      </w:r>
      <w:r>
        <w:rPr>
          <w:i/>
        </w:rPr>
        <w:t xml:space="preserve">’</w:t>
      </w:r>
      <w:r>
        <w:t xml:space="preserve"> </w:t>
      </w:r>
      <w:r>
        <w:t xml:space="preserve">would help to shift the dynamic of the support interaction away from</w:t>
      </w:r>
      <w:r>
        <w:t xml:space="preserve"> </w:t>
      </w:r>
      <w:r>
        <w:rPr>
          <w:i/>
        </w:rPr>
        <w:t xml:space="preserve">‘</w:t>
      </w:r>
      <w:r>
        <w:rPr>
          <w:i/>
        </w:rPr>
        <w:t xml:space="preserve">us and them</w:t>
      </w:r>
      <w:r>
        <w:rPr>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
        </w:rPr>
        <w:t xml:space="preserve">‘</w:t>
      </w:r>
      <w:r>
        <w:rPr>
          <w:i/>
        </w:rPr>
        <w:t xml:space="preserve">what the computer says</w:t>
      </w:r>
      <w:r>
        <w:rPr>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(Bowyer,</w:t>
      </w:r>
      <w:r>
        <w:t xml:space="preserve"> </w:t>
      </w:r>
      <w:hyperlink w:anchor="ref-bowyer2021">
        <w:r>
          <w:rPr>
            <w:rStyle w:val="Hyperlink"/>
          </w:rPr>
          <w:t xml:space="preserve">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(see Figure 21).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(Bowyer</w:t>
      </w:r>
      <w:r>
        <w:t xml:space="preserve"> </w:t>
      </w:r>
      <w:r>
        <w:rPr>
          <w:i/>
        </w:rPr>
        <w:t xml:space="preserve">et al.</w:t>
      </w:r>
      <w:r>
        <w:t xml:space="preserve">,</w:t>
      </w:r>
      <w:r>
        <w:t xml:space="preserve"> </w:t>
      </w:r>
      <w:hyperlink w:anchor="ref-bowyer2019">
        <w:r>
          <w:rPr>
            <w:rStyle w:val="Hyperlink"/>
          </w:rPr>
          <w:t xml:space="preserve">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
        </w:rPr>
        <w:t xml:space="preserve">‘</w:t>
      </w:r>
      <w:r>
        <w:rPr>
          <w:i/>
        </w:rPr>
        <w:t xml:space="preserve">left-behind</w:t>
      </w:r>
      <w:r>
        <w:rPr>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bookmarkEnd w:id="59"/>
    <w:bookmarkEnd w:id="60"/>
    <w:bookmarkStart w:id="149" w:name="bibliography"/>
    <w:p>
      <w:pPr>
        <w:pStyle w:val="Heading1"/>
      </w:pPr>
      <w:r>
        <w:t xml:space="preserve">Bibliography</w:t>
      </w:r>
    </w:p>
    <w:bookmarkStart w:id="148" w:name="refs"/>
    <w:bookmarkStart w:id="62"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61">
        <w:r>
          <w:rPr>
            <w:rStyle w:val="Hyperlink"/>
          </w:rPr>
          <w:t xml:space="preserve">10.1145/2670528</w:t>
        </w:r>
      </w:hyperlink>
      <w:r>
        <w:t xml:space="preserve">.</w:t>
      </w:r>
    </w:p>
    <w:bookmarkEnd w:id="62"/>
    <w:bookmarkStart w:id="63" w:name="ref-barbosa2018"/>
    <w:p>
      <w:pPr>
        <w:pStyle w:val="Bibliography"/>
      </w:pPr>
      <w:r>
        <w:t xml:space="preserve">Barbosa Neves, B. and Casimiro, C. (2018)</w:t>
      </w:r>
      <w:r>
        <w:t xml:space="preserve"> </w:t>
      </w:r>
      <w:r>
        <w:rPr>
          <w:i/>
        </w:rPr>
        <w:t xml:space="preserve">Connecting Families?: Information &amp; Communication Technologies, Generations, and the Life Course</w:t>
      </w:r>
      <w:r>
        <w:t xml:space="preserve">. Policy Press.</w:t>
      </w:r>
    </w:p>
    <w:bookmarkEnd w:id="63"/>
    <w:bookmarkStart w:id="64" w:name="ref-bate2018"/>
    <w:p>
      <w:pPr>
        <w:pStyle w:val="Bibliography"/>
      </w:pPr>
      <w:r>
        <w:t xml:space="preserve">Bate, A. and Bellis, A. (2018)</w:t>
      </w:r>
      <w:r>
        <w:t xml:space="preserve"> </w:t>
      </w:r>
      <w:r>
        <w:rPr>
          <w:i/>
        </w:rPr>
        <w:t xml:space="preserve">The Troubled Families programme ( England )</w:t>
      </w:r>
      <w:r>
        <w:t xml:space="preserve">. July.</w:t>
      </w:r>
    </w:p>
    <w:bookmarkEnd w:id="64"/>
    <w:bookmarkStart w:id="66" w:name="ref-bowker2016"/>
    <w:p>
      <w:pPr>
        <w:pStyle w:val="Bibliography"/>
      </w:pPr>
      <w:r>
        <w:t xml:space="preserve">Bowker, G. C.</w:t>
      </w:r>
      <w:r>
        <w:t xml:space="preserve"> </w:t>
      </w:r>
      <w:r>
        <w:rPr>
          <w:i/>
        </w:rPr>
        <w:t xml:space="preserve">et al.</w:t>
      </w:r>
      <w:r>
        <w:t xml:space="preserve"> </w:t>
      </w:r>
      <w:r>
        <w:t xml:space="preserve">(2015)</w:t>
      </w:r>
      <w:r>
        <w:t xml:space="preserve"> </w:t>
      </w:r>
      <w:r>
        <w:rPr>
          <w:i/>
        </w:rPr>
        <w:t xml:space="preserve">Boundary objects and beyond : working with Leigh Star</w:t>
      </w:r>
      <w:r>
        <w:t xml:space="preserve">. MIT Press, p. 548. Available at:</w:t>
      </w:r>
      <w:r>
        <w:t xml:space="preserve"> </w:t>
      </w:r>
      <w:hyperlink r:id="rId65">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66"/>
    <w:bookmarkStart w:id="68" w:name="ref-bowyer2021"/>
    <w:p>
      <w:pPr>
        <w:pStyle w:val="Bibliography"/>
      </w:pPr>
      <w:r>
        <w:t xml:space="preserve">Bowyer, A. (2021) ‘Human-Data Interaction has two purposes: Personal Data Control and Life Information Exploration’. Available at:</w:t>
      </w:r>
      <w:r>
        <w:t xml:space="preserve"> </w:t>
      </w:r>
      <w:hyperlink r:id="rId67">
        <w:r>
          <w:rPr>
            <w:rStyle w:val="Hyperlink"/>
          </w:rPr>
          <w:t xml:space="preserve">https://eprints.ncl.ac.uk/273832#.</w:t>
        </w:r>
      </w:hyperlink>
    </w:p>
    <w:bookmarkEnd w:id="68"/>
    <w:bookmarkStart w:id="70"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69">
        <w:r>
          <w:rPr>
            <w:rStyle w:val="Hyperlink"/>
          </w:rPr>
          <w:t xml:space="preserve">10.1145/3173574.3173710</w:t>
        </w:r>
      </w:hyperlink>
      <w:r>
        <w:t xml:space="preserve">.</w:t>
      </w:r>
    </w:p>
    <w:bookmarkEnd w:id="70"/>
    <w:bookmarkStart w:id="72" w:name="ref-bowyer2019"/>
    <w:p>
      <w:pPr>
        <w:pStyle w:val="Bibliography"/>
      </w:pPr>
      <w:r>
        <w:t xml:space="preserve">Bowyer, A.</w:t>
      </w:r>
      <w:r>
        <w:t xml:space="preserve"> </w:t>
      </w:r>
      <w:r>
        <w:rPr>
          <w:i/>
        </w:rPr>
        <w:t xml:space="preserve">et al.</w:t>
      </w:r>
      <w:r>
        <w:t xml:space="preserve"> </w:t>
      </w:r>
      <w:r>
        <w:t xml:space="preserve">(2019) ‘Human-data interaction in the context of care: Co-designing family civic data interfaces and practices’, in</w:t>
      </w:r>
      <w:r>
        <w:t xml:space="preserve"> </w:t>
      </w:r>
      <w:r>
        <w:rPr>
          <w:i/>
        </w:rPr>
        <w:t xml:space="preserve">Conference on human factors in computing systems - proceedings</w:t>
      </w:r>
      <w:r>
        <w:t xml:space="preserve">. doi:</w:t>
      </w:r>
      <w:r>
        <w:t xml:space="preserve"> </w:t>
      </w:r>
      <w:hyperlink r:id="rId71">
        <w:r>
          <w:rPr>
            <w:rStyle w:val="Hyperlink"/>
          </w:rPr>
          <w:t xml:space="preserve">10.1145/3290607.3312998</w:t>
        </w:r>
      </w:hyperlink>
      <w:r>
        <w:t xml:space="preserve">.</w:t>
      </w:r>
    </w:p>
    <w:bookmarkEnd w:id="72"/>
    <w:bookmarkStart w:id="74"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3">
        <w:r>
          <w:rPr>
            <w:rStyle w:val="Hyperlink"/>
          </w:rPr>
          <w:t xml:space="preserve">10.1145/1011870.1011885</w:t>
        </w:r>
      </w:hyperlink>
      <w:r>
        <w:t xml:space="preserve">.</w:t>
      </w:r>
    </w:p>
    <w:bookmarkEnd w:id="74"/>
    <w:bookmarkStart w:id="76" w:name="ref-bridle2016"/>
    <w:p>
      <w:pPr>
        <w:pStyle w:val="Bibliography"/>
      </w:pPr>
      <w:r>
        <w:t xml:space="preserve">Bridle, J. (2016) ‘Algorithmic Citizenship, Digital Statelessness’,</w:t>
      </w:r>
      <w:r>
        <w:t xml:space="preserve"> </w:t>
      </w:r>
      <w:r>
        <w:rPr>
          <w:i/>
        </w:rPr>
        <w:t xml:space="preserve">GeoHumanities</w:t>
      </w:r>
      <w:r>
        <w:t xml:space="preserve">. James Bridle, 2(2), pp. 377–381. doi:</w:t>
      </w:r>
      <w:r>
        <w:t xml:space="preserve"> </w:t>
      </w:r>
      <w:hyperlink r:id="rId75">
        <w:r>
          <w:rPr>
            <w:rStyle w:val="Hyperlink"/>
          </w:rPr>
          <w:t xml:space="preserve">10.1080/2373566x.2016.1237858</w:t>
        </w:r>
      </w:hyperlink>
      <w:r>
        <w:t xml:space="preserve">.</w:t>
      </w:r>
    </w:p>
    <w:bookmarkEnd w:id="76"/>
    <w:bookmarkStart w:id="78" w:name="ref-copeland2015"/>
    <w:p>
      <w:pPr>
        <w:pStyle w:val="Bibliography"/>
      </w:pPr>
      <w:r>
        <w:t xml:space="preserve">Copeland, E. (2015)</w:t>
      </w:r>
      <w:r>
        <w:t xml:space="preserve"> </w:t>
      </w:r>
      <w:r>
        <w:rPr>
          <w:i/>
        </w:rPr>
        <w:t xml:space="preserve">Small Pieces Loosely Joined: How smarter use of technology and data can deliver real reform of local government</w:t>
      </w:r>
      <w:r>
        <w:t xml:space="preserve">. Available at:</w:t>
      </w:r>
      <w:r>
        <w:t xml:space="preserve"> </w:t>
      </w:r>
      <w:hyperlink r:id="rId77">
        <w:r>
          <w:rPr>
            <w:rStyle w:val="Hyperlink"/>
          </w:rPr>
          <w:t xml:space="preserve">www.policyexchange.org.uk https://policyexchange.org.uk/publication/small-pieces-loosely-joined-how-smarter-use-of-technology-and-data-can-deliver-real-reform-of-local-government/</w:t>
        </w:r>
      </w:hyperlink>
      <w:r>
        <w:t xml:space="preserve">.</w:t>
      </w:r>
    </w:p>
    <w:bookmarkEnd w:id="78"/>
    <w:bookmarkStart w:id="80" w:name="ref-cornford2013"/>
    <w:p>
      <w:pPr>
        <w:pStyle w:val="Bibliography"/>
      </w:pPr>
      <w:r>
        <w:t xml:space="preserve">Cornford, J., Baines, S. and Wilson, R. (2013) ‘Representing the family: how does the state ’think family’?’,</w:t>
      </w:r>
      <w:r>
        <w:t xml:space="preserve"> </w:t>
      </w:r>
      <w:r>
        <w:rPr>
          <w:i/>
        </w:rPr>
        <w:t xml:space="preserve">Policy &amp; Politics</w:t>
      </w:r>
      <w:r>
        <w:t xml:space="preserve">, 41(1), pp. 1–19. doi:</w:t>
      </w:r>
      <w:r>
        <w:t xml:space="preserve"> </w:t>
      </w:r>
      <w:hyperlink r:id="rId79">
        <w:r>
          <w:rPr>
            <w:rStyle w:val="Hyperlink"/>
          </w:rPr>
          <w:t xml:space="preserve">10.1332/030557312X645838</w:t>
        </w:r>
      </w:hyperlink>
      <w:r>
        <w:t xml:space="preserve">.</w:t>
      </w:r>
    </w:p>
    <w:bookmarkEnd w:id="80"/>
    <w:bookmarkStart w:id="81" w:name="ref-corra2002"/>
    <w:p>
      <w:pPr>
        <w:pStyle w:val="Bibliography"/>
      </w:pPr>
      <w:r>
        <w:t xml:space="preserve">Corra, M. and Willer, D. (2002) ‘The gatekeeper’,</w:t>
      </w:r>
      <w:r>
        <w:t xml:space="preserve"> </w:t>
      </w:r>
      <w:r>
        <w:rPr>
          <w:i/>
        </w:rPr>
        <w:t xml:space="preserve">Sociological Theory</w:t>
      </w:r>
      <w:r>
        <w:t xml:space="preserve">. SAGE Publications Sage CA: Los Angeles, CA, 20(2), pp. 180–207.</w:t>
      </w:r>
    </w:p>
    <w:bookmarkEnd w:id="81"/>
    <w:bookmarkStart w:id="83"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82">
        <w:r>
          <w:rPr>
            <w:rStyle w:val="Hyperlink"/>
          </w:rPr>
          <w:t xml:space="preserve">10.2139/ssrn.2874312</w:t>
        </w:r>
      </w:hyperlink>
      <w:r>
        <w:t xml:space="preserve">.</w:t>
      </w:r>
    </w:p>
    <w:bookmarkEnd w:id="83"/>
    <w:bookmarkStart w:id="85" w:name="ref-dfe2018"/>
    <w:p>
      <w:pPr>
        <w:pStyle w:val="Bibliography"/>
      </w:pPr>
      <w:r>
        <w:t xml:space="preserve">Department for Education (2018)</w:t>
      </w:r>
      <w:r>
        <w:t xml:space="preserve"> </w:t>
      </w:r>
      <w:r>
        <w:rPr>
          <w:i/>
        </w:rPr>
        <w:t xml:space="preserve">Working Together to Safeguard Children</w:t>
      </w:r>
      <w:r>
        <w:t xml:space="preserve">. March, p. 393. doi:</w:t>
      </w:r>
      <w:r>
        <w:t xml:space="preserve"> </w:t>
      </w:r>
      <w:hyperlink r:id="rId84">
        <w:r>
          <w:rPr>
            <w:rStyle w:val="Hyperlink"/>
          </w:rPr>
          <w:t xml:space="preserve">10.1080/13561820020003919</w:t>
        </w:r>
      </w:hyperlink>
      <w:r>
        <w:t xml:space="preserve">.</w:t>
      </w:r>
    </w:p>
    <w:bookmarkEnd w:id="85"/>
    <w:bookmarkStart w:id="87" w:name="ref-vandijck2014"/>
    <w:p>
      <w:pPr>
        <w:pStyle w:val="Bibliography"/>
      </w:pPr>
      <w:r>
        <w:t xml:space="preserve">Dijck, J. van (2014) ‘Datafication, dataism and dataveillance: Big data between scientific paradigm and ideology’,</w:t>
      </w:r>
      <w:r>
        <w:t xml:space="preserve"> </w:t>
      </w:r>
      <w:r>
        <w:rPr>
          <w:i/>
        </w:rPr>
        <w:t xml:space="preserve">Surveillance and Society</w:t>
      </w:r>
      <w:r>
        <w:t xml:space="preserve">. Surveillance Studies Network, 12(2), pp. 197–208. doi:</w:t>
      </w:r>
      <w:r>
        <w:t xml:space="preserve"> </w:t>
      </w:r>
      <w:hyperlink r:id="rId86">
        <w:r>
          <w:rPr>
            <w:rStyle w:val="Hyperlink"/>
          </w:rPr>
          <w:t xml:space="preserve">10.24908/ss.v12i2.4776</w:t>
        </w:r>
      </w:hyperlink>
      <w:r>
        <w:t xml:space="preserve">.</w:t>
      </w:r>
    </w:p>
    <w:bookmarkEnd w:id="87"/>
    <w:bookmarkStart w:id="88" w:name="ref-ec2014"/>
    <w:p>
      <w:pPr>
        <w:pStyle w:val="Bibliography"/>
      </w:pPr>
      <w:r>
        <w:t xml:space="preserve">European Commission (2014)</w:t>
      </w:r>
      <w:r>
        <w:t xml:space="preserve"> </w:t>
      </w:r>
      <w:r>
        <w:rPr>
          <w:i/>
        </w:rPr>
        <w:t xml:space="preserve">Research and Innovation in the field of ICT for Health, Wellbeing and Ageing Well: an overview</w:t>
      </w:r>
      <w:r>
        <w:t xml:space="preserve">, p. 39.</w:t>
      </w:r>
    </w:p>
    <w:bookmarkEnd w:id="88"/>
    <w:bookmarkStart w:id="90" w:name="ref-field2010"/>
    <w:p>
      <w:pPr>
        <w:pStyle w:val="Bibliography"/>
      </w:pPr>
      <w:r>
        <w:t xml:space="preserve">Field, F. (2010)</w:t>
      </w:r>
      <w:r>
        <w:t xml:space="preserve"> </w:t>
      </w:r>
      <w:r>
        <w:rPr>
          <w:i/>
        </w:rPr>
        <w:t xml:space="preserve">The Foundation Years: preventing poor children becoming poor adults</w:t>
      </w:r>
      <w:r>
        <w:t xml:space="preserve">. Available at:</w:t>
      </w:r>
      <w:r>
        <w:t xml:space="preserve"> </w:t>
      </w:r>
      <w:hyperlink r:id="rId89">
        <w:r>
          <w:rPr>
            <w:rStyle w:val="Hyperlink"/>
          </w:rPr>
          <w:t xml:space="preserve">www.frankfield.co.uk http://www.inspiredbybabies.org.uk/Page2NationalrelevantDocsresources/Frank Field Preventing poor children becoming poor adults 2011.pdf</w:t>
        </w:r>
      </w:hyperlink>
      <w:r>
        <w:t xml:space="preserve">.</w:t>
      </w:r>
    </w:p>
    <w:bookmarkEnd w:id="90"/>
    <w:bookmarkStart w:id="92"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91">
        <w:r>
          <w:rPr>
            <w:rStyle w:val="Hyperlink"/>
          </w:rPr>
          <w:t xml:space="preserve">https://mitpress.mit.edu/books/raw-data-oxymoron</w:t>
        </w:r>
      </w:hyperlink>
      <w:r>
        <w:t xml:space="preserve">.</w:t>
      </w:r>
    </w:p>
    <w:bookmarkEnd w:id="92"/>
    <w:bookmarkStart w:id="94"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93">
        <w:r>
          <w:rPr>
            <w:rStyle w:val="Hyperlink"/>
          </w:rPr>
          <w:t xml:space="preserve">10.5210/fm.v16i2.3316</w:t>
        </w:r>
      </w:hyperlink>
      <w:r>
        <w:t xml:space="preserve">.</w:t>
      </w:r>
    </w:p>
    <w:bookmarkEnd w:id="94"/>
    <w:bookmarkStart w:id="96" w:name="ref-harbird2006"/>
    <w:p>
      <w:pPr>
        <w:pStyle w:val="Bibliography"/>
      </w:pPr>
      <w:r>
        <w:t xml:space="preserve">Harbird, R. (2006) ‘Novel Applications for Information Technology in Risk Assessment for Children’s Social Care in the UK’,</w:t>
      </w:r>
      <w:r>
        <w:t xml:space="preserve"> </w:t>
      </w:r>
      <w:r>
        <w:rPr>
          <w:i/>
        </w:rPr>
        <w:t xml:space="preserve">Rn</w:t>
      </w:r>
      <w:r>
        <w:t xml:space="preserve">. Available at:</w:t>
      </w:r>
      <w:r>
        <w:t xml:space="preserve"> </w:t>
      </w:r>
      <w:hyperlink r:id="rId95">
        <w:r>
          <w:rPr>
            <w:rStyle w:val="Hyperlink"/>
          </w:rPr>
          <w:t xml:space="preserve">http://www.cs.ucl.ac.uk/research/researchnotes/documents/RN_06_11.pdf</w:t>
        </w:r>
      </w:hyperlink>
      <w:r>
        <w:t xml:space="preserve">.</w:t>
      </w:r>
    </w:p>
    <w:bookmarkEnd w:id="96"/>
    <w:bookmarkStart w:id="98" w:name="ref-herselman2016"/>
    <w:p>
      <w:pPr>
        <w:pStyle w:val="Bibliography"/>
      </w:pPr>
      <w:r>
        <w:t xml:space="preserve">Herselman, M.</w:t>
      </w:r>
      <w:r>
        <w:t xml:space="preserve"> </w:t>
      </w:r>
      <w:r>
        <w:rPr>
          <w:i/>
        </w:rPr>
        <w:t xml:space="preserve">et al.</w:t>
      </w:r>
      <w:r>
        <w:t xml:space="preserve"> </w:t>
      </w:r>
      <w:r>
        <w:t xml:space="preserve">(2016) ‘A Digital Health Innovation Ecosystem for South Africa’, in</w:t>
      </w:r>
      <w:r>
        <w:t xml:space="preserve"> </w:t>
      </w:r>
      <w:r>
        <w:rPr>
          <w:i/>
        </w:rPr>
        <w:t xml:space="preserve">2016 ist-africa conference, ist-africa 2016</w:t>
      </w:r>
      <w:r>
        <w:t xml:space="preserve">. doi:</w:t>
      </w:r>
      <w:r>
        <w:t xml:space="preserve"> </w:t>
      </w:r>
      <w:hyperlink r:id="rId97">
        <w:r>
          <w:rPr>
            <w:rStyle w:val="Hyperlink"/>
          </w:rPr>
          <w:t xml:space="preserve">10.1109/ISTAFRICA.2016.7530615</w:t>
        </w:r>
      </w:hyperlink>
      <w:r>
        <w:t xml:space="preserve">.</w:t>
      </w:r>
    </w:p>
    <w:bookmarkEnd w:id="98"/>
    <w:bookmarkStart w:id="99" w:name="ref-honeyman2016"/>
    <w:p>
      <w:pPr>
        <w:pStyle w:val="Bibliography"/>
      </w:pPr>
      <w:r>
        <w:t xml:space="preserve">Honeyman, M., Dunn, P. and Mckenna, H. (2016)</w:t>
      </w:r>
      <w:r>
        <w:t xml:space="preserve"> </w:t>
      </w:r>
      <w:r>
        <w:rPr>
          <w:i/>
        </w:rPr>
        <w:t xml:space="preserve">A digital NHS?</w:t>
      </w:r>
    </w:p>
    <w:bookmarkEnd w:id="99"/>
    <w:bookmarkStart w:id="100" w:name="ref-huberman2002"/>
    <w:p>
      <w:pPr>
        <w:pStyle w:val="Bibliography"/>
      </w:pPr>
      <w:r>
        <w:t xml:space="preserve">Huberman, M. and Miles, M. B. (2002)</w:t>
      </w:r>
      <w:r>
        <w:t xml:space="preserve"> </w:t>
      </w:r>
      <w:r>
        <w:rPr>
          <w:i/>
        </w:rPr>
        <w:t xml:space="preserve">The qualitative researcher’s companion</w:t>
      </w:r>
      <w:r>
        <w:t xml:space="preserve">. Sage.</w:t>
      </w:r>
    </w:p>
    <w:bookmarkEnd w:id="100"/>
    <w:bookmarkStart w:id="102" w:name="ref-johnson2010"/>
    <w:p>
      <w:pPr>
        <w:pStyle w:val="Bibliography"/>
      </w:pPr>
      <w:r>
        <w:t xml:space="preserve">Johnson, S. L., Kim, Y. M. and Church, K. (2010) ‘Towards client-centered counseling: Development and testing of the WHO Decision-Making Tool’,</w:t>
      </w:r>
      <w:r>
        <w:t xml:space="preserve"> </w:t>
      </w:r>
      <w:r>
        <w:rPr>
          <w:i/>
        </w:rPr>
        <w:t xml:space="preserve">Patient Education and Counseling</w:t>
      </w:r>
      <w:r>
        <w:t xml:space="preserve">. Elsevier Ireland Ltd, 81(3), pp. 355–361. doi:</w:t>
      </w:r>
      <w:r>
        <w:t xml:space="preserve"> </w:t>
      </w:r>
      <w:hyperlink r:id="rId101">
        <w:r>
          <w:rPr>
            <w:rStyle w:val="Hyperlink"/>
          </w:rPr>
          <w:t xml:space="preserve">10.1016/j.pec.2010.10.011</w:t>
        </w:r>
      </w:hyperlink>
      <w:r>
        <w:t xml:space="preserve">.</w:t>
      </w:r>
    </w:p>
    <w:bookmarkEnd w:id="102"/>
    <w:bookmarkStart w:id="104" w:name="ref-kalvet2008"/>
    <w:p>
      <w:pPr>
        <w:pStyle w:val="Bibliography"/>
      </w:pPr>
      <w:r>
        <w:t xml:space="preserve">Kalvet, T. (2005) ‘Digital divide and the ICT paradigm generally and in estonia’, in</w:t>
      </w:r>
      <w:r>
        <w:t xml:space="preserve"> </w:t>
      </w:r>
      <w:r>
        <w:rPr>
          <w:i/>
        </w:rPr>
        <w:t xml:space="preserve">Encyclopedia of developing regional communities with information and communication technology</w:t>
      </w:r>
      <w:r>
        <w:t xml:space="preserve">. IGI Global, pp. 182–187. doi:</w:t>
      </w:r>
      <w:r>
        <w:t xml:space="preserve"> </w:t>
      </w:r>
      <w:hyperlink r:id="rId103">
        <w:r>
          <w:rPr>
            <w:rStyle w:val="Hyperlink"/>
          </w:rPr>
          <w:t xml:space="preserve">10.4018/978-1-59140-575-7.ch032</w:t>
        </w:r>
      </w:hyperlink>
      <w:r>
        <w:t xml:space="preserve">.</w:t>
      </w:r>
    </w:p>
    <w:bookmarkEnd w:id="104"/>
    <w:bookmarkStart w:id="106" w:name="ref-kaye2015"/>
    <w:p>
      <w:pPr>
        <w:pStyle w:val="Bibliography"/>
      </w:pPr>
      <w:r>
        <w:t xml:space="preserve">Kaye, J.</w:t>
      </w:r>
      <w:r>
        <w:t xml:space="preserve"> </w:t>
      </w:r>
      <w:r>
        <w:rPr>
          <w:i/>
        </w:rPr>
        <w:t xml:space="preserve">et al.</w:t>
      </w:r>
      <w:r>
        <w:t xml:space="preserve"> </w:t>
      </w:r>
      <w:r>
        <w:t xml:space="preserve">(2015) ‘Dynamic consent: a patient interface for twenty-first century research networks’,</w:t>
      </w:r>
      <w:r>
        <w:t xml:space="preserve"> </w:t>
      </w:r>
      <w:r>
        <w:rPr>
          <w:i/>
        </w:rPr>
        <w:t xml:space="preserve">European Journal of Human Genetics</w:t>
      </w:r>
      <w:r>
        <w:t xml:space="preserve">. Nature Publishing Group, 23(2), pp. 141–146. doi:</w:t>
      </w:r>
      <w:r>
        <w:t xml:space="preserve"> </w:t>
      </w:r>
      <w:hyperlink r:id="rId105">
        <w:r>
          <w:rPr>
            <w:rStyle w:val="Hyperlink"/>
          </w:rPr>
          <w:t xml:space="preserve">10.1038/ejhg.2014.71</w:t>
        </w:r>
      </w:hyperlink>
      <w:r>
        <w:t xml:space="preserve">.</w:t>
      </w:r>
    </w:p>
    <w:bookmarkEnd w:id="106"/>
    <w:bookmarkStart w:id="108" w:name="ref-klatzky1970"/>
    <w:p>
      <w:pPr>
        <w:pStyle w:val="Bibliography"/>
      </w:pPr>
      <w:r>
        <w:t xml:space="preserve">Klatzky, S. R. (1970) ‘Automation, size, and the locus of decision making: the cascade effect’,</w:t>
      </w:r>
      <w:r>
        <w:t xml:space="preserve"> </w:t>
      </w:r>
      <w:r>
        <w:rPr>
          <w:i/>
        </w:rPr>
        <w:t xml:space="preserve">The Journal of Business</w:t>
      </w:r>
      <w:r>
        <w:t xml:space="preserve">. JSTOR, 43(2), pp. 141–151. Available at:</w:t>
      </w:r>
      <w:r>
        <w:t xml:space="preserve"> </w:t>
      </w:r>
      <w:hyperlink r:id="rId107">
        <w:r>
          <w:rPr>
            <w:rStyle w:val="Hyperlink"/>
          </w:rPr>
          <w:t xml:space="preserve">https://www.jstor.org/stable/pdf/2352107.pdf?refreqid=excelsior%3A24bde6bf7de0eccf42c6ea11f8446d38</w:t>
        </w:r>
      </w:hyperlink>
      <w:r>
        <w:t xml:space="preserve">.</w:t>
      </w:r>
    </w:p>
    <w:bookmarkEnd w:id="108"/>
    <w:bookmarkStart w:id="110" w:name="ref-kostkova2015"/>
    <w:p>
      <w:pPr>
        <w:pStyle w:val="Bibliography"/>
      </w:pPr>
      <w:r>
        <w:t xml:space="preserve">Kostkova, P. (2015) ‘Grand Challenges in Digital Health’,</w:t>
      </w:r>
      <w:r>
        <w:t xml:space="preserve"> </w:t>
      </w:r>
      <w:r>
        <w:rPr>
          <w:i/>
        </w:rPr>
        <w:t xml:space="preserve">Frontiers in Public Health</w:t>
      </w:r>
      <w:r>
        <w:t xml:space="preserve">. Frontiers Media SA, 3. doi:</w:t>
      </w:r>
      <w:r>
        <w:t xml:space="preserve"> </w:t>
      </w:r>
      <w:hyperlink r:id="rId109">
        <w:r>
          <w:rPr>
            <w:rStyle w:val="Hyperlink"/>
          </w:rPr>
          <w:t xml:space="preserve">10.3389/fpubh.2015.00134</w:t>
        </w:r>
      </w:hyperlink>
      <w:r>
        <w:t xml:space="preserve">.</w:t>
      </w:r>
    </w:p>
    <w:bookmarkEnd w:id="110"/>
    <w:bookmarkStart w:id="112" w:name="ref-kriisk2017"/>
    <w:p>
      <w:pPr>
        <w:pStyle w:val="Bibliography"/>
      </w:pPr>
      <w:r>
        <w:t xml:space="preserve">Kriisk, K. and Minas, R. (2017) ‘Social rights and spatial access to local social services: The role of structural conditions in access to local social services in Estonia’,</w:t>
      </w:r>
      <w:r>
        <w:t xml:space="preserve"> </w:t>
      </w:r>
      <w:r>
        <w:rPr>
          <w:i/>
        </w:rPr>
        <w:t xml:space="preserve">Social Work and Society</w:t>
      </w:r>
      <w:r>
        <w:t xml:space="preserve">, 15(1). Available at:</w:t>
      </w:r>
      <w:r>
        <w:t xml:space="preserve"> </w:t>
      </w:r>
      <w:hyperlink r:id="rId111">
        <w:r>
          <w:rPr>
            <w:rStyle w:val="Hyperlink"/>
          </w:rPr>
          <w:t xml:space="preserve">https://www.socwork.net/sws/article/view/503/1007</w:t>
        </w:r>
      </w:hyperlink>
      <w:r>
        <w:t xml:space="preserve">.</w:t>
      </w:r>
    </w:p>
    <w:bookmarkEnd w:id="112"/>
    <w:bookmarkStart w:id="114" w:name="ref-lecluijze2015"/>
    <w:p>
      <w:pPr>
        <w:pStyle w:val="Bibliography"/>
      </w:pPr>
      <w:r>
        <w:t xml:space="preserve">Lecluijze, I.</w:t>
      </w:r>
      <w:r>
        <w:t xml:space="preserve"> </w:t>
      </w:r>
      <w:r>
        <w:rPr>
          <w:i/>
        </w:rPr>
        <w:t xml:space="preserve">et al.</w:t>
      </w:r>
      <w:r>
        <w:t xml:space="preserve"> </w:t>
      </w:r>
      <w:r>
        <w:t xml:space="preserve">(2015) ‘Co-production of ICT and children at risk: The introduction of the Child Index in Dutch child welfare’,</w:t>
      </w:r>
      <w:r>
        <w:t xml:space="preserve"> </w:t>
      </w:r>
      <w:r>
        <w:rPr>
          <w:i/>
        </w:rPr>
        <w:t xml:space="preserve">Children and Youth Services Review</w:t>
      </w:r>
      <w:r>
        <w:t xml:space="preserve">. Elsevier Ltd, 56, pp. 161–168. doi:</w:t>
      </w:r>
      <w:r>
        <w:t xml:space="preserve"> </w:t>
      </w:r>
      <w:hyperlink r:id="rId113">
        <w:r>
          <w:rPr>
            <w:rStyle w:val="Hyperlink"/>
          </w:rPr>
          <w:t xml:space="preserve">10.1016/j.childyouth.2015.07.003</w:t>
        </w:r>
      </w:hyperlink>
      <w:r>
        <w:t xml:space="preserve">.</w:t>
      </w:r>
    </w:p>
    <w:bookmarkEnd w:id="114"/>
    <w:bookmarkStart w:id="115" w:name="ref-lowe2015"/>
    <w:p>
      <w:pPr>
        <w:pStyle w:val="Bibliography"/>
      </w:pPr>
      <w:r>
        <w:t xml:space="preserve">Lowe, T. and Wilson, R. (2015) ‘Playing the game of outcomes-based performance management’,</w:t>
      </w:r>
      <w:r>
        <w:t xml:space="preserve"> </w:t>
      </w:r>
      <w:r>
        <w:rPr>
          <w:i/>
        </w:rPr>
        <w:t xml:space="preserve">Is Gamesmanship Inevitable</w:t>
      </w:r>
      <w:r>
        <w:t xml:space="preserve">.</w:t>
      </w:r>
    </w:p>
    <w:bookmarkEnd w:id="115"/>
    <w:bookmarkStart w:id="117" w:name="ref-luger2013"/>
    <w:p>
      <w:pPr>
        <w:pStyle w:val="Bibliography"/>
      </w:pPr>
      <w:r>
        <w:t xml:space="preserve">Luger, E. and Rodden, T. (2013) ‘An informed view on consent for ubicomp’, in</w:t>
      </w:r>
      <w:r>
        <w:t xml:space="preserve"> </w:t>
      </w:r>
      <w:r>
        <w:rPr>
          <w:i/>
        </w:rPr>
        <w:t xml:space="preserve">UbiComp 2013 - proceedings of the 2013 acm international joint conference on pervasive and ubiquitous computing</w:t>
      </w:r>
      <w:r>
        <w:t xml:space="preserve">. New York, New York, USA: ACM Press, pp. 529–538. doi:</w:t>
      </w:r>
      <w:r>
        <w:t xml:space="preserve"> </w:t>
      </w:r>
      <w:hyperlink r:id="rId116">
        <w:r>
          <w:rPr>
            <w:rStyle w:val="Hyperlink"/>
          </w:rPr>
          <w:t xml:space="preserve">10.1145/2493432.2493446</w:t>
        </w:r>
      </w:hyperlink>
      <w:r>
        <w:t xml:space="preserve">.</w:t>
      </w:r>
    </w:p>
    <w:bookmarkEnd w:id="117"/>
    <w:bookmarkStart w:id="119" w:name="ref-malomo2017"/>
    <w:p>
      <w:pPr>
        <w:pStyle w:val="Bibliography"/>
      </w:pPr>
      <w:r>
        <w:t xml:space="preserve">Malomo, F. and Sena, V. (2017) ‘Data Intelligence for Local Government? Assessing the Benefits and Barriers to Use of Big Data in the Public Sector’,</w:t>
      </w:r>
      <w:r>
        <w:t xml:space="preserve"> </w:t>
      </w:r>
      <w:r>
        <w:rPr>
          <w:i/>
        </w:rPr>
        <w:t xml:space="preserve">Policy and Internet</w:t>
      </w:r>
      <w:r>
        <w:t xml:space="preserve">, 9(1), pp. 7–27. doi:</w:t>
      </w:r>
      <w:r>
        <w:t xml:space="preserve"> </w:t>
      </w:r>
      <w:hyperlink r:id="rId118">
        <w:r>
          <w:rPr>
            <w:rStyle w:val="Hyperlink"/>
          </w:rPr>
          <w:t xml:space="preserve">10.1002/poi3.141</w:t>
        </w:r>
      </w:hyperlink>
      <w:r>
        <w:t xml:space="preserve">.</w:t>
      </w:r>
    </w:p>
    <w:bookmarkEnd w:id="119"/>
    <w:bookmarkStart w:id="120" w:name="ref-miettinen2013"/>
    <w:p>
      <w:pPr>
        <w:pStyle w:val="Bibliography"/>
      </w:pPr>
      <w:r>
        <w:t xml:space="preserve">Miettinen, R. (2013)</w:t>
      </w:r>
      <w:r>
        <w:t xml:space="preserve"> </w:t>
      </w:r>
      <w:r>
        <w:rPr>
          <w:i/>
        </w:rPr>
        <w:t xml:space="preserve">Innovation, human capabilities, and democracy: Towards an enabling welfare state</w:t>
      </w:r>
      <w:r>
        <w:t xml:space="preserve">. Oxford University Press.</w:t>
      </w:r>
    </w:p>
    <w:bookmarkEnd w:id="120"/>
    <w:bookmarkStart w:id="121" w:name="ref-morozov2013"/>
    <w:p>
      <w:pPr>
        <w:pStyle w:val="Bibliography"/>
      </w:pPr>
      <w:r>
        <w:t xml:space="preserve">Morozov, E. (2013)</w:t>
      </w:r>
      <w:r>
        <w:t xml:space="preserve"> </w:t>
      </w:r>
      <w:r>
        <w:rPr>
          <w:i/>
        </w:rPr>
        <w:t xml:space="preserve">To save everything, click here: The folly of technological solutionism</w:t>
      </w:r>
      <w:r>
        <w:t xml:space="preserve">. Public Affairs.</w:t>
      </w:r>
    </w:p>
    <w:bookmarkEnd w:id="121"/>
    <w:bookmarkStart w:id="123"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122">
        <w:r>
          <w:rPr>
            <w:rStyle w:val="Hyperlink"/>
          </w:rPr>
          <w:t xml:space="preserve">10.2139/ssrn.2508051</w:t>
        </w:r>
      </w:hyperlink>
      <w:r>
        <w:t xml:space="preserve">.</w:t>
      </w:r>
    </w:p>
    <w:bookmarkEnd w:id="123"/>
    <w:bookmarkStart w:id="125" w:name="ref-neff2013"/>
    <w:p>
      <w:pPr>
        <w:pStyle w:val="Bibliography"/>
      </w:pPr>
      <w:r>
        <w:t xml:space="preserve">Neff, G. (2013) ‘Why Big Data Won’t Cure Us’,</w:t>
      </w:r>
      <w:r>
        <w:t xml:space="preserve"> </w:t>
      </w:r>
      <w:r>
        <w:rPr>
          <w:i/>
        </w:rPr>
        <w:t xml:space="preserve">Big Data</w:t>
      </w:r>
      <w:r>
        <w:t xml:space="preserve">, 1(3), pp. 117–123. doi:</w:t>
      </w:r>
      <w:r>
        <w:t xml:space="preserve"> </w:t>
      </w:r>
      <w:hyperlink r:id="rId124">
        <w:r>
          <w:rPr>
            <w:rStyle w:val="Hyperlink"/>
          </w:rPr>
          <w:t xml:space="preserve">10.1089/big.2013.0029</w:t>
        </w:r>
      </w:hyperlink>
      <w:r>
        <w:t xml:space="preserve">.</w:t>
      </w:r>
    </w:p>
    <w:bookmarkEnd w:id="125"/>
    <w:bookmarkStart w:id="127" w:name="ref-ofsted2015"/>
    <w:p>
      <w:pPr>
        <w:pStyle w:val="Bibliography"/>
      </w:pPr>
      <w:r>
        <w:t xml:space="preserve">OFSTED (2015)</w:t>
      </w:r>
      <w:r>
        <w:t xml:space="preserve"> </w:t>
      </w:r>
      <w:r>
        <w:rPr>
          <w:i/>
        </w:rPr>
        <w:t xml:space="preserve">Early help: whose responsibility?</w:t>
      </w:r>
      <w:r>
        <w:t xml:space="preserve">, p. 32. Available at:</w:t>
      </w:r>
      <w:r>
        <w:t xml:space="preserve"> </w:t>
      </w:r>
      <w:hyperlink r:id="rId126">
        <w:r>
          <w:rPr>
            <w:rStyle w:val="Hyperlink"/>
          </w:rPr>
          <w:t xml:space="preserve">www.ofsted.gov.uk https://www.gov.uk/government/uploads/system/uploads/attachment_data/file/410378/Early_help_whose_responsibility.pdf</w:t>
        </w:r>
      </w:hyperlink>
      <w:r>
        <w:t xml:space="preserve">.</w:t>
      </w:r>
    </w:p>
    <w:bookmarkEnd w:id="127"/>
    <w:bookmarkStart w:id="128" w:name="ref-papert1980"/>
    <w:p>
      <w:pPr>
        <w:pStyle w:val="Bibliography"/>
      </w:pPr>
      <w:r>
        <w:t xml:space="preserve">Papert, S. (1980) ‘Mindstorms: children, computers, and powerful ideas’. Basic Books, Inc.</w:t>
      </w:r>
    </w:p>
    <w:bookmarkEnd w:id="128"/>
    <w:bookmarkStart w:id="130" w:name="ref-pollock2011"/>
    <w:p>
      <w:pPr>
        <w:pStyle w:val="Bibliography"/>
      </w:pPr>
      <w:r>
        <w:t xml:space="preserve">Pollock, R. (2011) ‘Building the (Open) Data Ecosystem – Open Knowledge Foundation Blog’. Available at:</w:t>
      </w:r>
      <w:r>
        <w:t xml:space="preserve"> </w:t>
      </w:r>
      <w:hyperlink r:id="rId129">
        <w:r>
          <w:rPr>
            <w:rStyle w:val="Hyperlink"/>
          </w:rPr>
          <w:t xml:space="preserve">https://blog.okfn.org/2011/03/31/building-the-open-data-ecosystem/</w:t>
        </w:r>
      </w:hyperlink>
      <w:r>
        <w:t xml:space="preserve"> </w:t>
      </w:r>
      <w:r>
        <w:t xml:space="preserve">(Accessed: 23 July 2019).</w:t>
      </w:r>
    </w:p>
    <w:bookmarkEnd w:id="130"/>
    <w:bookmarkStart w:id="131" w:name="ref-soja2015"/>
    <w:p>
      <w:pPr>
        <w:pStyle w:val="Bibliography"/>
      </w:pPr>
      <w:r>
        <w:t xml:space="preserve">Soja, E. (2015) ‘Supporting Healthcare of the Elderly through ICT: Socio-demographic Conditions and Digital Inclusion’, in</w:t>
      </w:r>
      <w:r>
        <w:t xml:space="preserve"> </w:t>
      </w:r>
      <w:r>
        <w:rPr>
          <w:i/>
        </w:rPr>
        <w:t xml:space="preserve">Knowledge economy society - challenges and development trends of modern economy, finance and information technology.</w:t>
      </w:r>
      <w:r>
        <w:t xml:space="preserve">, pp. 279–290.</w:t>
      </w:r>
    </w:p>
    <w:bookmarkEnd w:id="131"/>
    <w:bookmarkStart w:id="133" w:name="ref-spector1982"/>
    <w:p>
      <w:pPr>
        <w:pStyle w:val="Bibliography"/>
      </w:pPr>
      <w:r>
        <w:t xml:space="preserve">Spector, P. E. (1982) ‘Behavior in organizations as a function of employee’s locus of control’,</w:t>
      </w:r>
      <w:r>
        <w:t xml:space="preserve"> </w:t>
      </w:r>
      <w:r>
        <w:rPr>
          <w:i/>
        </w:rPr>
        <w:t xml:space="preserve">Psychological Bulletin</w:t>
      </w:r>
      <w:r>
        <w:t xml:space="preserve">, 91(3), pp. 482–497. doi:</w:t>
      </w:r>
      <w:r>
        <w:t xml:space="preserve"> </w:t>
      </w:r>
      <w:hyperlink r:id="rId132">
        <w:r>
          <w:rPr>
            <w:rStyle w:val="Hyperlink"/>
          </w:rPr>
          <w:t xml:space="preserve">10.1037/0033-2909.91.3.482</w:t>
        </w:r>
      </w:hyperlink>
      <w:r>
        <w:t xml:space="preserve">.</w:t>
      </w:r>
    </w:p>
    <w:bookmarkEnd w:id="133"/>
    <w:bookmarkStart w:id="135" w:name="ref-star1989"/>
    <w:p>
      <w:pPr>
        <w:pStyle w:val="Bibliography"/>
      </w:pPr>
      <w:r>
        <w:t xml:space="preserve">Star, S. L. (1989) ‘The Structure of Ill-Structured Solutions: Boundary Objects and Heterogeneous Distributed Problem Solving’, in</w:t>
      </w:r>
      <w:r>
        <w:t xml:space="preserve"> </w:t>
      </w:r>
      <w:r>
        <w:rPr>
          <w:i/>
        </w:rPr>
        <w:t xml:space="preserve">Distributed artificial intelligence</w:t>
      </w:r>
      <w:r>
        <w:t xml:space="preserve">. Elsevier, pp. 37–54. doi:</w:t>
      </w:r>
      <w:r>
        <w:t xml:space="preserve"> </w:t>
      </w:r>
      <w:hyperlink r:id="rId134">
        <w:r>
          <w:rPr>
            <w:rStyle w:val="Hyperlink"/>
          </w:rPr>
          <w:t xml:space="preserve">10.1016/b978-1-55860-092-8.50006-x</w:t>
        </w:r>
      </w:hyperlink>
      <w:r>
        <w:t xml:space="preserve">.</w:t>
      </w:r>
    </w:p>
    <w:bookmarkEnd w:id="135"/>
    <w:bookmarkStart w:id="137" w:name="ref-star2010"/>
    <w:p>
      <w:pPr>
        <w:pStyle w:val="Bibliography"/>
      </w:pPr>
      <w:r>
        <w:t xml:space="preserve">Star, S. L. (2010) ‘This is not a boundary object: Reflections on the origin of a concept’,</w:t>
      </w:r>
      <w:r>
        <w:t xml:space="preserve"> </w:t>
      </w:r>
      <w:r>
        <w:rPr>
          <w:i/>
        </w:rPr>
        <w:t xml:space="preserve">Science Technology and Human Values</w:t>
      </w:r>
      <w:r>
        <w:t xml:space="preserve">, 35(5), pp. 601–617. doi:</w:t>
      </w:r>
      <w:r>
        <w:t xml:space="preserve"> </w:t>
      </w:r>
      <w:hyperlink r:id="rId136">
        <w:r>
          <w:rPr>
            <w:rStyle w:val="Hyperlink"/>
          </w:rPr>
          <w:t xml:space="preserve">10.1177/0162243910377624</w:t>
        </w:r>
      </w:hyperlink>
      <w:r>
        <w:t xml:space="preserve">.</w:t>
      </w:r>
    </w:p>
    <w:bookmarkEnd w:id="137"/>
    <w:bookmarkStart w:id="139" w:name="ref-steyaert2009"/>
    <w:p>
      <w:pPr>
        <w:pStyle w:val="Bibliography"/>
      </w:pPr>
      <w:r>
        <w:t xml:space="preserve">Steyaert, J. and Gould, N. (2009) ‘Social work and the changing face of the digital divide’,</w:t>
      </w:r>
      <w:r>
        <w:t xml:space="preserve"> </w:t>
      </w:r>
      <w:r>
        <w:rPr>
          <w:i/>
        </w:rPr>
        <w:t xml:space="preserve">British Journal of Social Work</w:t>
      </w:r>
      <w:r>
        <w:t xml:space="preserve">, 39(4), pp. 740–753. doi:</w:t>
      </w:r>
      <w:r>
        <w:t xml:space="preserve"> </w:t>
      </w:r>
      <w:hyperlink r:id="rId138">
        <w:r>
          <w:rPr>
            <w:rStyle w:val="Hyperlink"/>
          </w:rPr>
          <w:t xml:space="preserve">10.1093/bjsw/bcp022</w:t>
        </w:r>
      </w:hyperlink>
      <w:r>
        <w:t xml:space="preserve">.</w:t>
      </w:r>
    </w:p>
    <w:bookmarkEnd w:id="139"/>
    <w:bookmarkStart w:id="141" w:name="ref-tregeagle2008"/>
    <w:p>
      <w:pPr>
        <w:pStyle w:val="Bibliography"/>
      </w:pPr>
      <w:r>
        <w:t xml:space="preserve">Tregeagle, S. and Darcy, M. (2008) ‘Child welfare and information and communication technology: Today’s challenge’,</w:t>
      </w:r>
      <w:r>
        <w:t xml:space="preserve"> </w:t>
      </w:r>
      <w:r>
        <w:rPr>
          <w:i/>
        </w:rPr>
        <w:t xml:space="preserve">British Journal of Social Work</w:t>
      </w:r>
      <w:r>
        <w:t xml:space="preserve">, 38(8), pp. 1481–1498. doi:</w:t>
      </w:r>
      <w:r>
        <w:t xml:space="preserve"> </w:t>
      </w:r>
      <w:hyperlink r:id="rId140">
        <w:r>
          <w:rPr>
            <w:rStyle w:val="Hyperlink"/>
          </w:rPr>
          <w:t xml:space="preserve">10.1093/bjsw/bcm048</w:t>
        </w:r>
      </w:hyperlink>
      <w:r>
        <w:t xml:space="preserve">.</w:t>
      </w:r>
    </w:p>
    <w:bookmarkEnd w:id="141"/>
    <w:bookmarkStart w:id="143" w:name="ref-williams2015"/>
    <w:p>
      <w:pPr>
        <w:pStyle w:val="Bibliography"/>
      </w:pPr>
      <w:r>
        <w:t xml:space="preserve">Williams, H.</w:t>
      </w:r>
      <w:r>
        <w:t xml:space="preserve"> </w:t>
      </w:r>
      <w:r>
        <w:rPr>
          <w:i/>
        </w:rPr>
        <w:t xml:space="preserve">et al.</w:t>
      </w:r>
      <w:r>
        <w:t xml:space="preserve"> </w:t>
      </w:r>
      <w:r>
        <w:t xml:space="preserve">(2015) ‘Dynamic consent: a possible solution to improve patient confidence and trust in how electronic patient records are used in medical research.’,</w:t>
      </w:r>
      <w:r>
        <w:t xml:space="preserve"> </w:t>
      </w:r>
      <w:r>
        <w:rPr>
          <w:i/>
        </w:rPr>
        <w:t xml:space="preserve">JMIR medical informatics</w:t>
      </w:r>
      <w:r>
        <w:t xml:space="preserve">. JMIR Publications Inc., 3(1), p. e3. doi:</w:t>
      </w:r>
      <w:r>
        <w:t xml:space="preserve"> </w:t>
      </w:r>
      <w:hyperlink r:id="rId142">
        <w:r>
          <w:rPr>
            <w:rStyle w:val="Hyperlink"/>
          </w:rPr>
          <w:t xml:space="preserve">10.2196/medinform.3525</w:t>
        </w:r>
      </w:hyperlink>
      <w:r>
        <w:t xml:space="preserve">.</w:t>
      </w:r>
    </w:p>
    <w:bookmarkEnd w:id="143"/>
    <w:bookmarkStart w:id="145" w:name="ref-wilson2020"/>
    <w:p>
      <w:pPr>
        <w:pStyle w:val="Bibliography"/>
      </w:pPr>
      <w:r>
        <w:t xml:space="preserve">Wilson, L., Wilson, R. and Martin, M. (2020)</w:t>
      </w:r>
      <w:r>
        <w:t xml:space="preserve"> </w:t>
      </w:r>
      <w:r>
        <w:rPr>
          <w:i/>
        </w:rPr>
        <w:t xml:space="preserve">Health and Care Practitioner Insights: Understanding Information Sharing in Constellations of Care - Report on Amy’s Page workshop series.</w:t>
      </w:r>
      <w:r>
        <w:t xml:space="preserve"> </w:t>
      </w:r>
      <w:r>
        <w:t xml:space="preserve">Great North Care Record. Available at:</w:t>
      </w:r>
      <w:r>
        <w:t xml:space="preserve"> </w:t>
      </w:r>
      <w:hyperlink r:id="rId144">
        <w:r>
          <w:rPr>
            <w:rStyle w:val="Hyperlink"/>
          </w:rPr>
          <w:t xml:space="preserve">https://www.greatnorthcarerecord.org.uk</w:t>
        </w:r>
      </w:hyperlink>
      <w:r>
        <w:t xml:space="preserve">.</w:t>
      </w:r>
    </w:p>
    <w:bookmarkEnd w:id="145"/>
    <w:bookmarkStart w:id="147" w:name="ref-wilson2011"/>
    <w:p>
      <w:pPr>
        <w:pStyle w:val="Bibliography"/>
      </w:pPr>
      <w:r>
        <w:t xml:space="preserve">Wilson, R.</w:t>
      </w:r>
      <w:r>
        <w:t xml:space="preserve"> </w:t>
      </w:r>
      <w:r>
        <w:rPr>
          <w:i/>
        </w:rPr>
        <w:t xml:space="preserve">et al.</w:t>
      </w:r>
      <w:r>
        <w:t xml:space="preserve"> </w:t>
      </w:r>
      <w:r>
        <w:t xml:space="preserve">(2011) ‘Re-Mixing Digital Economies in the Voluntary Community Sector? Governing Identity Information and Information Sharing in the Mixed Economy of Care for Children and Young People*’,</w:t>
      </w:r>
      <w:r>
        <w:t xml:space="preserve"> </w:t>
      </w:r>
      <w:r>
        <w:rPr>
          <w:i/>
        </w:rPr>
        <w:t xml:space="preserve">Social Policy and Society</w:t>
      </w:r>
      <w:r>
        <w:t xml:space="preserve">. Cambridge University Press, 10(3), pp. 379–391. doi:</w:t>
      </w:r>
      <w:r>
        <w:t xml:space="preserve"> </w:t>
      </w:r>
      <w:hyperlink r:id="rId146">
        <w:r>
          <w:rPr>
            <w:rStyle w:val="Hyperlink"/>
          </w:rPr>
          <w:t xml:space="preserve">10.1017/s1474746411000108</w:t>
        </w:r>
      </w:hyperlink>
      <w:r>
        <w:t xml:space="preserve">.</w:t>
      </w:r>
    </w:p>
    <w:bookmarkEnd w:id="147"/>
    <w:bookmarkEnd w:id="148"/>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
        </w:rPr>
        <w:t xml:space="preserve">‘</w:t>
      </w:r>
      <w:r>
        <w:rPr>
          <w:i/>
        </w:rPr>
        <w:t xml:space="preserve">Troubled Families</w:t>
      </w:r>
      <w:r>
        <w:rPr>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5">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6">
    <w:p>
      <w:pPr>
        <w:pStyle w:val="FootnoteText"/>
      </w:pPr>
      <w:r>
        <w:rPr>
          <w:rStyle w:val="FootnoteReference"/>
        </w:rPr>
        <w:footnoteRef/>
      </w:r>
      <w:r>
        <w:t xml:space="preserve"> </w:t>
      </w:r>
      <w:r>
        <w:t xml:space="preserve">As judged at the time of the workshops, summer 2018.</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6" Target="media/rId56.png" /><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_rels/footnotes.xml.rels><?xml version="1.0" encoding="UTF-8"?>
<Relationships xmlns="http://schemas.openxmlformats.org/package/2006/relationships"><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2022-04-25T09:34:41Z</dcterms:created>
  <dcterms:modified xsi:type="dcterms:W3CDTF">2022-04-25T09:34:41Z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