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politician, teacher and equal rights campaigner)</w:t>
      </w:r>
    </w:p>
    <w:p>
      <w:pPr>
        <w:pStyle w:val="FirstParagraph"/>
      </w:pPr>
      <w:r>
        <w:t xml:space="preserve">In this chapter, I describe the first major case study of this PhD, in which I ran four 2-hour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 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extensive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;TODO REF White and Wastell;TODO 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 performance at work, NI, PAYE, pensions.|</w:t>
      </w:r>
      <w:r>
        <w:t xml:space="preserve"> </w:t>
      </w:r>
      <w:r>
        <w:t xml:space="preserve">|Civil|Housing data|Council house provision, eligibility criteria.|</w:t>
      </w:r>
      <w:r>
        <w:t xml:space="preserve"> </w:t>
      </w:r>
      <w:r>
        <w:t xml:space="preserve">| |Legal documents|Birth / marriage / death certificates, citizenship /immigration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 social / 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colouring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an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 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 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 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 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2022-08-15T14:18:47Z</dcterms:created>
  <dcterms:modified xsi:type="dcterms:W3CDTF">2022-08-15T14:18:47Z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