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31.png" ContentType="image/png"/>
  <Override PartName="/word/media/rId43.png" ContentType="image/png"/>
  <Override PartName="/word/media/rId55.png" ContentType="image/png"/>
  <Override PartName="/word/media/rId59.png" ContentType="image/png"/>
  <Override PartName="/word/media/rId63.png" ContentType="image/png"/>
  <Override PartName="/word/media/rId48.png" ContentType="image/png"/>
  <Override PartName="/word/media/rId51.png" ContentType="image/png"/>
  <Override PartName="/word/media/rId36.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9"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In</w:t>
      </w:r>
      <w:r>
        <w:t xml:space="preserve"> </w:t>
      </w:r>
      <w:hyperlink w:anchor="X380b93c5f9e9e252ac9ac548449d65f955603c4">
        <w:r>
          <w:rPr>
            <w:rStyle w:val="Hyperlink"/>
          </w:rPr>
          <w:t xml:space="preserve">5.2</w:t>
        </w:r>
      </w:hyperlink>
      <w:r>
        <w:t xml:space="preserve">, I will explain the stages of the interview process (including details of how participants were sensitised) as well as the preparatory and intermediate steps I undertook as researcher. In section</w:t>
      </w:r>
      <w:r>
        <w:t xml:space="preserve"> </w:t>
      </w:r>
      <w:hyperlink w:anchor="X710dd44fa12f98194f8bba2bb20cba7bee18ff6">
        <w:r>
          <w:rPr>
            <w:rStyle w:val="Hyperlink"/>
          </w:rPr>
          <w:t xml:space="preserve">5.3</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e764b34bb9cf18ff85fc0a77c2cd10063248c10">
        <w:r>
          <w:rPr>
            <w:rStyle w:val="Hyperlink"/>
          </w:rPr>
          <w:t xml:space="preserve">5.4</w:t>
        </w:r>
      </w:hyperlink>
      <w:r>
        <w:t xml:space="preserve">, I will describe the three themes uncovered through thematic analysis: that organisations provided participants with insufficient transparency to meet participants’ hopes and their legal obligations [</w:t>
      </w:r>
      <w:hyperlink w:anchor="Xf019608acb19092704e77b812587f75a4baed71">
        <w:r>
          <w:rPr>
            <w:rStyle w:val="Hyperlink"/>
          </w:rPr>
          <w:t xml:space="preserve">5.4.1</w:t>
        </w:r>
      </w:hyperlink>
      <w:r>
        <w:t xml:space="preserve">], that people struggle to find meaning and value in their data when they do manage to access it [</w:t>
      </w:r>
      <w:hyperlink w:anchor="Xd9a9eb3723d36c07bbcef114c168744dedfa05e">
        <w:r>
          <w:rPr>
            <w:rStyle w:val="Hyperlink"/>
          </w:rPr>
          <w:t xml:space="preserve">5.4.2</w:t>
        </w:r>
      </w:hyperlink>
      <w:r>
        <w:t xml:space="preserve">], and that providers’ data practices (in particular their GDPR request handling) can be harmful to their users’ trust, but that greater openness can have an opposite, positive impact [</w:t>
      </w:r>
      <w:hyperlink w:anchor="X4220954772525d32e725d96f6075161e9a9a85f">
        <w:r>
          <w:rPr>
            <w:rStyle w:val="Hyperlink"/>
          </w:rPr>
          <w:t xml:space="preserve">5.4.3</w:t>
        </w:r>
      </w:hyperlink>
      <w:r>
        <w:t xml:space="preserve">]. I will discuss the implications of these findings with reference to prior literature, from the perspective of policymakers [</w:t>
      </w:r>
      <w:hyperlink w:anchor="X18b35402f3fbcb74b8e5bbc8aa2c0e3e784e473">
        <w:r>
          <w:rPr>
            <w:rStyle w:val="Hyperlink"/>
          </w:rPr>
          <w:t xml:space="preserve">5.5.1</w:t>
        </w:r>
      </w:hyperlink>
      <w:r>
        <w:t xml:space="preserve">], data-holding companies [</w:t>
      </w:r>
      <w:hyperlink w:anchor="X279d3e70c4a8279cdfb499a60bef2c4f405d995">
        <w:r>
          <w:rPr>
            <w:rStyle w:val="Hyperlink"/>
          </w:rPr>
          <w:t xml:space="preserve">5.5.2</w:t>
        </w:r>
      </w:hyperlink>
      <w:r>
        <w:t xml:space="preserve">], and individuals [</w:t>
      </w:r>
      <w:hyperlink w:anchor="X41dd5411c3ac1e32b00fee73de26a508f888c5b">
        <w:r>
          <w:rPr>
            <w:rStyle w:val="Hyperlink"/>
          </w:rPr>
          <w:t xml:space="preserve">5.5.3</w:t>
        </w:r>
      </w:hyperlink>
      <w:r>
        <w:t xml:space="preserve">]. Finally in</w:t>
      </w:r>
      <w:r>
        <w:t xml:space="preserve"> </w:t>
      </w:r>
      <w:hyperlink w:anchor="X2246273db175b4d951c8ae09a9b87d55b422463">
        <w:r>
          <w:rPr>
            <w:rStyle w:val="Hyperlink"/>
          </w:rPr>
          <w:t xml:space="preserve">5.6</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 This everyday context is the chosen research setting for this case study.</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identified in</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5"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bookmarkStart w:id="30" w:name="figure-5.1"/>
      <w:r>
        <w:drawing>
          <wp:inline>
            <wp:extent cx="5334000" cy="5887489"/>
            <wp:effectExtent b="0" l="0" r="0" t="0"/>
            <wp:docPr descr="Figure 5.1: A Journey Map of Each Participant’s Study Progression" title="" id="28" name="Picture"/>
            <a:graphic>
              <a:graphicData uri="http://schemas.openxmlformats.org/drawingml/2006/picture">
                <pic:pic>
                  <pic:nvPicPr>
                    <pic:cNvPr descr="./src/figs/fig5.1-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bookmarkEnd w:id="30"/>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bookmarkStart w:id="34" w:name="figure-5.2"/>
      <w:r>
        <w:drawing>
          <wp:inline>
            <wp:extent cx="5334000" cy="3422794"/>
            <wp:effectExtent b="0" l="0" r="0" t="0"/>
            <wp:docPr descr="Figure 5.2: An Example Life Sketch from Interview 1, with Data Handling Companies in Red, Data Types in Blue, and Feelings in Green" title="" id="32" name="Picture"/>
            <a:graphic>
              <a:graphicData uri="http://schemas.openxmlformats.org/drawingml/2006/picture">
                <pic:pic>
                  <pic:nvPicPr>
                    <pic:cNvPr descr="./src/figs/fig5.2-sketch-interview.png" id="33" name="Picture"/>
                    <pic:cNvPicPr>
                      <a:picLocks noChangeArrowheads="1" noChangeAspect="1"/>
                    </pic:cNvPicPr>
                  </pic:nvPicPr>
                  <pic:blipFill>
                    <a:blip r:embed="rId31"/>
                    <a:stretch>
                      <a:fillRect/>
                    </a:stretch>
                  </pic:blipFill>
                  <pic:spPr bwMode="auto">
                    <a:xfrm>
                      <a:off x="0" y="0"/>
                      <a:ext cx="5334000" cy="3422794"/>
                    </a:xfrm>
                    <a:prstGeom prst="rect">
                      <a:avLst/>
                    </a:prstGeom>
                    <a:noFill/>
                    <a:ln w="9525">
                      <a:noFill/>
                      <a:headEnd/>
                      <a:tailEnd/>
                    </a:ln>
                  </pic:spPr>
                </pic:pic>
              </a:graphicData>
            </a:graphic>
          </wp:inline>
        </w:drawing>
      </w:r>
      <w:bookmarkEnd w:id="34"/>
    </w:p>
    <w:p>
      <w:pPr>
        <w:pStyle w:val="ImageCaption"/>
      </w:pPr>
      <w:r>
        <w:t xml:space="preserve">Figure 5.2: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w:t>
      </w:r>
      <w:hyperlink w:anchor="Xe764b34bb9cf18ff85fc0a77c2cd10063248c10">
        <w:r>
          <w:rPr>
            <w:rStyle w:val="Hyperlink"/>
          </w:rPr>
          <w:t xml:space="preserve">5.4</w:t>
        </w:r>
      </w:hyperlink>
      <w:r>
        <w:t xml:space="preserve">]. Quantitative data from interview spreadsheets was also summarised and analysed [</w:t>
      </w:r>
      <w:hyperlink w:anchor="Xf66ffa0d783df84c67ba37533f91b9f3782a063">
        <w:r>
          <w:rPr>
            <w:rStyle w:val="Hyperlink"/>
          </w:rPr>
          <w:t xml:space="preserve">5.5</w:t>
        </w:r>
      </w:hyperlink>
      <w:r>
        <w:t xml:space="preserve">]. Sketches, recordings, screenshots and field notes were referenced throughout thematic analysis to aid interpretation of the transcripts.</w:t>
      </w:r>
    </w:p>
    <w:bookmarkEnd w:id="35"/>
    <w:bookmarkStart w:id="68" w:name="X710dd44fa12f98194f8bba2bb20cba7bee18ff6"/>
    <w:p>
      <w:pPr>
        <w:pStyle w:val="Heading2"/>
      </w:pPr>
      <w:r>
        <w:rPr>
          <w:rStyle w:val="SectionNumber"/>
        </w:rPr>
        <w:t xml:space="preserve">1.3</w:t>
      </w:r>
      <w:r>
        <w:tab/>
      </w:r>
      <w:r>
        <w:t xml:space="preserve">GDPR Request Outcomes</w:t>
      </w:r>
    </w:p>
    <w:bookmarkStart w:id="42"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5.1:</w:t>
      </w:r>
    </w:p>
    <w:p>
      <w:pPr>
        <w:pStyle w:val="BodyText"/>
      </w:pPr>
    </w:p>
    <w:p>
      <w:pPr>
        <w:pStyle w:val="BodyText"/>
      </w:pPr>
      <w:r>
        <w:drawing>
          <wp:inline>
            <wp:extent cx="5334000" cy="1734000"/>
            <wp:effectExtent b="0" l="0" r="0" t="0"/>
            <wp:docPr descr="" title="" id="37" name="Picture"/>
            <a:graphic>
              <a:graphicData uri="http://schemas.openxmlformats.org/drawingml/2006/picture">
                <pic:pic>
                  <pic:nvPicPr>
                    <pic:cNvPr descr="./src/figs/table8-targets.png" id="38" name="Picture"/>
                    <pic:cNvPicPr>
                      <a:picLocks noChangeArrowheads="1" noChangeAspect="1"/>
                    </pic:cNvPicPr>
                  </pic:nvPicPr>
                  <pic:blipFill>
                    <a:blip r:embed="rId36"/>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p>
    <w:p>
      <w:pPr>
        <w:pStyle w:val="BodyText"/>
      </w:pPr>
      <w:r>
        <w:drawing>
          <wp:inline>
            <wp:extent cx="5334000" cy="3216866"/>
            <wp:effectExtent b="0" l="0" r="0" t="0"/>
            <wp:docPr descr="" title="" id="40" name="Picture"/>
            <a:graphic>
              <a:graphicData uri="http://schemas.openxmlformats.org/drawingml/2006/picture">
                <pic:pic>
                  <pic:nvPicPr>
                    <pic:cNvPr descr="./src/figs/table9-data-types.png" id="41" name="Picture"/>
                    <pic:cNvPicPr>
                      <a:picLocks noChangeArrowheads="1" noChangeAspect="1"/>
                    </pic:cNvPicPr>
                  </pic:nvPicPr>
                  <pic:blipFill>
                    <a:blip r:embed="rId39"/>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2"/>
    <w:bookmarkStart w:id="47"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bookmarkStart w:id="46" w:name="figure-5.3"/>
      <w:r>
        <w:drawing>
          <wp:inline>
            <wp:extent cx="5334000" cy="2024792"/>
            <wp:effectExtent b="0" l="0" r="0" t="0"/>
            <wp:docPr descr="Figure 5.3: Sankey Overview of Participants’ GDPR Requests" title="" id="44" name="Picture"/>
            <a:graphic>
              <a:graphicData uri="http://schemas.openxmlformats.org/drawingml/2006/picture">
                <pic:pic>
                  <pic:nvPicPr>
                    <pic:cNvPr descr="./src/figs/fig5.3-gdpr-sankey.png" id="45" name="Picture"/>
                    <pic:cNvPicPr>
                      <a:picLocks noChangeArrowheads="1" noChangeAspect="1"/>
                    </pic:cNvPicPr>
                  </pic:nvPicPr>
                  <pic:blipFill>
                    <a:blip r:embed="rId43"/>
                    <a:stretch>
                      <a:fillRect/>
                    </a:stretch>
                  </pic:blipFill>
                  <pic:spPr bwMode="auto">
                    <a:xfrm>
                      <a:off x="0" y="0"/>
                      <a:ext cx="5334000" cy="2024792"/>
                    </a:xfrm>
                    <a:prstGeom prst="rect">
                      <a:avLst/>
                    </a:prstGeom>
                    <a:noFill/>
                    <a:ln w="9525">
                      <a:noFill/>
                      <a:headEnd/>
                      <a:tailEnd/>
                    </a:ln>
                  </pic:spPr>
                </pic:pic>
              </a:graphicData>
            </a:graphic>
          </wp:inline>
        </w:drawing>
      </w:r>
      <w:bookmarkEnd w:id="46"/>
    </w:p>
    <w:p>
      <w:pPr>
        <w:pStyle w:val="ImageCaption"/>
      </w:pPr>
      <w:r>
        <w:t xml:space="preserve">Figure 5.3: Sankey Overview of Participants’ GDPR Requests</w:t>
      </w:r>
    </w:p>
    <w:p>
      <w:pPr>
        <w:pStyle w:val="BodyText"/>
      </w:pPr>
      <w:r>
        <w:t xml:space="preserve">At the conclusion of interview 2, participants were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7"/>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(see</w:t>
      </w:r>
      <w:r>
        <w:t xml:space="preserve"> </w:t>
      </w:r>
      <w:hyperlink w:anchor="Xe764b34bb9cf18ff85fc0a77c2cd10063248c10">
        <w:r>
          <w:rPr>
            <w:rStyle w:val="Hyperlink"/>
          </w:rPr>
          <w:t xml:space="preserve">5.4</w:t>
        </w:r>
      </w:hyperlink>
      <w:r>
        <w:t xml:space="preserve">).</w:t>
      </w:r>
    </w:p>
    <w:p>
      <w:pPr>
        <w:pStyle w:val="BodyText"/>
      </w:pPr>
    </w:p>
    <w:p>
      <w:pPr>
        <w:pStyle w:val="BodyText"/>
      </w:pPr>
      <w:r>
        <w:drawing>
          <wp:inline>
            <wp:extent cx="5334000" cy="2046000"/>
            <wp:effectExtent b="0" l="0" r="0" t="0"/>
            <wp:docPr descr="" title="" id="49" name="Picture"/>
            <a:graphic>
              <a:graphicData uri="http://schemas.openxmlformats.org/drawingml/2006/picture">
                <pic:pic>
                  <pic:nvPicPr>
                    <pic:cNvPr descr="./src/figs/table10-data-quality.png" id="50" name="Picture"/>
                    <pic:cNvPicPr>
                      <a:picLocks noChangeArrowheads="1" noChangeAspect="1"/>
                    </pic:cNvPicPr>
                  </pic:nvPicPr>
                  <pic:blipFill>
                    <a:blip r:embed="rId48"/>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4"/>
    <w:bookmarkStart w:id="67"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bookmarkStart w:id="58" w:name="figure-5.4"/>
      <w:r>
        <w:drawing>
          <wp:inline>
            <wp:extent cx="5334000" cy="3121044"/>
            <wp:effectExtent b="0" l="0" r="0" t="0"/>
            <wp:docPr descr="Figure 5.4: Longitudinal Distribution of Net Changes in Participants’ Perceived Power and Trust Scores" title="" id="56" name="Picture"/>
            <a:graphic>
              <a:graphicData uri="http://schemas.openxmlformats.org/drawingml/2006/picture">
                <pic:pic>
                  <pic:nvPicPr>
                    <pic:cNvPr descr="./src/figs/fig5.4-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bookmarkEnd w:id="58"/>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bookmarkStart w:id="62" w:name="figure-5.5"/>
      <w:r>
        <w:drawing>
          <wp:inline>
            <wp:extent cx="5334000" cy="3551931"/>
            <wp:effectExtent b="0" l="0" r="0" t="0"/>
            <wp:docPr descr="Figure 5.5: Perceived Power Balance Between Individual and Data Holder at Different Stages of the GDPR/Study Process" title="" id="60" name="Picture"/>
            <a:graphic>
              <a:graphicData uri="http://schemas.openxmlformats.org/drawingml/2006/picture">
                <pic:pic>
                  <pic:nvPicPr>
                    <pic:cNvPr descr="./src/figs/fig5.5-power-balance-by-stage.png" id="61" name="Picture"/>
                    <pic:cNvPicPr>
                      <a:picLocks noChangeArrowheads="1" noChangeAspect="1"/>
                    </pic:cNvPicPr>
                  </pic:nvPicPr>
                  <pic:blipFill>
                    <a:blip r:embed="rId59"/>
                    <a:stretch>
                      <a:fillRect/>
                    </a:stretch>
                  </pic:blipFill>
                  <pic:spPr bwMode="auto">
                    <a:xfrm>
                      <a:off x="0" y="0"/>
                      <a:ext cx="5334000" cy="3551931"/>
                    </a:xfrm>
                    <a:prstGeom prst="rect">
                      <a:avLst/>
                    </a:prstGeom>
                    <a:noFill/>
                    <a:ln w="9525">
                      <a:noFill/>
                      <a:headEnd/>
                      <a:tailEnd/>
                    </a:ln>
                  </pic:spPr>
                </pic:pic>
              </a:graphicData>
            </a:graphic>
          </wp:inline>
        </w:drawing>
      </w:r>
      <w:bookmarkEnd w:id="62"/>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bookmarkStart w:id="66" w:name="figure-5.6"/>
      <w:r>
        <w:drawing>
          <wp:inline>
            <wp:extent cx="5334000" cy="3068876"/>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5334000" cy="3068876"/>
                    </a:xfrm>
                    <a:prstGeom prst="rect">
                      <a:avLst/>
                    </a:prstGeom>
                    <a:noFill/>
                    <a:ln w="9525">
                      <a:noFill/>
                      <a:headEnd/>
                      <a:tailEnd/>
                    </a:ln>
                  </pic:spPr>
                </pic:pic>
              </a:graphicData>
            </a:graphic>
          </wp:inline>
        </w:drawing>
      </w:r>
      <w:bookmarkEnd w:id="66"/>
    </w:p>
    <w:p>
      <w:pPr>
        <w:pStyle w:val="ImageCaption"/>
      </w:pPr>
      <w:r>
        <w:t xml:space="preserve">Figure 5.6: Participants’ Perceived Trust in Provider at Different Stages of the GDPR/Study Process</w:t>
      </w:r>
    </w:p>
    <w:bookmarkEnd w:id="67"/>
    <w:bookmarkEnd w:id="68"/>
    <w:bookmarkStart w:id="73"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w:t>
      </w:r>
      <w:r>
        <w:t xml:space="preserve"> </w:t>
      </w:r>
      <w:hyperlink w:anchor="Xf019608acb19092704e77b812587f75a4baed71">
        <w:r>
          <w:rPr>
            <w:rStyle w:val="Hyperlink"/>
          </w:rPr>
          <w:t xml:space="preserve">5.4.1</w:t>
        </w:r>
      </w:hyperlink>
      <w:r>
        <w:t xml:space="preserve">, then each theme is further detailed in sections</w:t>
      </w:r>
      <w:r>
        <w:t xml:space="preserve"> </w:t>
      </w:r>
      <w:hyperlink w:anchor="Xd9a9eb3723d36c07bbcef114c168744dedfa05e">
        <w:r>
          <w:rPr>
            <w:rStyle w:val="Hyperlink"/>
          </w:rPr>
          <w:t xml:space="preserve">5.4.2</w:t>
        </w:r>
      </w:hyperlink>
      <w:r>
        <w:t xml:space="preserve"> </w:t>
      </w:r>
      <w:r>
        <w:t xml:space="preserve">to</w:t>
      </w:r>
      <w:r>
        <w:t xml:space="preserve"> </w:t>
      </w:r>
      <w:hyperlink w:anchor="X2902b4cdc2a826d64840aa586dae8f5626e82e7">
        <w:r>
          <w:rPr>
            <w:rStyle w:val="Hyperlink"/>
          </w:rPr>
          <w:t xml:space="preserve">5.4.4</w:t>
        </w:r>
      </w:hyperlink>
      <w:r>
        <w:t xml:space="preserve">, including participant quotes.</w:t>
      </w:r>
    </w:p>
    <w:bookmarkStart w:id="69"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Unuseable Data, and Fragile Relationships.</w:t>
      </w:r>
    </w:p>
    <w:p>
      <w:pPr>
        <w:pStyle w:val="BodyText"/>
      </w:pPr>
      <w:r>
        <w:t xml:space="preserve">Theme 1 (see</w:t>
      </w:r>
      <w:r>
        <w:t xml:space="preserve"> </w:t>
      </w:r>
      <w:hyperlink w:anchor="Xd9a9eb3723d36c07bbcef114c168744dedfa05e">
        <w:r>
          <w:rPr>
            <w:rStyle w:val="Hyperlink"/>
          </w:rPr>
          <w:t xml:space="preserve">5.4.2</w:t>
        </w:r>
      </w:hyperlink>
      <w:r>
        <w:t xml:space="preserve"> </w:t>
      </w:r>
      <w:r>
        <w:t xml:space="preserve">and summary in</w:t>
      </w:r>
      <w:r>
        <w:t xml:space="preserve"> </w:t>
      </w:r>
      <w:hyperlink w:anchor="table5.6">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220954772525d32e725d96f6075161e9a9a85f">
        <w:r>
          <w:rPr>
            <w:rStyle w:val="Hyperlink"/>
          </w:rPr>
          <w:t xml:space="preserve">5.4.3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2902b4cdc2a826d64840aa586dae8f5626e82e7">
        <w:r>
          <w:rPr>
            <w:rStyle w:val="Hyperlink"/>
          </w:rPr>
          <w:t xml:space="preserve">5.4.4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9"/>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b52ada446f84acb5529ace8fe4f25e203a5dddb">
        <w:r>
          <w:rPr>
            <w:rStyle w:val="Hyperlink"/>
          </w:rPr>
          <w:t xml:space="preserve">5.3.2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 Table 12), when it came to the desire for greater awareness and understanding [</w:t>
      </w:r>
      <w:hyperlink w:anchor="X61668d6575f2536b8984a471ac570156abd14ef">
        <w:r>
          <w:rPr>
            <w:rStyle w:val="Hyperlink"/>
          </w:rPr>
          <w:t xml:space="preserve">5.4.2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70"/>
    <w:bookmarkStart w:id="71" w:name="X4220954772525d32e725d96f6075161e9a9a85f"/>
    <w:p>
      <w:pPr>
        <w:pStyle w:val="Heading3"/>
      </w:pPr>
      <w:r>
        <w:rPr>
          <w:rStyle w:val="SectionNumber"/>
        </w:rPr>
        <w:t xml:space="preserve">1.4.3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dbeb22450733a0c08e419e0b9d08ee870168d8">
        <w:r>
          <w:rPr>
            <w:rStyle w:val="Hyperlink"/>
          </w:rPr>
          <w:t xml:space="preserve">this finding</w:t>
        </w:r>
      </w:hyperlink>
      <w:r>
        <w:t xml:space="preserve"> </w:t>
      </w:r>
      <w:r>
        <w:t xml:space="preserve">seems to contradict</w:t>
      </w:r>
      <w:r>
        <w:t xml:space="preserve"> </w:t>
      </w:r>
      <w:hyperlink w:anchor="Xb44f5ba5716f847f201fcf0acc0e7b504876f28">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1"/>
    <w:bookmarkStart w:id="72" w:name="X2902b4cdc2a826d64840aa586dae8f5626e82e7"/>
    <w:p>
      <w:pPr>
        <w:pStyle w:val="Heading3"/>
      </w:pPr>
      <w:r>
        <w:rPr>
          <w:rStyle w:val="SectionNumber"/>
        </w:rPr>
        <w:t xml:space="preserve">1.4.4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b367cc24dc19d310f9af1157021067beef77465">
        <w:r>
          <w:rPr>
            <w:rStyle w:val="Hyperlink"/>
          </w:rPr>
          <w:t xml:space="preserve">4.2.2</w:t>
        </w:r>
      </w:hyperlink>
      <w:r>
        <w:t xml:space="preserve">;</w:t>
      </w:r>
      <w:r>
        <w:t xml:space="preserve"> </w:t>
      </w:r>
      <w:hyperlink w:anchor="X328e55f0b8c991dca9b1bed7c3b0763f63cd1bf">
        <w:r>
          <w:rPr>
            <w:rStyle w:val="Hyperlink"/>
          </w:rPr>
          <w:t xml:space="preserve">4.4.1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710dd44fa12f98194f8bba2bb20cba7bee18ff6">
        <w:r>
          <w:rPr>
            <w:rStyle w:val="Hyperlink"/>
          </w:rPr>
          <w:t xml:space="preserve">5.3</w:t>
        </w:r>
      </w:hyperlink>
      <w:r>
        <w:t xml:space="preserve">] noticeably damaged trust. P1 directly attributed his reduced trust scores to what he saw as non-compliance [</w:t>
      </w:r>
      <w:hyperlink w:anchor="Xf82fbb2dc60742710804957969df9552f188feb">
        <w:r>
          <w:rPr>
            <w:rStyle w:val="Hyperlink"/>
          </w:rPr>
          <w:t xml:space="preserve">5.4.2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2"/>
    <w:bookmarkEnd w:id="73"/>
    <w:bookmarkStart w:id="77"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18b35402f3fbcb74b8e5bbc8aa2c0e3e784e473">
        <w:r>
          <w:rPr>
            <w:rStyle w:val="Hyperlink"/>
          </w:rPr>
          <w:t xml:space="preserve">5.5.1</w:t>
        </w:r>
      </w:hyperlink>
      <w:r>
        <w:t xml:space="preserve">] and business practice [</w:t>
      </w:r>
      <w:hyperlink w:anchor="X279d3e70c4a8279cdfb499a60bef2c4f405d995">
        <w:r>
          <w:rPr>
            <w:rStyle w:val="Hyperlink"/>
          </w:rPr>
          <w:t xml:space="preserve">5.5.2</w:t>
        </w:r>
      </w:hyperlink>
      <w:r>
        <w:t xml:space="preserve">], and how individual action can have important impact too [</w:t>
      </w:r>
      <w:hyperlink w:anchor="X41dd5411c3ac1e32b00fee73de26a508f888c5b">
        <w:r>
          <w:rPr>
            <w:rStyle w:val="Hyperlink"/>
          </w:rPr>
          <w:t xml:space="preserve">5.5.3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 </w:t>
      </w:r>
      <w:r>
        <w:t xml:space="preserve">as well as</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4"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b44f5ba5716f847f201fcf0acc0e7b504876f28">
        <w:r>
          <w:rPr>
            <w:rStyle w:val="Hyperlink"/>
          </w:rPr>
          <w:t xml:space="preserve">5.4.3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4"/>
    <w:bookmarkStart w:id="75"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5"/>
    <w:bookmarkStart w:id="76"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w:t>
      </w:r>
      <w:r>
        <w:t xml:space="preserve"> </w:t>
      </w:r>
      <w:hyperlink w:anchor="X18b35402f3fbcb74b8e5bbc8aa2c0e3e784e473">
        <w:r>
          <w:rPr>
            <w:rStyle w:val="Hyperlink"/>
          </w:rPr>
          <w:t xml:space="preserve">5.5.1</w:t>
        </w:r>
      </w:hyperlink>
      <w:r>
        <w:t xml:space="preserve"> </w:t>
      </w:r>
      <w:r>
        <w:t xml:space="preserve">and</w:t>
      </w:r>
      <w:r>
        <w:t xml:space="preserve"> </w:t>
      </w:r>
      <w:hyperlink w:anchor="X279d3e70c4a8279cdfb499a60bef2c4f405d995">
        <w:r>
          <w:rPr>
            <w:rStyle w:val="Hyperlink"/>
          </w:rPr>
          <w:t xml:space="preserve">5.5.2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6"/>
    <w:bookmarkEnd w:id="77"/>
    <w:bookmarkStart w:id="78"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2902b4cdc2a826d64840aa586dae8f5626e82e7">
        <w:r>
          <w:rPr>
            <w:rStyle w:val="Hyperlink"/>
          </w:rPr>
          <w:t xml:space="preserve">5.4.4</w:t>
        </w:r>
      </w:hyperlink>
      <w:r>
        <w:t xml:space="preserve">].</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w:t>
      </w:r>
      <w:hyperlink w:anchor="Xf82fbb2dc60742710804957969df9552f188feb">
        <w:r>
          <w:rPr>
            <w:rStyle w:val="Hyperlink"/>
          </w:rPr>
          <w:t xml:space="preserve">5.4.2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8ff615c03fc2afb91384f9ef05bab6acdbbe9e9">
        <w:r>
          <w:rPr>
            <w:rStyle w:val="Hyperlink"/>
          </w:rPr>
          <w:t xml:space="preserve">5.4.3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18b35402f3fbcb74b8e5bbc8aa2c0e3e784e473">
        <w:r>
          <w:rPr>
            <w:rStyle w:val="Hyperlink"/>
          </w:rPr>
          <w:t xml:space="preserve">5.5.1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279d3e70c4a8279cdfb499a60bef2c4f405d995">
        <w:r>
          <w:rPr>
            <w:rStyle w:val="Hyperlink"/>
          </w:rPr>
          <w:t xml:space="preserve">5.5.2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41dd5411c3ac1e32b00fee73de26a508f888c5b">
        <w:r>
          <w:rPr>
            <w:rStyle w:val="Hyperlink"/>
          </w:rPr>
          <w:t xml:space="preserve">5.5.3</w:t>
        </w:r>
      </w:hyperlink>
      <w:r>
        <w:t xml:space="preserve">].</w:t>
      </w:r>
    </w:p>
    <w:p>
      <w:pPr>
        <w:pStyle w:val="BodyText"/>
      </w:pPr>
      <w:r>
        <w:t xml:space="preserve">Considering RQ1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r>
        <w:pict>
          <v:rect style="width:0;height:1.5pt" o:hralign="center" o:hrstd="t" o:hr="t"/>
        </w:pict>
      </w:r>
    </w:p>
    <w:bookmarkEnd w:id="78"/>
    <w:bookmarkEnd w:id="79"/>
    <w:bookmarkStart w:id="237" w:name="bibliography"/>
    <w:p>
      <w:pPr>
        <w:pStyle w:val="Heading1"/>
      </w:pPr>
      <w:r>
        <w:t xml:space="preserve">Bibliography</w:t>
      </w:r>
    </w:p>
    <w:bookmarkStart w:id="236" w:name="refs"/>
    <w:bookmarkStart w:id="81"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0">
        <w:r>
          <w:rPr>
            <w:rStyle w:val="Hyperlink"/>
          </w:rPr>
          <w:t xml:space="preserve">10.1145/2670528</w:t>
        </w:r>
      </w:hyperlink>
      <w:r>
        <w:t xml:space="preserve">.</w:t>
      </w:r>
    </w:p>
    <w:bookmarkEnd w:id="81"/>
    <w:bookmarkStart w:id="83"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2">
        <w:r>
          <w:rPr>
            <w:rStyle w:val="Hyperlink"/>
          </w:rPr>
          <w:t xml:space="preserve">https://ritapersonaldata.com/about.html</w:t>
        </w:r>
      </w:hyperlink>
      <w:r>
        <w:t xml:space="preserve"> </w:t>
      </w:r>
      <w:r>
        <w:t xml:space="preserve">(Accessed: 10 August 2022).</w:t>
      </w:r>
    </w:p>
    <w:bookmarkEnd w:id="83"/>
    <w:bookmarkStart w:id="85"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4">
        <w:r>
          <w:rPr>
            <w:rStyle w:val="Hyperlink"/>
          </w:rPr>
          <w:t xml:space="preserve">http://dx.doi.org/10.1145/2370216.2370222</w:t>
        </w:r>
      </w:hyperlink>
      <w:r>
        <w:t xml:space="preserve">.</w:t>
      </w:r>
    </w:p>
    <w:bookmarkEnd w:id="85"/>
    <w:bookmarkStart w:id="87"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6">
        <w:r>
          <w:rPr>
            <w:rStyle w:val="Hyperlink"/>
          </w:rPr>
          <w:t xml:space="preserve">https://www.cc.gatech.edu/fce/pubs/abowd-mynatt-tochi-millenium.pdf</w:t>
        </w:r>
      </w:hyperlink>
      <w:r>
        <w:t xml:space="preserve">.</w:t>
      </w:r>
    </w:p>
    <w:bookmarkEnd w:id="87"/>
    <w:bookmarkStart w:id="89"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8">
        <w:r>
          <w:rPr>
            <w:rStyle w:val="Hyperlink"/>
          </w:rPr>
          <w:t xml:space="preserve">10.1145/3340764.3344913</w:t>
        </w:r>
      </w:hyperlink>
      <w:r>
        <w:t xml:space="preserve">.</w:t>
      </w:r>
    </w:p>
    <w:bookmarkEnd w:id="89"/>
    <w:bookmarkStart w:id="91"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0">
        <w:r>
          <w:rPr>
            <w:rStyle w:val="Hyperlink"/>
          </w:rPr>
          <w:t xml:space="preserve">10.1007/978-3-030-29959-0_33</w:t>
        </w:r>
      </w:hyperlink>
      <w:r>
        <w:t xml:space="preserve">.</w:t>
      </w:r>
    </w:p>
    <w:bookmarkEnd w:id="91"/>
    <w:bookmarkStart w:id="93"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2">
        <w:r>
          <w:rPr>
            <w:rStyle w:val="Hyperlink"/>
          </w:rPr>
          <w:t xml:space="preserve">10.2139/ssrn.3465680</w:t>
        </w:r>
      </w:hyperlink>
      <w:r>
        <w:t xml:space="preserve">.</w:t>
      </w:r>
    </w:p>
    <w:bookmarkEnd w:id="93"/>
    <w:bookmarkStart w:id="95"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4">
        <w:r>
          <w:rPr>
            <w:rStyle w:val="Hyperlink"/>
          </w:rPr>
          <w:t xml:space="preserve">www.irissproject.eu https://papers.ssrn.com/sol3/papers.cfm?abstract_id=3106632</w:t>
        </w:r>
      </w:hyperlink>
      <w:r>
        <w:t xml:space="preserve">.</w:t>
      </w:r>
    </w:p>
    <w:bookmarkEnd w:id="95"/>
    <w:bookmarkStart w:id="96"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6"/>
    <w:bookmarkStart w:id="98"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97">
        <w:r>
          <w:rPr>
            <w:rStyle w:val="Hyperlink"/>
          </w:rPr>
          <w:t xml:space="preserve">https://iapp.org/news/a/whats-the-definition-of-a-gdpr-complaint-spoiler-alert-no-one-knows/</w:t>
        </w:r>
      </w:hyperlink>
      <w:r>
        <w:t xml:space="preserve">.</w:t>
      </w:r>
    </w:p>
    <w:bookmarkEnd w:id="98"/>
    <w:bookmarkStart w:id="100"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9">
        <w:r>
          <w:rPr>
            <w:rStyle w:val="Hyperlink"/>
          </w:rPr>
          <w:t xml:space="preserve">10.1016/j.intcom.2010.07.003</w:t>
        </w:r>
      </w:hyperlink>
      <w:r>
        <w:t xml:space="preserve">.</w:t>
      </w:r>
    </w:p>
    <w:bookmarkEnd w:id="100"/>
    <w:bookmarkStart w:id="102"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1">
        <w:r>
          <w:rPr>
            <w:rStyle w:val="Hyperlink"/>
          </w:rPr>
          <w:t xml:space="preserve">https://www.bbc.co.uk/rd/projects/human-data-interaction</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4"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90"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9"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80"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8"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2"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97" Target="https://iapp.org/news/a/whats-the-definition-of-a-gdpr-complaint-spoiler-alert-no-one-knows/"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2"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101" Target="https://www.bbc.co.uk/rd/projects/human-data-interaction" TargetMode="External" /><Relationship Type="http://schemas.openxmlformats.org/officeDocument/2006/relationships/hyperlink" Id="rId86"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4"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2022-08-22T10:32:50Z</dcterms:created>
  <dcterms:modified xsi:type="dcterms:W3CDTF">2022-08-22T10:32:50Z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