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bCs/>
          <w:b/>
        </w:rPr>
        <w:t xml:space="preserve">Visible</w:t>
      </w:r>
      <w:r>
        <w:t xml:space="preserve">: People need to have knowledge of data about them and an ability to see it and effectively access it;</w:t>
      </w:r>
    </w:p>
    <w:p>
      <w:pPr>
        <w:numPr>
          <w:ilvl w:val="0"/>
          <w:numId w:val="1003"/>
        </w:numPr>
        <w:pStyle w:val="Compact"/>
      </w:pPr>
      <w:r>
        <w:rPr>
          <w:bCs/>
          <w:b/>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 investigation</w:t>
      </w:r>
      <w:r>
        <w:t xml:space="preserve"> </w:t>
      </w:r>
      <w:r>
        <w:t xml:space="preserve">[</w:t>
      </w:r>
      <w:hyperlink w:anchor="ari-digipower">
        <w:r>
          <w:rPr>
            <w:rStyle w:val="Hyperlink"/>
          </w:rPr>
          <w:t xml:space="preserve">ARI-7.2</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things to think with</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2022-08-22T10:32:51Z</dcterms:created>
  <dcterms:modified xsi:type="dcterms:W3CDTF">2022-08-22T10:32:51Z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