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useable15"/>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process-transparency"/>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individual-oversight"/>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involvement"/>
    <w:p>
      <w:pPr>
        <w:pStyle w:val="Heading3"/>
      </w:pPr>
      <w:r>
        <w:rPr>
          <w:rStyle w:val="SectionNumber"/>
        </w:rPr>
        <w:t xml:space="preserve">1.2.3</w:t>
      </w:r>
      <w:r>
        <w:tab/>
      </w:r>
      <w:r>
        <w:t xml:space="preserve">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b">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achieving-individual-empowerment"/>
    <w:p>
      <w:pPr>
        <w:pStyle w:val="Heading2"/>
      </w:pPr>
      <w:r>
        <w:rPr>
          <w:rStyle w:val="SectionNumber"/>
        </w:rPr>
        <w:t xml:space="preserve">1.3</w:t>
      </w:r>
      <w:r>
        <w:tab/>
      </w:r>
      <w:r>
        <w:t xml:space="preserve">Achieving Individual Empowerment</w:t>
      </w:r>
    </w:p>
    <w:p>
      <w:pPr>
        <w:pStyle w:val="FirstParagraph"/>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b"/>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2022-07-08T18:37:05Z</dcterms:created>
  <dcterms:modified xsi:type="dcterms:W3CDTF">2022-07-08T18:37:05Z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