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Bridge: An Understanding of Human Data Relations</w:t>
      </w:r>
    </w:p>
    <w:p>
      <w:pPr>
        <w:pStyle w:val="FirstParagraph"/>
      </w:pPr>
      <w:r>
        <w:t xml:space="preserve">This is not a data chapter, it unifies the findings of Chapter 4 and Chapter 5 in the context of RQ1 and RQ2 to provide a common set of findings.</w:t>
      </w:r>
    </w:p>
    <w:p>
      <w:pPr>
        <w:pStyle w:val="BodyText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2021-07-20T14:06:08Z</dcterms:created>
  <dcterms:modified xsi:type="dcterms:W3CDTF">2021-07-20T14:06:08Z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