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Achieving Individual Empowerment</w:t>
      </w:r>
    </w:p>
    <w:p>
      <w:pPr>
        <w:pStyle w:val="FirstParagraph"/>
      </w:pPr>
      <w:r>
        <w:t xml:space="preserve">[TODO: Update these three sections so that they properly frame this chapter as an answer to RQ1 and RQ2 and as looking towards</w:t>
      </w:r>
      <w:r>
        <w:t xml:space="preserve"> </w:t>
      </w:r>
      <w:r>
        <w:t xml:space="preserve">‘</w:t>
      </w:r>
      <w:r>
        <w:t xml:space="preserve">better Human Data Relations</w:t>
      </w:r>
      <w:r>
        <w:t xml:space="preserve">’</w:t>
      </w:r>
      <w:r>
        <w:t xml:space="preserve">]</w:t>
      </w:r>
    </w:p>
    <w:p>
      <w:pPr>
        <w:pStyle w:val="BodyText"/>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2022-07-25T15:33:47Z</dcterms:created>
  <dcterms:modified xsi:type="dcterms:W3CDTF">2022-07-25T15:33:47Z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