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
        </w:rPr>
        <w:t xml:space="preserve">“</w:t>
      </w:r>
      <w:r>
        <w:rPr>
          <w:i/>
        </w:rPr>
        <w:t xml:space="preserve">For a participatory system to work, you need: a plausible promise, an effective tool, and an acceptable bargain.</w:t>
      </w:r>
      <w:r>
        <w:rPr>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
        </w:rPr>
        <w:t xml:space="preserve">“</w:t>
      </w:r>
      <w:r>
        <w:rPr>
          <w:i/>
        </w:rPr>
        <w:t xml:space="preserve">Human Data Relations</w:t>
      </w:r>
      <w:r>
        <w:rPr>
          <w:i/>
        </w:rPr>
        <w:t xml:space="preserve">”</w:t>
      </w:r>
      <w:r>
        <w:t xml:space="preserve"> </w:t>
      </w:r>
      <w:r>
        <w:t xml:space="preserve">is a term that I introduce here to expand upon the established theory of Human Data Interaction</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
        </w:rPr>
        <w:t xml:space="preserve">direct</w:t>
      </w:r>
      <w:r>
        <w:t xml:space="preserve"> </w:t>
      </w:r>
      <w:r>
        <w:t xml:space="preserve">interaction (such as through an interface in an app or website) and</w:t>
      </w:r>
      <w:r>
        <w:t xml:space="preserve"> </w:t>
      </w:r>
      <w:r>
        <w:rPr>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c76716aeec7f9f7013a1becb61f2c27877fe1ae"/>
    <w:p>
      <w:pPr>
        <w:pStyle w:val="Heading2"/>
      </w:pPr>
      <w:r>
        <w:rPr>
          <w:rStyle w:val="SectionNumber"/>
        </w:rPr>
        <w:t xml:space="preserve">1.1</w:t>
      </w:r>
      <w:r>
        <w:tab/>
      </w:r>
      <w:r>
        <w:t xml:space="preserve">Answering RQ1: What do people want in</w:t>
      </w:r>
      <w:r>
        <w:t xml:space="preserve"> </w:t>
      </w:r>
      <w:r>
        <w:rPr>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
        </w:rPr>
        <w:t xml:space="preserve">direct</w:t>
      </w:r>
      <w:r>
        <w:t xml:space="preserve"> </w:t>
      </w:r>
      <w:r>
        <w:t xml:space="preserve">data relations. All data about individuals needs to be:</w:t>
      </w:r>
    </w:p>
    <w:p>
      <w:pPr>
        <w:numPr>
          <w:ilvl w:val="0"/>
          <w:numId w:val="1002"/>
        </w:numPr>
        <w:pStyle w:val="Compact"/>
      </w:pPr>
      <w:r>
        <w:rPr>
          <w:i/>
        </w:rPr>
        <w:t xml:space="preserve">Visible</w:t>
      </w:r>
      <w:r>
        <w:t xml:space="preserve">: People need to have knowledge of data about them and an ability to see it and effectively access it;</w:t>
      </w:r>
    </w:p>
    <w:p>
      <w:pPr>
        <w:numPr>
          <w:ilvl w:val="0"/>
          <w:numId w:val="1002"/>
        </w:numPr>
        <w:pStyle w:val="Compact"/>
      </w:pPr>
      <w:r>
        <w:rPr>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(Binns,</w:t>
      </w:r>
      <w:r>
        <w:t xml:space="preserve"> </w:t>
      </w:r>
      <w:hyperlink w:anchor="ref-binns2022">
        <w:r>
          <w:rPr>
            <w:rStyle w:val="Hyperlink"/>
          </w:rPr>
          <w:t xml:space="preserve">2022</w:t>
        </w:r>
      </w:hyperlink>
      <w:r>
        <w:t xml:space="preserve">)</w:t>
      </w:r>
      <w:r>
        <w:t xml:space="preserve">. In both domains, this sacrifice is seen to have an emotional effect on people, ranging from curiosity to fear and distrust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
        </w:rPr>
        <w:t xml:space="preserve">intend</w:t>
      </w:r>
      <w:r>
        <w:t xml:space="preserve"> </w:t>
      </w:r>
      <w:r>
        <w:t xml:space="preserve">to cause harm, data</w:t>
      </w:r>
      <w:r>
        <w:t xml:space="preserve"> </w:t>
      </w:r>
      <w:r>
        <w:rPr>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(Kröger, Miceli and Müller,</w:t>
      </w:r>
      <w:r>
        <w:t xml:space="preserve"> </w:t>
      </w:r>
      <w:hyperlink w:anchor="ref-kroger2021">
        <w:r>
          <w:rPr>
            <w:rStyle w:val="Hyperlink"/>
          </w:rPr>
          <w:t xml:space="preserve">2021</w:t>
        </w:r>
      </w:hyperlink>
      <w:r>
        <w:t xml:space="preserve">; Strohmayer</w:t>
      </w:r>
      <w:r>
        <w:t xml:space="preserve"> </w:t>
      </w:r>
      <w:r>
        <w:rPr>
          <w:i/>
        </w:rPr>
        <w:t xml:space="preserve">et al.</w:t>
      </w:r>
      <w:r>
        <w:t xml:space="preserve">,</w:t>
      </w:r>
      <w:r>
        <w:t xml:space="preserve"> </w:t>
      </w:r>
      <w:hyperlink w:anchor="ref-strohmayer2021">
        <w:r>
          <w:rPr>
            <w:rStyle w:val="Hyperlink"/>
          </w:rPr>
          <w:t xml:space="preserve">2021</w:t>
        </w:r>
      </w:hyperlink>
      <w:r>
        <w:t xml:space="preserve">)</w:t>
      </w:r>
      <w:r>
        <w:t xml:space="preserve">. In providers’ eyes, people are now represented through data. Despite the fact that data is never truly objective</w:t>
      </w:r>
      <w:r>
        <w:t xml:space="preserve"> </w:t>
      </w:r>
      <w:r>
        <w:t xml:space="preserve">(Gitelman,</w:t>
      </w:r>
      <w:r>
        <w:t xml:space="preserve"> </w:t>
      </w:r>
      <w:hyperlink w:anchor="ref-gitelman2013">
        <w:r>
          <w:rPr>
            <w:rStyle w:val="Hyperlink"/>
          </w:rPr>
          <w:t xml:space="preserve">2013</w:t>
        </w:r>
      </w:hyperlink>
      <w:r>
        <w:t xml:space="preserve">; Taylor</w:t>
      </w:r>
      <w:r>
        <w:t xml:space="preserve"> </w:t>
      </w:r>
      <w:r>
        <w:rPr>
          <w:i/>
        </w:rPr>
        <w:t xml:space="preserve">et al.</w:t>
      </w:r>
      <w:r>
        <w:t xml:space="preserve">,</w:t>
      </w:r>
      <w:r>
        <w:t xml:space="preserve"> </w:t>
      </w:r>
      <w:hyperlink w:anchor="ref-taylor2015">
        <w:r>
          <w:rPr>
            <w:rStyle w:val="Hyperlink"/>
          </w:rPr>
          <w:t xml:space="preserve">2015</w:t>
        </w:r>
      </w:hyperlink>
      <w:r>
        <w:t xml:space="preserve">)</w:t>
      </w:r>
      <w:r>
        <w:t xml:space="preserve"> </w:t>
      </w:r>
      <w:r>
        <w:t xml:space="preserve">and a recognition (at least on the public sector side) that a data record can never tell the full story (4.2.6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the data record becomes the object to be administered, rather than the individual</w:t>
      </w:r>
      <w:r>
        <w:t xml:space="preserve"> </w:t>
      </w:r>
      <w:r>
        <w:t xml:space="preserve">(Cornford, Baines and Wilson,</w:t>
      </w:r>
      <w:r>
        <w:t xml:space="preserve"> </w:t>
      </w:r>
      <w:hyperlink w:anchor="ref-cornford2013">
        <w:r>
          <w:rPr>
            <w:rStyle w:val="Hyperlink"/>
          </w:rPr>
          <w:t xml:space="preserve">2013</w:t>
        </w:r>
      </w:hyperlink>
      <w:r>
        <w:t xml:space="preserve">; Zuboff,</w:t>
      </w:r>
      <w:r>
        <w:t xml:space="preserve"> </w:t>
      </w:r>
      <w:hyperlink w:anchor="ref-zuboff2019">
        <w:r>
          <w:rPr>
            <w:rStyle w:val="Hyperlink"/>
          </w:rPr>
          <w:t xml:space="preserve">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
        </w:rPr>
        <w:t xml:space="preserve">fair</w:t>
      </w:r>
      <w:r>
        <w:t xml:space="preserve">, and</w:t>
      </w:r>
      <w:r>
        <w:t xml:space="preserve"> </w:t>
      </w:r>
      <w:r>
        <w:rPr>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(Chang,</w:t>
      </w:r>
      <w:r>
        <w:t xml:space="preserve"> </w:t>
      </w:r>
      <w:hyperlink w:anchor="ref-chang2018">
        <w:r>
          <w:rPr>
            <w:rStyle w:val="Hyperlink"/>
          </w:rPr>
          <w:t xml:space="preserve">2018</w:t>
        </w:r>
      </w:hyperlink>
      <w:r>
        <w:t xml:space="preserve">; McNamee,</w:t>
      </w:r>
      <w:r>
        <w:t xml:space="preserve"> </w:t>
      </w:r>
      <w:hyperlink w:anchor="ref-mcnamee2019">
        <w:r>
          <w:rPr>
            <w:rStyle w:val="Hyperlink"/>
          </w:rPr>
          <w:t xml:space="preserve">2019</w:t>
        </w:r>
      </w:hyperlink>
      <w:r>
        <w:t xml:space="preserve">; Zuckerman,</w:t>
      </w:r>
      <w:r>
        <w:t xml:space="preserve"> </w:t>
      </w:r>
      <w:hyperlink w:anchor="ref-zuckerman2021">
        <w:r>
          <w:rPr>
            <w:rStyle w:val="Hyperlink"/>
          </w:rPr>
          <w:t xml:space="preserve">2021</w:t>
        </w:r>
      </w:hyperlink>
      <w:r>
        <w:t xml:space="preserve">; ‘Data Brokers: Everything You Need to Know’,</w:t>
      </w:r>
      <w:r>
        <w:t xml:space="preserve"> </w:t>
      </w:r>
      <w:hyperlink w:anchor="ref-avast2022databrokers">
        <w:r>
          <w:rPr>
            <w:rStyle w:val="Hyperlink"/>
          </w:rPr>
          <w:t xml:space="preserve">2022</w:t>
        </w:r>
      </w:hyperlink>
      <w:r>
        <w:t xml:space="preserve">)</w:t>
      </w:r>
      <w:r>
        <w:t xml:space="preserve">. Ensuring fairness and accuracy of held data cannot be verified without individuals’ awareness of data held about them.</w:t>
      </w:r>
    </w:p>
    <w:p>
      <w:pPr>
        <w:pStyle w:val="BodyText"/>
      </w:pPr>
      <w:r>
        <w:rPr>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
        </w:rPr>
        <w:t xml:space="preserve">People want to see data which is hidden from them</w:t>
      </w:r>
      <w:r>
        <w:t xml:space="preserve">. In the SILVER project (3.4.1.1, 4.2.2), and my prior work with families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(‘Article 13: Information to be provided where personal data are collected from the data subject’,</w:t>
      </w:r>
      <w:r>
        <w:t xml:space="preserve"> </w:t>
      </w:r>
      <w:hyperlink w:anchor="ref-gdpr2018art13">
        <w:r>
          <w:rPr>
            <w:rStyle w:val="Hyperlink"/>
          </w:rPr>
          <w:t xml:space="preserve">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(Gurstein,</w:t>
      </w:r>
      <w:r>
        <w:t xml:space="preserve"> </w:t>
      </w:r>
      <w:hyperlink w:anchor="ref-gurstein2011">
        <w:r>
          <w:rPr>
            <w:rStyle w:val="Hyperlink"/>
          </w:rPr>
          <w:t xml:space="preserve">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
        </w:rPr>
        <w:t xml:space="preserve">negotiability</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(Gurstein,</w:t>
      </w:r>
      <w:r>
        <w:t xml:space="preserve"> </w:t>
      </w:r>
      <w:hyperlink w:anchor="ref-gurstein2011">
        <w:r>
          <w:rPr>
            <w:rStyle w:val="Hyperlink"/>
          </w:rPr>
          <w:t xml:space="preserve">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(Gurstein,</w:t>
      </w:r>
      <w:r>
        <w:t xml:space="preserve"> </w:t>
      </w:r>
      <w:hyperlink w:anchor="ref-gurstein2011">
        <w:r>
          <w:rPr>
            <w:rStyle w:val="Hyperlink"/>
          </w:rPr>
          <w:t xml:space="preserve">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Case Study One were caused significant worries by not being able to see their data. People do not want to be treated like</w:t>
      </w:r>
      <w:r>
        <w:t xml:space="preserve"> </w:t>
      </w:r>
      <w:r>
        <w:rPr>
          <w:i/>
        </w:rPr>
        <w:t xml:space="preserve">subjects</w:t>
      </w:r>
      <w:r>
        <w:t xml:space="preserve"> </w:t>
      </w:r>
      <w:r>
        <w:t xml:space="preserve">(in either sense of one being subjugated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(Cornford, Baines and Wilson,</w:t>
      </w:r>
      <w:r>
        <w:t xml:space="preserve">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(Larsson,</w:t>
      </w:r>
      <w:r>
        <w:t xml:space="preserve"> </w:t>
      </w:r>
      <w:hyperlink w:anchor="ref-larsson2018">
        <w:r>
          <w:rPr>
            <w:rStyle w:val="Hyperlink"/>
          </w:rPr>
          <w:t xml:space="preserve">2018</w:t>
        </w:r>
      </w:hyperlink>
      <w:r>
        <w:t xml:space="preserve">)</w:t>
      </w:r>
      <w:r>
        <w:t xml:space="preserve">). It is an inherent consequence of representing people through data and then using that data to make decisions (2.1.2,</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that individuals become sidelined and excluded (2.3.3 and</w:t>
      </w:r>
      <w:r>
        <w:t xml:space="preserve"> </w:t>
      </w:r>
      <w:r>
        <w:t xml:space="preserve">(Crabtree and Mortier,</w:t>
      </w:r>
      <w:r>
        <w:t xml:space="preserve">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In line with one of the three core principles of HDI,</w:t>
      </w:r>
      <w:r>
        <w:t xml:space="preserve"> </w:t>
      </w:r>
      <w:r>
        <w:rPr>
          <w:i/>
        </w:rPr>
        <w:t xml:space="preserve">legibility</w:t>
      </w:r>
      <w:r>
        <w:t xml:space="preserve">, data should be understandable by those it concerns</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In both Case Studies (and my prior work), individuals shared a desire to not just be aware of, but to</w:t>
      </w:r>
      <w:r>
        <w:t xml:space="preserve"> </w:t>
      </w:r>
      <w:r>
        <w:rPr>
          <w:b/>
        </w:rPr>
        <w:t xml:space="preserve">understand</w:t>
      </w:r>
      <w:r>
        <w:t xml:space="preserve"> </w:t>
      </w:r>
      <w:r>
        <w:t xml:space="preserve">what data was held about them and how it was used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
        </w:rPr>
        <w:t xml:space="preserve">summaries</w:t>
      </w:r>
      <w:r>
        <w:t xml:space="preserve"> </w:t>
      </w:r>
      <w:r>
        <w:t xml:space="preserve">to help them digest and locate key information. In Case Study Two participants were often overwhelmed or "</w:t>
      </w:r>
      <w:r>
        <w:rPr>
          <w:i/>
        </w:rPr>
        <w:t xml:space="preserve">drowning"</w:t>
      </w:r>
      <w:r>
        <w:t xml:space="preserve"> </w:t>
      </w:r>
      <w:r>
        <w:t xml:space="preserve">(P1) at the volume or technical complexity of the data returned from access requests,</w:t>
      </w:r>
      <w:r>
        <w:t xml:space="preserve"> </w:t>
      </w:r>
      <w:r>
        <w:rPr>
          <w:i/>
        </w:rPr>
        <w:t xml:space="preserve">“</w:t>
      </w:r>
      <w:r>
        <w:rPr>
          <w:i/>
        </w:rPr>
        <w:t xml:space="preserve">so much of it that’s impossible to know what it all means</w:t>
      </w:r>
      <w:r>
        <w:rPr>
          <w:i/>
        </w:rPr>
        <w:t xml:space="preserve">”</w:t>
      </w:r>
      <w:r>
        <w:t xml:space="preserve"> </w:t>
      </w:r>
      <w:r>
        <w:t xml:space="preserve">(P4) (5.4.3.1). These feelings were mirrored in Case Study One, by support workers who feared the liability of having to</w:t>
      </w:r>
      <w:r>
        <w:t xml:space="preserve"> </w:t>
      </w:r>
      <w:r>
        <w:rPr>
          <w:i/>
        </w:rPr>
        <w:t xml:space="preserve">“</w:t>
      </w:r>
      <w:r>
        <w:rPr>
          <w:i/>
        </w:rPr>
        <w:t xml:space="preserve">trawl through</w:t>
      </w:r>
      <w:r>
        <w:rPr>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(Gitelman,</w:t>
      </w:r>
      <w:r>
        <w:t xml:space="preserve"> </w:t>
      </w:r>
      <w:hyperlink w:anchor="ref-gitelman2013">
        <w:r>
          <w:rPr>
            <w:rStyle w:val="Hyperlink"/>
          </w:rPr>
          <w:t xml:space="preserve">2013</w:t>
        </w:r>
      </w:hyperlink>
      <w:r>
        <w:t xml:space="preserve">)</w:t>
      </w:r>
      <w:r>
        <w:t xml:space="preserve">; in the Early Help context it was clear that opinions as well as facts are recorded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p6)</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
        </w:rPr>
        <w:t xml:space="preserve">sensemaking</w:t>
      </w:r>
      <w:r>
        <w:t xml:space="preserve">;</w:t>
      </w:r>
      <w:r>
        <w:t xml:space="preserve"> </w:t>
      </w:r>
      <w:r>
        <w:rPr>
          <w:i/>
        </w:rPr>
        <w:t xml:space="preserve">“</w:t>
      </w:r>
      <w:r>
        <w:rPr>
          <w:i/>
        </w:rPr>
        <w:t xml:space="preserve">Information presentation should be as clear as possible so that people can interpret their data and extract meaningful information from it.</w:t>
      </w:r>
      <w:r>
        <w:rPr>
          <w:i/>
        </w:rPr>
        <w:t xml:space="preserve">”</w:t>
      </w:r>
      <w:r>
        <w:t xml:space="preserve"> </w:t>
      </w:r>
      <w:r>
        <w:t xml:space="preserve">(Gurstein,</w:t>
      </w:r>
      <w:r>
        <w:t xml:space="preserve"> </w:t>
      </w:r>
      <w:hyperlink w:anchor="ref-gurstein2011">
        <w:r>
          <w:rPr>
            <w:rStyle w:val="Hyperlink"/>
          </w:rPr>
          <w:t xml:space="preserve">2011</w:t>
        </w:r>
      </w:hyperlink>
      <w:r>
        <w:t xml:space="preserve">)</w:t>
      </w:r>
    </w:p>
    <w:p>
      <w:pPr>
        <w:pStyle w:val="BodyText"/>
      </w:pPr>
      <w:r>
        <w:rPr>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
        </w:rPr>
        <w:t xml:space="preserve">“</w:t>
      </w:r>
      <w:r>
        <w:rPr>
          <w:i/>
        </w:rPr>
        <w:t xml:space="preserve">I think sometimes it’s easier to do it in pictures</w:t>
      </w:r>
      <w:r>
        <w:rPr>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
        </w:rPr>
        <w:t xml:space="preserve">“</w:t>
      </w:r>
      <w:r>
        <w:rPr>
          <w:i/>
        </w:rPr>
        <w:t xml:space="preserve">It’s like being given the bricks to a house… It doesn’t really mean anything when it’s just bricks, if you don’t know how to put it together</w:t>
      </w:r>
      <w:r>
        <w:rPr>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
        </w:rPr>
        <w:t xml:space="preserve">“</w:t>
      </w:r>
      <w:r>
        <w:rPr>
          <w:i/>
        </w:rPr>
        <w:t xml:space="preserve">things to think with</w:t>
      </w:r>
      <w:r>
        <w:rPr>
          <w:i/>
        </w:rPr>
        <w:t xml:space="preserve">”</w:t>
      </w:r>
      <w:r>
        <w:t xml:space="preserve"> </w:t>
      </w:r>
      <w:r>
        <w:t xml:space="preserve">(</w:t>
      </w:r>
      <w:r>
        <w:t xml:space="preserve">(Brandt and Messeter,</w:t>
      </w:r>
      <w:r>
        <w:t xml:space="preserve"> </w:t>
      </w:r>
      <w:hyperlink w:anchor="ref-brandt2004">
        <w:r>
          <w:rPr>
            <w:rStyle w:val="Hyperlink"/>
          </w:rPr>
          <w:t xml:space="preserve">2004</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(Li, Dey and Forlizzi,</w:t>
      </w:r>
      <w:r>
        <w:t xml:space="preserve"> </w:t>
      </w:r>
      <w:hyperlink w:anchor="ref-li2010">
        <w:r>
          <w:rPr>
            <w:rStyle w:val="Hyperlink"/>
          </w:rPr>
          <w:t xml:space="preserve">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
        </w:rPr>
        <w:t xml:space="preserve">“</w:t>
      </w:r>
      <w:r>
        <w:rPr>
          <w:i/>
        </w:rPr>
        <w:t xml:space="preserve">a window into the past</w:t>
      </w:r>
      <w:r>
        <w:rPr>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
        </w:rPr>
        <w:t xml:space="preserve">“</w:t>
      </w:r>
      <w:r>
        <w:rPr>
          <w:i/>
        </w:rPr>
        <w:t xml:space="preserve">just made sense</w:t>
      </w:r>
      <w:r>
        <w:rPr>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useable13"/>
    <w:p>
      <w:pPr>
        <w:pStyle w:val="Heading3"/>
      </w:pPr>
      <w:r>
        <w:rPr>
          <w:rStyle w:val="SectionNumber"/>
        </w:rPr>
        <w:t xml:space="preserve">1.1.3</w:t>
      </w:r>
      <w:r>
        <w:tab/>
      </w:r>
      <w:r>
        <w:t xml:space="preserve">Useable</w:t>
      </w:r>
      <w:r>
        <w:rPr>
          <w:rStyle w:val="FootnoteReference"/>
        </w:rPr>
        <w:footnoteReference w:id="22"/>
      </w:r>
    </w:p>
    <w:p>
      <w:pPr>
        <w:pStyle w:val="BodyText"/>
      </w:pPr>
      <w:r>
        <w:rPr>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
        </w:rPr>
        <w:t xml:space="preserve">“</w:t>
      </w:r>
      <w:r>
        <w:rPr>
          <w:i/>
        </w:rPr>
        <w:t xml:space="preserve">mash up</w:t>
      </w:r>
      <w:r>
        <w:rPr>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
        </w:rPr>
        <w:t xml:space="preserve">“</w:t>
      </w:r>
      <w:r>
        <w:rPr>
          <w:i/>
        </w:rPr>
        <w:t xml:space="preserve">If you want to view the data they have about you, it’s quite usable. If you want to do something [analytical], then it’s not</w:t>
      </w:r>
      <w:r>
        <w:rPr>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
        </w:rPr>
        <w:t xml:space="preserve">“</w:t>
      </w:r>
      <w:r>
        <w:rPr>
          <w:i/>
        </w:rPr>
        <w:t xml:space="preserve">it would be nice if these companies had a standardised model of how this information is presented to people</w:t>
      </w:r>
      <w:r>
        <w:rPr>
          <w:i/>
        </w:rPr>
        <w:t xml:space="preserve">”</w:t>
      </w:r>
      <w:r>
        <w:t xml:space="preserve"> </w:t>
      </w:r>
      <w:r>
        <w:t xml:space="preserve">(5.4.3.1).</w:t>
      </w:r>
    </w:p>
    <w:p>
      <w:pPr>
        <w:pStyle w:val="BodyText"/>
      </w:pPr>
      <w:r>
        <w:rPr>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(Bowyer,</w:t>
      </w:r>
      <w:r>
        <w:t xml:space="preserve"> </w:t>
      </w:r>
      <w:hyperlink w:anchor="ref-bowyer2011">
        <w:r>
          <w:rPr>
            <w:rStyle w:val="Hyperlink"/>
          </w:rPr>
          <w:t xml:space="preserve">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
        </w:rPr>
        <w:t xml:space="preserve">“</w:t>
      </w:r>
      <w:r>
        <w:rPr>
          <w:i/>
        </w:rPr>
        <w:t xml:space="preserve">in your own time, at your own pace</w:t>
      </w:r>
      <w:r>
        <w:rPr>
          <w:i/>
        </w:rPr>
        <w:t xml:space="preserve">”</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
        </w:rPr>
        <w:t xml:space="preserve">et al.</w:t>
      </w:r>
      <w:r>
        <w:t xml:space="preserve"> </w:t>
      </w:r>
      <w:r>
        <w:t xml:space="preserve">(Goffe</w:t>
      </w:r>
      <w:r>
        <w:t xml:space="preserve"> </w:t>
      </w:r>
      <w:r>
        <w:rPr>
          <w:i/>
        </w:rPr>
        <w:t xml:space="preserve">et al.</w:t>
      </w:r>
      <w:r>
        <w:t xml:space="preserve">,</w:t>
      </w:r>
      <w:r>
        <w:t xml:space="preserve"> </w:t>
      </w:r>
      <w:hyperlink w:anchor="ref-goffe2021">
        <w:r>
          <w:rPr>
            <w:rStyle w:val="Hyperlink"/>
          </w:rPr>
          <w:t xml:space="preserve">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
        </w:rPr>
        <w:t xml:space="preserve">If holders do not make data usable, this is a barrier to individual agency and power.</w:t>
      </w:r>
      <w:r>
        <w:t xml:space="preserve"> </w:t>
      </w:r>
      <w:r>
        <w:t xml:space="preserve">In Human-Data Interaction terms, people need not just legibility, but</w:t>
      </w:r>
      <w:r>
        <w:t xml:space="preserve"> </w:t>
      </w:r>
      <w:r>
        <w:rPr>
          <w:i/>
        </w:rPr>
        <w:t xml:space="preserve">agency</w:t>
      </w:r>
      <w:r>
        <w:t xml:space="preserve"> </w:t>
      </w:r>
      <w:r>
        <w:t xml:space="preserve">- the ability to act upon one’s data</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p8)</w:t>
      </w:r>
      <w:r>
        <w:t xml:space="preserve">. Being able to use data for one’s own purposes is a critical ingredient of empowerment and rebalancing power</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Without data usability, individuals are in effect digitally impaired, leading a less functional society where innovation and growth is limited</w:t>
      </w:r>
      <w:r>
        <w:t xml:space="preserve"> </w:t>
      </w:r>
      <w:r>
        <w:t xml:space="preserve">(Abiteboul, André and Kaplan,</w:t>
      </w:r>
      <w:r>
        <w:t xml:space="preserve"> </w:t>
      </w:r>
      <w:hyperlink w:anchor="ref-abiteboul2015">
        <w:r>
          <w:rPr>
            <w:rStyle w:val="Hyperlink"/>
          </w:rPr>
          <w:t xml:space="preserve">2015</w:t>
        </w:r>
      </w:hyperlink>
      <w:r>
        <w:t xml:space="preserve">, p. 2.1.4)</w:t>
      </w:r>
      <w:r>
        <w:t xml:space="preserve">.</w:t>
      </w:r>
    </w:p>
    <w:bookmarkEnd w:id="23"/>
    <w:bookmarkEnd w:id="24"/>
    <w:bookmarkStart w:id="28" w:name="Xaec3de104d33aa6f988b732dce243089d0bdddd"/>
    <w:p>
      <w:pPr>
        <w:pStyle w:val="Heading2"/>
      </w:pPr>
      <w:r>
        <w:rPr>
          <w:rStyle w:val="SectionNumber"/>
        </w:rPr>
        <w:t xml:space="preserve">1.2</w:t>
      </w:r>
      <w:r>
        <w:tab/>
      </w:r>
      <w:r>
        <w:t xml:space="preserve">Answering RQ2: What do people want in</w:t>
      </w:r>
      <w:r>
        <w:t xml:space="preserve"> </w:t>
      </w:r>
      <w:r>
        <w:rPr>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
        </w:rPr>
        <w:t xml:space="preserve">indirect</w:t>
      </w:r>
      <w:r>
        <w:t xml:space="preserve"> </w:t>
      </w:r>
      <w:r>
        <w:t xml:space="preserve">data relations:</w:t>
      </w:r>
    </w:p>
    <w:p>
      <w:pPr>
        <w:numPr>
          <w:ilvl w:val="0"/>
          <w:numId w:val="1003"/>
        </w:numPr>
        <w:pStyle w:val="Compact"/>
      </w:pPr>
      <w:r>
        <w:rPr>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process-transparency"/>
    <w:p>
      <w:pPr>
        <w:pStyle w:val="Heading3"/>
      </w:pPr>
      <w:r>
        <w:rPr>
          <w:rStyle w:val="SectionNumber"/>
        </w:rPr>
        <w:t xml:space="preserve">1.2.1</w:t>
      </w:r>
      <w:r>
        <w:tab/>
      </w:r>
      <w:r>
        <w:t xml:space="preserve">Process Transparency</w:t>
      </w:r>
    </w:p>
    <w:p>
      <w:pPr>
        <w:pStyle w:val="FirstParagraph"/>
      </w:pPr>
      <w:r>
        <w:rPr>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(Hoffman,</w:t>
      </w:r>
      <w:r>
        <w:t xml:space="preserve"> </w:t>
      </w:r>
      <w:hyperlink w:anchor="ref-wef2011">
        <w:r>
          <w:rPr>
            <w:rStyle w:val="Hyperlink"/>
          </w:rPr>
          <w:t xml:space="preserve">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
        </w:rPr>
        <w:t xml:space="preserve">“</w:t>
      </w:r>
      <w:r>
        <w:rPr>
          <w:i/>
        </w:rPr>
        <w:t xml:space="preserve">it is more important to know how information is processed than the actual values involved</w:t>
      </w:r>
      <w:r>
        <w:rPr>
          <w:i/>
        </w:rPr>
        <w:t xml:space="preserve">”</w:t>
      </w:r>
      <w:r>
        <w:t xml:space="preserve"> </w:t>
      </w:r>
      <w:r>
        <w:t xml:space="preserve">(Cormack,</w:t>
      </w:r>
      <w:r>
        <w:t xml:space="preserve"> </w:t>
      </w:r>
      <w:hyperlink w:anchor="ref-cormack2016">
        <w:r>
          <w:rPr>
            <w:rStyle w:val="Hyperlink"/>
          </w:rPr>
          <w:t xml:space="preserve">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w:t>
        </w:r>
      </w:hyperlink>
      <w:hyperlink w:anchor="ref-wef2014lens">
        <w:r>
          <w:rPr>
            <w:rStyle w:val="Hyperlink"/>
          </w:rPr>
          <w:t xml:space="preserve">a</w:t>
        </w:r>
      </w:hyperlink>
      <w:r>
        <w:t xml:space="preserve">)</w:t>
      </w:r>
      <w:r>
        <w:t xml:space="preserve">) and the dominance of data holders over the individuals about whom data is held, is reinforced by a lack of transparency.</w:t>
      </w:r>
    </w:p>
    <w:p>
      <w:pPr>
        <w:pStyle w:val="BodyText"/>
      </w:pPr>
      <w:r>
        <w:rPr>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(Glavic</w:t>
      </w:r>
      <w:r>
        <w:t xml:space="preserve"> </w:t>
      </w:r>
      <w:r>
        <w:rPr>
          <w:i/>
        </w:rPr>
        <w:t xml:space="preserve">et al.</w:t>
      </w:r>
      <w:r>
        <w:t xml:space="preserve">,</w:t>
      </w:r>
      <w:r>
        <w:t xml:space="preserve"> </w:t>
      </w:r>
      <w:hyperlink w:anchor="ref-glavic2021">
        <w:r>
          <w:rPr>
            <w:rStyle w:val="Hyperlink"/>
          </w:rPr>
          <w:t xml:space="preserve">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(Dijck,</w:t>
      </w:r>
      <w:r>
        <w:t xml:space="preserve"> </w:t>
      </w:r>
      <w:hyperlink w:anchor="ref-vandijck2014">
        <w:r>
          <w:rPr>
            <w:rStyle w:val="Hyperlink"/>
          </w:rPr>
          <w:t xml:space="preserve">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
        </w:rPr>
        <w:t xml:space="preserve">“</w:t>
      </w:r>
      <w:r>
        <w:rPr>
          <w:i/>
        </w:rPr>
        <w:t xml:space="preserve">A crisis of trust is developing, stemming from the use of personal data in ways that are inconsistent with individuals’ preferences or expectations.</w:t>
      </w:r>
      <w:r>
        <w:rPr>
          <w:i/>
        </w:rPr>
        <w:t xml:space="preserve">”</w:t>
      </w:r>
      <w:r>
        <w:t xml:space="preserve"> </w:t>
      </w:r>
      <w:r>
        <w:t xml:space="preserve">(Hoffman,</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p>
    <w:p>
      <w:pPr>
        <w:pStyle w:val="FirstParagraph"/>
      </w:pPr>
      <w:r>
        <w:rPr>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
        </w:rPr>
        <w:t xml:space="preserve">“</w:t>
      </w:r>
      <w:r>
        <w:rPr>
          <w:i/>
        </w:rPr>
        <w:t xml:space="preserve">box ticking</w:t>
      </w:r>
      <w:r>
        <w:rPr>
          <w:i/>
        </w:rPr>
        <w:t xml:space="preserve">”</w:t>
      </w:r>
      <w:r>
        <w:t xml:space="preserve"> </w:t>
      </w:r>
      <w:r>
        <w:t xml:space="preserve">delivery of unhelpful files that our participants sometimes observed (5.5.1). Crabtree describes meaningful transparency by saying that it cannot be a</w:t>
      </w:r>
      <w:r>
        <w:t xml:space="preserve"> </w:t>
      </w:r>
      <w:r>
        <w:rPr>
          <w:i/>
        </w:rPr>
        <w:t xml:space="preserve">“</w:t>
      </w:r>
      <w:r>
        <w:rPr>
          <w:i/>
        </w:rPr>
        <w:t xml:space="preserve">one-way street</w:t>
      </w:r>
      <w:r>
        <w:rPr>
          <w:i/>
        </w:rPr>
        <w:t xml:space="preserve">”</w:t>
      </w:r>
      <w:r>
        <w:t xml:space="preserve"> </w:t>
      </w:r>
      <w:r>
        <w:t xml:space="preserve">that reduces individuals to</w:t>
      </w:r>
      <w:r>
        <w:t xml:space="preserve"> </w:t>
      </w:r>
      <w:r>
        <w:rPr>
          <w:i/>
        </w:rPr>
        <w:t xml:space="preserve">“</w:t>
      </w:r>
      <w:r>
        <w:rPr>
          <w:i/>
        </w:rPr>
        <w:t xml:space="preserve">being spectators</w:t>
      </w:r>
      <w:r>
        <w:rPr>
          <w:i/>
        </w:rPr>
        <w:t xml:space="preserve">”</w:t>
      </w:r>
      <w:r>
        <w:t xml:space="preserve"> </w:t>
      </w:r>
      <w:r>
        <w:t xml:space="preserve">on how their data is used; he says that it involves</w:t>
      </w:r>
      <w:r>
        <w:t xml:space="preserve"> </w:t>
      </w:r>
      <w:r>
        <w:rPr>
          <w:i/>
        </w:rPr>
        <w:t xml:space="preserve">“</w:t>
      </w:r>
      <w:r>
        <w:rPr>
          <w:i/>
        </w:rPr>
        <w:t xml:space="preserve">making the whole ecosystem transparent, not just the front end</w:t>
      </w:r>
      <w:r>
        <w:rPr>
          <w:i/>
        </w:rPr>
        <w:t xml:space="preserve">”</w:t>
      </w:r>
      <w:r>
        <w:t xml:space="preserve"> </w:t>
      </w:r>
      <w:r>
        <w:t xml:space="preserve">(Crabtree and Mortier,</w:t>
      </w:r>
      <w:r>
        <w:t xml:space="preserve"> </w:t>
      </w:r>
      <w:hyperlink w:anchor="ref-crabtree2016">
        <w:r>
          <w:rPr>
            <w:rStyle w:val="Hyperlink"/>
          </w:rPr>
          <w:t xml:space="preserve">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individual-oversight"/>
    <w:p>
      <w:pPr>
        <w:pStyle w:val="Heading3"/>
      </w:pPr>
      <w:r>
        <w:rPr>
          <w:rStyle w:val="SectionNumber"/>
        </w:rPr>
        <w:t xml:space="preserve">1.2.2</w:t>
      </w:r>
      <w:r>
        <w:tab/>
      </w:r>
      <w:r>
        <w:t xml:space="preserve">Individual Oversight</w:t>
      </w:r>
    </w:p>
    <w:p>
      <w:pPr>
        <w:pStyle w:val="FirstParagraph"/>
      </w:pPr>
      <w:r>
        <w:rPr>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4.2.2]. GDPR aims to adhere more to a</w:t>
      </w:r>
      <w:r>
        <w:t xml:space="preserve"> </w:t>
      </w:r>
      <w:r>
        <w:rPr>
          <w:i/>
        </w:rPr>
        <w:t xml:space="preserve">dynamic consent</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(Information Commissioner’s Office,</w:t>
      </w:r>
      <w:r>
        <w:t xml:space="preserve"> </w:t>
      </w:r>
      <w:hyperlink w:anchor="ref-ico2018">
        <w:r>
          <w:rPr>
            <w:rStyle w:val="Hyperlink"/>
          </w:rPr>
          <w:t xml:space="preserve">2018</w:t>
        </w:r>
      </w:hyperlink>
      <w:r>
        <w:t xml:space="preserve">)</w:t>
      </w:r>
      <w:r>
        <w:t xml:space="preserve">. In line with the</w:t>
      </w:r>
      <w:r>
        <w:t xml:space="preserve"> </w:t>
      </w:r>
      <w:r>
        <w:rPr>
          <w:i/>
        </w:rPr>
        <w:t xml:space="preserve">accountability principle</w:t>
      </w:r>
      <w:r>
        <w:t xml:space="preserve"> </w:t>
      </w:r>
      <w:r>
        <w:t xml:space="preserve">(Article 29 Data Protection Working Party,</w:t>
      </w:r>
      <w:r>
        <w:t xml:space="preserve"> </w:t>
      </w:r>
      <w:hyperlink w:anchor="ref-ec2010accountability">
        <w:r>
          <w:rPr>
            <w:rStyle w:val="Hyperlink"/>
          </w:rPr>
          <w:t xml:space="preserve">2010</w:t>
        </w:r>
      </w:hyperlink>
      <w:r>
        <w:t xml:space="preserve">; Crabtree and Mortier,</w:t>
      </w:r>
      <w:r>
        <w:t xml:space="preserve"> </w:t>
      </w:r>
      <w:hyperlink w:anchor="ref-crabtree2016">
        <w:r>
          <w:rPr>
            <w:rStyle w:val="Hyperlink"/>
          </w:rPr>
          <w:t xml:space="preserve">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showed, there is a strong desire to ensure data is</w:t>
      </w:r>
      <w:r>
        <w:t xml:space="preserve"> </w:t>
      </w:r>
      <w:r>
        <w:rPr>
          <w:i/>
        </w:rPr>
        <w:t xml:space="preserve">fair</w:t>
      </w:r>
      <w:r>
        <w:t xml:space="preserve"> </w:t>
      </w:r>
      <w:r>
        <w:t xml:space="preserve">and</w:t>
      </w:r>
      <w:r>
        <w:t xml:space="preserve"> </w:t>
      </w:r>
      <w:r>
        <w:rPr>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
        </w:rPr>
        <w:t xml:space="preserve">agency</w:t>
      </w:r>
      <w:r>
        <w:t xml:space="preserve"> </w:t>
      </w:r>
      <w:r>
        <w:t xml:space="preserve">(the ability to act within a data system, such as to delete or correct data, or withdraw consent) and</w:t>
      </w:r>
      <w:r>
        <w:t xml:space="preserve"> </w:t>
      </w:r>
      <w:r>
        <w:rPr>
          <w:i/>
        </w:rPr>
        <w:t xml:space="preserve">negotiability</w:t>
      </w:r>
      <w:r>
        <w:t xml:space="preserve"> </w:t>
      </w:r>
      <w:r>
        <w:t xml:space="preserve">(the ability to continue to have a voice and make changes as circumstances change)</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
        </w:rPr>
        <w:t xml:space="preserve">“</w:t>
      </w:r>
      <w:r>
        <w:rPr>
          <w:i/>
        </w:rPr>
        <w:t xml:space="preserve">The right of individuals to access and challenge personal data is generally regarded as perhaps the most important privacy protection safeguard.</w:t>
      </w:r>
      <w:r>
        <w:rPr>
          <w:i/>
        </w:rPr>
        <w:t xml:space="preserve">”</w:t>
      </w:r>
      <w:r>
        <w:t xml:space="preserve"> </w:t>
      </w:r>
      <w:r>
        <w:t xml:space="preserve">(Organisation for Economic Co-operation and Development,</w:t>
      </w:r>
      <w:r>
        <w:t xml:space="preserve"> </w:t>
      </w:r>
      <w:hyperlink w:anchor="ref-OECD1980">
        <w:r>
          <w:rPr>
            <w:rStyle w:val="Hyperlink"/>
          </w:rPr>
          <w:t xml:space="preserve">1980</w:t>
        </w:r>
      </w:hyperlink>
      <w:r>
        <w:t xml:space="preserve">)</w:t>
      </w:r>
    </w:p>
    <w:p>
      <w:pPr>
        <w:pStyle w:val="FirstParagraph"/>
      </w:pPr>
      <w:r>
        <w:rPr>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(Gurstein,</w:t>
      </w:r>
      <w:r>
        <w:t xml:space="preserve"> </w:t>
      </w:r>
      <w:hyperlink w:anchor="ref-gurstein2011">
        <w:r>
          <w:rPr>
            <w:rStyle w:val="Hyperlink"/>
          </w:rPr>
          <w:t xml:space="preserve">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
        </w:rPr>
        <w:t xml:space="preserve">and</w:t>
      </w:r>
      <w:r>
        <w:t xml:space="preserve"> </w:t>
      </w:r>
      <w:r>
        <w:t xml:space="preserve">the decision-making should become objects that the individual subject can manipulate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 Crabtree and Mortier,</w:t>
      </w:r>
      <w:r>
        <w:t xml:space="preserve"> </w:t>
      </w:r>
      <w:hyperlink w:anchor="ref-crabtree2016">
        <w:r>
          <w:rPr>
            <w:rStyle w:val="Hyperlink"/>
          </w:rPr>
          <w:t xml:space="preserve">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
        </w:rPr>
        <w:t xml:space="preserve">‘</w:t>
      </w:r>
      <w:r>
        <w:rPr>
          <w:i/>
        </w:rPr>
        <w:t xml:space="preserve">point of severance</w:t>
      </w:r>
      <w:r>
        <w:rPr>
          <w:i/>
        </w:rPr>
        <w:t xml:space="preserve">’</w:t>
      </w:r>
      <w:r>
        <w:t xml:space="preserve"> </w:t>
      </w:r>
      <w:r>
        <w:t xml:space="preserve">Luger describes, data sacrifice should be a loan or sublicense, not a taking-possession-of.</w:t>
      </w:r>
    </w:p>
    <w:p>
      <w:pPr>
        <w:pStyle w:val="BodyText"/>
      </w:pPr>
      <w:r>
        <w:rPr>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
        </w:rPr>
        <w:t xml:space="preserve">no</w:t>
      </w:r>
      <w:r>
        <w:t xml:space="preserve"> </w:t>
      </w:r>
      <w:r>
        <w:t xml:space="preserve">practical choices or control over that data. Without individual oversight, there is no choice and people remain powerless.</w:t>
      </w:r>
    </w:p>
    <w:bookmarkEnd w:id="26"/>
    <w:bookmarkStart w:id="27" w:name="involvement"/>
    <w:p>
      <w:pPr>
        <w:pStyle w:val="Heading3"/>
      </w:pPr>
      <w:r>
        <w:rPr>
          <w:rStyle w:val="SectionNumber"/>
        </w:rPr>
        <w:t xml:space="preserve">1.2.3</w:t>
      </w:r>
      <w:r>
        <w:tab/>
      </w:r>
      <w:r>
        <w:t xml:space="preserve">Involvement</w:t>
      </w:r>
    </w:p>
    <w:p>
      <w:pPr>
        <w:pStyle w:val="FirstParagraph"/>
      </w:pPr>
      <w:r>
        <w:rPr>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(Abiteboul, André and Kaplan,</w:t>
      </w:r>
      <w:r>
        <w:t xml:space="preserve"> </w:t>
      </w:r>
      <w:hyperlink w:anchor="ref-abiteboul2015">
        <w:r>
          <w:rPr>
            <w:rStyle w:val="Hyperlink"/>
          </w:rPr>
          <w:t xml:space="preserve">2015</w:t>
        </w:r>
      </w:hyperlink>
      <w:r>
        <w:t xml:space="preserve">; Crabtree and Mortier,</w:t>
      </w:r>
      <w:r>
        <w:t xml:space="preserve"> </w:t>
      </w:r>
      <w:hyperlink w:anchor="ref-crabtree2016">
        <w:r>
          <w:rPr>
            <w:rStyle w:val="Hyperlink"/>
          </w:rPr>
          <w:t xml:space="preserve">2016</w:t>
        </w:r>
      </w:hyperlink>
      <w:r>
        <w:t xml:space="preserve">)</w:t>
      </w:r>
      <w:r>
        <w:t xml:space="preserve">, reveal myriad problems created by the exclusion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(Bakardjieva and Feenberg,</w:t>
      </w:r>
      <w:r>
        <w:t xml:space="preserve"> </w:t>
      </w:r>
      <w:hyperlink w:anchor="ref-bakardjieva2001">
        <w:r>
          <w:rPr>
            <w:rStyle w:val="Hyperlink"/>
          </w:rPr>
          <w:t xml:space="preserve">2001</w:t>
        </w:r>
      </w:hyperlink>
      <w:r>
        <w:t xml:space="preserve">)</w:t>
      </w:r>
      <w:r>
        <w:t xml:space="preserve">. Without ongoing consent, the power imbalance is amplified (4.5). In the commercial context, companies view data as their asset to exploit</w:t>
      </w:r>
      <w:r>
        <w:t xml:space="preserve"> </w:t>
      </w:r>
      <w:r>
        <w:t xml:space="preserve">(Hoffman,</w:t>
      </w:r>
      <w:r>
        <w:t xml:space="preserve"> </w:t>
      </w:r>
      <w:hyperlink w:anchor="ref-wef2011">
        <w:r>
          <w:rPr>
            <w:rStyle w:val="Hyperlink"/>
          </w:rPr>
          <w:t xml:space="preserve">2011</w:t>
        </w:r>
      </w:hyperlink>
      <w:r>
        <w:t xml:space="preserve">; Toonders,</w:t>
      </w:r>
      <w:r>
        <w:t xml:space="preserve"> </w:t>
      </w:r>
      <w:hyperlink w:anchor="ref-toonders2014">
        <w:r>
          <w:rPr>
            <w:rStyle w:val="Hyperlink"/>
          </w:rPr>
          <w:t xml:space="preserve">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(Melendez and Pasternack,</w:t>
      </w:r>
      <w:r>
        <w:t xml:space="preserve"> </w:t>
      </w:r>
      <w:hyperlink w:anchor="ref-melendez2019">
        <w:r>
          <w:rPr>
            <w:rStyle w:val="Hyperlink"/>
          </w:rPr>
          <w:t xml:space="preserve">2019</w:t>
        </w:r>
      </w:hyperlink>
      <w:r>
        <w:t xml:space="preserve">; Evans,</w:t>
      </w:r>
      <w:r>
        <w:t xml:space="preserve"> </w:t>
      </w:r>
      <w:hyperlink w:anchor="ref-evans2021">
        <w:r>
          <w:rPr>
            <w:rStyle w:val="Hyperlink"/>
          </w:rPr>
          <w:t xml:space="preserve">2021</w:t>
        </w:r>
      </w:hyperlink>
      <w:r>
        <w:t xml:space="preserve">; Claburn,</w:t>
      </w:r>
      <w:r>
        <w:t xml:space="preserve"> </w:t>
      </w:r>
      <w:hyperlink w:anchor="ref-claburn2021">
        <w:r>
          <w:rPr>
            <w:rStyle w:val="Hyperlink"/>
          </w:rPr>
          <w:t xml:space="preserve">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(‘Hobson’s Choice’,</w:t>
      </w:r>
      <w:r>
        <w:t xml:space="preserve"> </w:t>
      </w:r>
      <w:hyperlink w:anchor="ref-britannicaHobsonsChoice">
        <w:r>
          <w:rPr>
            <w:rStyle w:val="Hyperlink"/>
          </w:rPr>
          <w:t xml:space="preserve">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(Woods and Böhme,</w:t>
      </w:r>
      <w:r>
        <w:t xml:space="preserve"> </w:t>
      </w:r>
      <w:hyperlink w:anchor="ref-woods2022">
        <w:r>
          <w:rPr>
            <w:rStyle w:val="Hyperlink"/>
          </w:rPr>
          <w:t xml:space="preserve">2022</w:t>
        </w:r>
      </w:hyperlink>
      <w:r>
        <w:t xml:space="preserve">)</w:t>
      </w:r>
      <w:r>
        <w:t xml:space="preserve">. This can only happen when the individual about which data is held is excluded from data handling processes.</w:t>
      </w:r>
    </w:p>
    <w:p>
      <w:pPr>
        <w:pStyle w:val="BodyText"/>
      </w:pPr>
      <w:r>
        <w:rPr>
          <w:b/>
        </w:rPr>
        <w:t xml:space="preserve">A human channel for conversation is wanted, to enable explanations, questions, and consultation</w:t>
      </w:r>
      <w:r>
        <w:t xml:space="preserve">.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
        </w:rPr>
        <w:t xml:space="preserve">‘</w:t>
      </w:r>
      <w:r>
        <w:rPr>
          <w:i/>
        </w:rPr>
        <w:t xml:space="preserve">in the dark</w:t>
      </w:r>
      <w:r>
        <w:rPr>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
        </w:rPr>
        <w:t xml:space="preserve">‘</w:t>
      </w:r>
      <w:r>
        <w:rPr>
          <w:i/>
        </w:rPr>
        <w:t xml:space="preserve">tell their own story</w:t>
      </w:r>
      <w:r>
        <w:rPr>
          <w:i/>
        </w:rPr>
        <w:t xml:space="preserve">’</w:t>
      </w:r>
      <w:r>
        <w:t xml:space="preserve"> </w:t>
      </w:r>
      <w:r>
        <w:t xml:space="preserve">(4.3.3.4) and wanted a</w:t>
      </w:r>
      <w:r>
        <w:t xml:space="preserve"> </w:t>
      </w:r>
      <w:r>
        <w:rPr>
          <w:i/>
        </w:rPr>
        <w:t xml:space="preserve">‘</w:t>
      </w:r>
      <w:r>
        <w:rPr>
          <w:i/>
        </w:rPr>
        <w:t xml:space="preserve">right to explain</w:t>
      </w:r>
      <w:r>
        <w:rPr>
          <w:i/>
        </w:rPr>
        <w:t xml:space="preserve">’</w:t>
      </w:r>
      <w:r>
        <w:t xml:space="preserve"> </w:t>
      </w:r>
      <w:r>
        <w:t xml:space="preserve">or annotate their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will always be limited. 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this means all stakeholders should be given a role</w:t>
      </w:r>
      <w:r>
        <w:t xml:space="preserve"> </w:t>
      </w:r>
      <w:r>
        <w:t xml:space="preserve">(Bowker,</w:t>
      </w:r>
      <w:r>
        <w:t xml:space="preserve"> </w:t>
      </w:r>
      <w:hyperlink w:anchor="ref-bowker2005">
        <w:r>
          <w:rPr>
            <w:rStyle w:val="Hyperlink"/>
          </w:rPr>
          <w:t xml:space="preserve">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
        </w:rPr>
        <w:t xml:space="preserve">‘</w:t>
      </w:r>
      <w:r>
        <w:rPr>
          <w:i/>
        </w:rPr>
        <w:t xml:space="preserve">design by committee</w:t>
      </w:r>
      <w:r>
        <w:rPr>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
        </w:rPr>
        <w:t xml:space="preserve">feeling</w:t>
      </w:r>
      <w:r>
        <w:t xml:space="preserve"> </w:t>
      </w:r>
      <w:r>
        <w:t xml:space="preserve">involved is actually more important that actually contributing to decisions</w:t>
      </w:r>
      <w:r>
        <w:t xml:space="preserve"> </w:t>
      </w:r>
      <w:r>
        <w:t xml:space="preserve">(Edwards and Elwyn,</w:t>
      </w:r>
      <w:r>
        <w:t xml:space="preserve"> </w:t>
      </w:r>
      <w:hyperlink w:anchor="ref-edwards2006">
        <w:r>
          <w:rPr>
            <w:rStyle w:val="Hyperlink"/>
          </w:rPr>
          <w:t xml:space="preserve">2006</w:t>
        </w:r>
      </w:hyperlink>
      <w:r>
        <w:t xml:space="preserve">)</w:t>
      </w:r>
      <w:r>
        <w:t xml:space="preserve">.</w:t>
      </w:r>
    </w:p>
    <w:p>
      <w:pPr>
        <w:pStyle w:val="BodyText"/>
      </w:pPr>
      <w:r>
        <w:rPr>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it provides a common focus to discussions that is relatable to both parties,</w:t>
      </w:r>
      <w:r>
        <w:t xml:space="preserve"> </w:t>
      </w:r>
      <w:r>
        <w:rPr>
          <w:i/>
        </w:rPr>
        <w:t xml:space="preserve">“</w:t>
      </w:r>
      <w:r>
        <w:rPr>
          <w:i/>
        </w:rPr>
        <w:t xml:space="preserve">things to think 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This helps improve legibility by surfacing the (perfectly valid) differences in different parties’ perspectives</w:t>
      </w:r>
      <w:r>
        <w:t xml:space="preserve"> </w:t>
      </w:r>
      <w:r>
        <w:t xml:space="preserve">(6.1.2, 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rPr>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
        </w:rPr>
        <w:t xml:space="preserve">“</w:t>
      </w:r>
      <w:r>
        <w:rPr>
          <w:i/>
        </w:rPr>
        <w:t xml:space="preserve">in your own time</w:t>
      </w:r>
      <w:r>
        <w:rPr>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(Gurstein,</w:t>
      </w:r>
      <w:r>
        <w:t xml:space="preserve"> </w:t>
      </w:r>
      <w:hyperlink w:anchor="ref-gurstein2011">
        <w:r>
          <w:rPr>
            <w:rStyle w:val="Hyperlink"/>
          </w:rPr>
          <w:t xml:space="preserve">2011</w:t>
        </w:r>
      </w:hyperlink>
      <w:r>
        <w:t xml:space="preserve">)</w:t>
      </w:r>
      <w:r>
        <w:t xml:space="preserve">, accountability and trust, there must be ongoing involvement, data access and transparency (5.5.1, 6.2.2).</w:t>
      </w:r>
    </w:p>
    <w:p>
      <w:pPr>
        <w:pStyle w:val="BodyText"/>
      </w:pPr>
      <w:r>
        <w:rPr>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participants wanted</w:t>
      </w:r>
      <w:r>
        <w:t xml:space="preserve"> </w:t>
      </w:r>
      <w:r>
        <w:rPr>
          <w:i/>
        </w:rPr>
        <w:t xml:space="preserve">‘</w:t>
      </w:r>
      <w:r>
        <w:rPr>
          <w:i/>
        </w:rPr>
        <w:t xml:space="preserve">to have a conversation</w:t>
      </w:r>
      <w:r>
        <w:rPr>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People have consequently lost control and agency</w:t>
      </w:r>
      <w:r>
        <w:t xml:space="preserve"> </w:t>
      </w:r>
      <w:r>
        <w:t xml:space="preserve">(Crabtree and Mortier,</w:t>
      </w:r>
      <w:r>
        <w:t xml:space="preserve"> </w:t>
      </w:r>
      <w:hyperlink w:anchor="ref-crabtree2016">
        <w:r>
          <w:rPr>
            <w:rStyle w:val="Hyperlink"/>
          </w:rPr>
          <w:t xml:space="preserve">2016</w:t>
        </w:r>
      </w:hyperlink>
      <w:r>
        <w:t xml:space="preserve">)</w:t>
      </w:r>
      <w:r>
        <w:t xml:space="preserve">, creating a crisis of trust and a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achieving-individual-empowerment"/>
    <w:p>
      <w:pPr>
        <w:pStyle w:val="Heading2"/>
      </w:pPr>
      <w:r>
        <w:rPr>
          <w:rStyle w:val="SectionNumber"/>
        </w:rPr>
        <w:t xml:space="preserve">1.3</w:t>
      </w:r>
      <w:r>
        <w:tab/>
      </w:r>
      <w:r>
        <w:t xml:space="preserve">Achieving Individual Empowerment</w:t>
      </w:r>
    </w:p>
    <w:p>
      <w:pPr>
        <w:pStyle w:val="FirstParagraph"/>
      </w:pPr>
      <w:r>
        <w:rPr>
          <w:b/>
        </w:rPr>
        <w:t xml:space="preserve">Empowerment means being able to do more.</w:t>
      </w:r>
      <w:r>
        <w:t xml:space="preserve"> </w:t>
      </w:r>
      <w:r>
        <w:t xml:space="preserve">Empowerment is defined as</w:t>
      </w:r>
      <w:r>
        <w:t xml:space="preserve"> </w:t>
      </w:r>
      <w:r>
        <w:rPr>
          <w:i/>
        </w:rPr>
        <w:t xml:space="preserve">“</w:t>
      </w:r>
      <w:r>
        <w:rPr>
          <w:i/>
        </w:rPr>
        <w:t xml:space="preserve">the process of gaining freedom and power to do what you want or to control what happens to you</w:t>
      </w:r>
      <w:r>
        <w:rPr>
          <w:i/>
        </w:rPr>
        <w:t xml:space="preserve">”</w:t>
      </w:r>
      <w:r>
        <w:t xml:space="preserve"> </w:t>
      </w:r>
      <w:r>
        <w:t xml:space="preserve">(Cambridge Dictionary,</w:t>
      </w:r>
      <w:r>
        <w:t xml:space="preserve"> </w:t>
      </w:r>
      <w:hyperlink w:anchor="ref-dictEmpowerment">
        <w:r>
          <w:rPr>
            <w:rStyle w:val="Hyperlink"/>
          </w:rPr>
          <w:t xml:space="preserve">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
        </w:rPr>
        <w:t xml:space="preserve">“</w:t>
      </w:r>
      <w:r>
        <w:rPr>
          <w:i/>
        </w:rPr>
        <w:t xml:space="preserve">what can I do?</w:t>
      </w:r>
      <w:r>
        <w:rPr>
          <w:i/>
        </w:rPr>
        <w:t xml:space="preserve">”</w:t>
      </w:r>
      <w:r>
        <w:t xml:space="preserve">. It is important to acknowledge that the power imbalance described by the World Economic Forum</w:t>
      </w:r>
      <w:r>
        <w:t xml:space="preserve"> </w:t>
      </w:r>
      <w:r>
        <w:t xml:space="preserve">(Hoffman,</w:t>
      </w:r>
      <w:r>
        <w:t xml:space="preserve"> </w:t>
      </w:r>
      <w:hyperlink w:anchor="ref-wef2010">
        <w:r>
          <w:rPr>
            <w:rStyle w:val="Hyperlink"/>
          </w:rPr>
          <w:t xml:space="preserve">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r>
        <w:t xml:space="preserve">and described in 2.1.2 encompasses both this concept of</w:t>
      </w:r>
      <w:r>
        <w:t xml:space="preserve"> </w:t>
      </w:r>
      <w:r>
        <w:rPr>
          <w:i/>
        </w:rPr>
        <w:t xml:space="preserve">‘</w:t>
      </w:r>
      <w:r>
        <w:rPr>
          <w:i/>
        </w:rPr>
        <w:t xml:space="preserve">power to</w:t>
      </w:r>
      <w:r>
        <w:rPr>
          <w:i/>
        </w:rPr>
        <w:t xml:space="preserve">’</w:t>
      </w:r>
      <w:r>
        <w:t xml:space="preserve"> </w:t>
      </w:r>
      <w:r>
        <w:t xml:space="preserve">but also the concept of</w:t>
      </w:r>
      <w:r>
        <w:t xml:space="preserve"> </w:t>
      </w:r>
      <w:r>
        <w:rPr>
          <w:i/>
        </w:rPr>
        <w:t xml:space="preserve">‘</w:t>
      </w:r>
      <w:r>
        <w:rPr>
          <w:i/>
        </w:rPr>
        <w:t xml:space="preserve">power over</w:t>
      </w:r>
      <w:r>
        <w:rPr>
          <w:i/>
        </w:rPr>
        <w:t xml:space="preserve">’</w:t>
      </w:r>
      <w:r>
        <w:t xml:space="preserve">. However, as argued by Pansardi, these are best considered as two sides of the same coin; two perspectives on the same set of facts: organisations have</w:t>
      </w:r>
      <w:r>
        <w:t xml:space="preserve"> </w:t>
      </w:r>
      <w:r>
        <w:rPr>
          <w:i/>
        </w:rPr>
        <w:t xml:space="preserve">‘</w:t>
      </w:r>
      <w:r>
        <w:rPr>
          <w:i/>
        </w:rPr>
        <w:t xml:space="preserve">social power</w:t>
      </w:r>
      <w:r>
        <w:rPr>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(Pansardi,</w:t>
      </w:r>
      <w:r>
        <w:t xml:space="preserve"> </w:t>
      </w:r>
      <w:hyperlink w:anchor="ref-pansardi2012">
        <w:r>
          <w:rPr>
            <w:rStyle w:val="Hyperlink"/>
          </w:rPr>
          <w:t xml:space="preserve">2012</w:t>
        </w:r>
      </w:hyperlink>
      <w:r>
        <w:t xml:space="preserve">)</w:t>
      </w:r>
      <w:r>
        <w:t xml:space="preserve">.</w:t>
      </w:r>
    </w:p>
    <w:p>
      <w:pPr>
        <w:pStyle w:val="BodyText"/>
      </w:pPr>
      <w:r>
        <w:rPr>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
        </w:rPr>
        <w:t xml:space="preserve">disempowered</w:t>
      </w:r>
      <w:r>
        <w:t xml:space="preserve">. People are seen indirectly through data</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
        </w:rPr>
        <w:t xml:space="preserve">would</w:t>
      </w:r>
      <w:r>
        <w:t xml:space="preserve"> </w:t>
      </w:r>
      <w:r>
        <w:t xml:space="preserve">be desirable, preferable or more successful, in the case of data visibility (6.1.3) and process transparency (6.2.1) we have clear evidence that it</w:t>
      </w:r>
      <w:r>
        <w:t xml:space="preserve"> </w:t>
      </w:r>
      <w:r>
        <w:rPr>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(Bridle,</w:t>
      </w:r>
      <w:r>
        <w:t xml:space="preserve"> </w:t>
      </w:r>
      <w:hyperlink w:anchor="ref-bridle2016">
        <w:r>
          <w:rPr>
            <w:rStyle w:val="Hyperlink"/>
          </w:rPr>
          <w:t xml:space="preserve">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
        </w:rPr>
        <w:t xml:space="preserve">“</w:t>
      </w:r>
      <w:r>
        <w:rPr>
          <w:i/>
        </w:rPr>
        <w:t xml:space="preserve">permanently open two-way communication channel [with data holders], allowing a dialogue to take place</w:t>
      </w:r>
      <w:r>
        <w:rPr>
          <w:i/>
        </w:rPr>
        <w:t xml:space="preserv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9"/>
    <w:bookmarkEnd w:id="30"/>
    <w:bookmarkStart w:id="145" w:name="bibliography"/>
    <w:p>
      <w:pPr>
        <w:pStyle w:val="Heading1"/>
      </w:pPr>
      <w:r>
        <w:t xml:space="preserve">Bibliography</w:t>
      </w:r>
    </w:p>
    <w:bookmarkStart w:id="144" w:name="refs"/>
    <w:bookmarkStart w:id="3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‘Article 13: Information to be provided where personal data are collected from the data subject’ (2020).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 ‘Involving the Virtual Subjects’,</w:t>
      </w:r>
      <w:r>
        <w:t xml:space="preserve"> </w:t>
      </w:r>
      <w:r>
        <w:rPr>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 ‘Tracking on the Web, Mobile and the Internet-of-Things’.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 ‘Why files need to die’. Available at:</w:t>
      </w:r>
      <w:r>
        <w:t xml:space="preserve"> </w:t>
      </w:r>
      <w:hyperlink r:id="rId43">
        <w:r>
          <w:rPr>
            <w:rStyle w:val="Hyperlink"/>
          </w:rPr>
          <w:t xml:space="preserve">http://radar.oreilly.com/2011/07/why-files-need-to-die.html</w:t>
        </w:r>
      </w:hyperlink>
      <w:r>
        <w:t xml:space="preserve">.</w:t>
      </w:r>
    </w:p>
    <w:bookmarkEnd w:id="44"/>
    <w:bookmarkStart w:id="46"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 ‘Empowerment’.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 ‘The Facebook and Cambridge Analytica scandal, explained with a simple diagram - Vox’.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 ‘Android’s Messages, Dialer apps quietly sent text, call info to Google’.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 ‘Useability’.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 ‘Useable’.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‘Data Brokers: Everything You Need to Know’ (2022).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 ‘Inside the black box of shared decision making: distinguishing between the process of involvement and who makes the decision’,</w:t>
      </w:r>
      <w:r>
        <w:t xml:space="preserve"> </w:t>
      </w:r>
      <w:r>
        <w:rPr>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 ‘Amazon’s dark secret: It has failed to protect your data’.</w:t>
      </w:r>
    </w:p>
    <w:bookmarkEnd w:id="75"/>
    <w:bookmarkStart w:id="77"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
        </w:rPr>
        <w:t xml:space="preserve">et al.</w:t>
      </w:r>
      <w:r>
        <w:t xml:space="preserve"> </w:t>
      </w:r>
      <w:r>
        <w:t xml:space="preserve">(2021) ‘Trends in Explanations: Understanding and Debugging Data-driven Systems’,</w:t>
      </w:r>
      <w:r>
        <w:t xml:space="preserve"> </w:t>
      </w:r>
      <w:r>
        <w:rPr>
          <w:i/>
        </w:rPr>
        <w:t xml:space="preserve">Foundations and Trendsin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1" w:name="ref-goffe2021"/>
    <w:p>
      <w:pPr>
        <w:pStyle w:val="Bibliography"/>
      </w:pPr>
      <w:r>
        <w:t xml:space="preserve">Goffe, L.</w:t>
      </w:r>
      <w:r>
        <w:t xml:space="preserve"> </w:t>
      </w:r>
      <w:r>
        <w:rPr>
          <w:i/>
        </w:rPr>
        <w:t xml:space="preserve">et al.</w:t>
      </w:r>
      <w:r>
        <w:t xml:space="preserve"> </w:t>
      </w:r>
      <w:r>
        <w:t xml:space="preserve">(2021) ‘Appetite for Disruption: Designing Human-Centred Augmentations to an Online Food Ordering Platform’,</w:t>
      </w:r>
      <w:r>
        <w:t xml:space="preserve"> </w:t>
      </w:r>
      <w:r>
        <w:rPr>
          <w:i/>
        </w:rPr>
        <w:t xml:space="preserve">34th British Human Computer Interaction Conference Interaction Conference, BCS HCI 2021</w:t>
      </w:r>
      <w:r>
        <w:t xml:space="preserve">, pp. 155–167. doi:</w:t>
      </w:r>
      <w:r>
        <w:t xml:space="preserve"> </w:t>
      </w:r>
      <w:hyperlink r:id="rId80">
        <w:r>
          <w:rPr>
            <w:rStyle w:val="Hyperlink"/>
          </w:rPr>
          <w:t xml:space="preserve">10.14236/ewic/HCI2021.16</w:t>
        </w:r>
      </w:hyperlink>
      <w:r>
        <w:t xml:space="preserve">.</w:t>
      </w:r>
    </w:p>
    <w:bookmarkEnd w:id="81"/>
    <w:bookmarkStart w:id="83"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82">
        <w:r>
          <w:rPr>
            <w:rStyle w:val="Hyperlink"/>
          </w:rPr>
          <w:t xml:space="preserve">10.5210/fm.v16i2.3316</w:t>
        </w:r>
      </w:hyperlink>
      <w:r>
        <w:t xml:space="preserve">.</w:t>
      </w:r>
    </w:p>
    <w:bookmarkEnd w:id="83"/>
    <w:bookmarkStart w:id="85" w:name="ref-britannicaHobsonsChoice"/>
    <w:p>
      <w:pPr>
        <w:pStyle w:val="Bibliography"/>
      </w:pPr>
      <w:r>
        <w:t xml:space="preserve">‘Hobson’s Choice’ (no date). Available at:</w:t>
      </w:r>
      <w:r>
        <w:t xml:space="preserve"> </w:t>
      </w:r>
      <w:hyperlink r:id="rId84">
        <w:r>
          <w:rPr>
            <w:rStyle w:val="Hyperlink"/>
          </w:rPr>
          <w:t xml:space="preserve">https://www.britannica.com/dictionary/Hobson%27s-choice</w:t>
        </w:r>
      </w:hyperlink>
      <w:r>
        <w:t xml:space="preserve">.</w:t>
      </w:r>
    </w:p>
    <w:bookmarkEnd w:id="85"/>
    <w:bookmarkStart w:id="87" w:name="ref-wef2010"/>
    <w:p>
      <w:pPr>
        <w:pStyle w:val="Bibliography"/>
      </w:pPr>
      <w:r>
        <w:t xml:space="preserve">Hoffman, W. (2010) ‘Rethinking Personal Data’. Available at:</w:t>
      </w:r>
      <w:r>
        <w:t xml:space="preserve"> </w:t>
      </w:r>
      <w:hyperlink r:id="rId86">
        <w:r>
          <w:rPr>
            <w:rStyle w:val="Hyperlink"/>
          </w:rPr>
          <w:t xml:space="preserve">https://web.archive.org/web/20110220013300/http://www.weforum.org/issues/rethinking-personal-data</w:t>
        </w:r>
      </w:hyperlink>
      <w:r>
        <w:t xml:space="preserve">.</w:t>
      </w:r>
    </w:p>
    <w:bookmarkEnd w:id="87"/>
    <w:bookmarkStart w:id="89"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88">
        <w:r>
          <w:rPr>
            <w:rStyle w:val="Hyperlink"/>
          </w:rPr>
          <w:t xml:space="preserve">http://www.weforum.org/reports/personal-data-emergence-new-asset-class</w:t>
        </w:r>
      </w:hyperlink>
      <w:r>
        <w:t xml:space="preserve">.</w:t>
      </w:r>
    </w:p>
    <w:bookmarkEnd w:id="89"/>
    <w:bookmarkStart w:id="90"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90"/>
    <w:bookmarkStart w:id="92"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91">
        <w:r>
          <w:rPr>
            <w:rStyle w:val="Hyperlink"/>
          </w:rPr>
          <w:t xml:space="preserve">http://www3.weforum.org/docs/WEF_RethinkingPersonalData_ANewLens_Report_2014.pdf</w:t>
        </w:r>
      </w:hyperlink>
      <w:r>
        <w:t xml:space="preserve">.</w:t>
      </w:r>
    </w:p>
    <w:bookmarkEnd w:id="92"/>
    <w:bookmarkStart w:id="94"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93">
        <w:r>
          <w:rPr>
            <w:rStyle w:val="Hyperlink"/>
          </w:rPr>
          <w:t xml:space="preserve">http://www3.weforum.org/docs/WEF_RethinkingPersonalData_TrustandContext_Report_2014.pdf</w:t>
        </w:r>
      </w:hyperlink>
      <w:r>
        <w:t xml:space="preserve">.</w:t>
      </w:r>
    </w:p>
    <w:bookmarkEnd w:id="94"/>
    <w:bookmarkStart w:id="96" w:name="ref-ico2018"/>
    <w:p>
      <w:pPr>
        <w:pStyle w:val="Bibliography"/>
      </w:pPr>
      <w:r>
        <w:t xml:space="preserve">Information Commissioner’s Office (2018) ‘Your data matters - Your rights’. Available at:</w:t>
      </w:r>
      <w:r>
        <w:t xml:space="preserve"> </w:t>
      </w:r>
      <w:hyperlink r:id="rId95">
        <w:r>
          <w:rPr>
            <w:rStyle w:val="Hyperlink"/>
          </w:rPr>
          <w:t xml:space="preserve">https://ico.org.uk/your-data-matters/</w:t>
        </w:r>
      </w:hyperlink>
      <w:r>
        <w:t xml:space="preserve">.</w:t>
      </w:r>
    </w:p>
    <w:bookmarkEnd w:id="96"/>
    <w:bookmarkStart w:id="98"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97">
        <w:r>
          <w:rPr>
            <w:rStyle w:val="Hyperlink"/>
          </w:rPr>
          <w:t xml:space="preserve">10.1038/ejhg.2014.71</w:t>
        </w:r>
      </w:hyperlink>
      <w:r>
        <w:t xml:space="preserve">.</w:t>
      </w:r>
    </w:p>
    <w:bookmarkEnd w:id="98"/>
    <w:bookmarkStart w:id="100" w:name="ref-kroger2021"/>
    <w:p>
      <w:pPr>
        <w:pStyle w:val="Bibliography"/>
      </w:pPr>
      <w:r>
        <w:t xml:space="preserve">Kröger, J. L., Miceli, M. and Müller, F. (2021) ‘How Data Can Be Used Against People: A Classification of Personal Data Misuses’,</w:t>
      </w:r>
      <w:r>
        <w:t xml:space="preserve"> </w:t>
      </w:r>
      <w:r>
        <w:rPr>
          <w:i/>
        </w:rPr>
        <w:t xml:space="preserve">SSRN Electronic Journal</w:t>
      </w:r>
      <w:r>
        <w:t xml:space="preserve">, (December). doi:</w:t>
      </w:r>
      <w:r>
        <w:t xml:space="preserve"> </w:t>
      </w:r>
      <w:hyperlink r:id="rId99">
        <w:r>
          <w:rPr>
            <w:rStyle w:val="Hyperlink"/>
          </w:rPr>
          <w:t xml:space="preserve">10.2139/ssrn.3887097</w:t>
        </w:r>
      </w:hyperlink>
      <w:r>
        <w:t xml:space="preserve">.</w:t>
      </w:r>
    </w:p>
    <w:bookmarkEnd w:id="100"/>
    <w:bookmarkStart w:id="102"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101">
        <w:r>
          <w:rPr>
            <w:rStyle w:val="Hyperlink"/>
          </w:rPr>
          <w:t xml:space="preserve">10.14763/2018.2.791</w:t>
        </w:r>
      </w:hyperlink>
      <w:r>
        <w:t xml:space="preserve">.</w:t>
      </w:r>
    </w:p>
    <w:bookmarkEnd w:id="102"/>
    <w:bookmarkStart w:id="104"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103">
        <w:r>
          <w:rPr>
            <w:rStyle w:val="Hyperlink"/>
          </w:rPr>
          <w:t xml:space="preserve">10.1145/1753326.1753409</w:t>
        </w:r>
      </w:hyperlink>
      <w:r>
        <w:t xml:space="preserve">.</w:t>
      </w:r>
    </w:p>
    <w:bookmarkEnd w:id="104"/>
    <w:bookmarkStart w:id="106"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05">
        <w:r>
          <w:rPr>
            <w:rStyle w:val="Hyperlink"/>
          </w:rPr>
          <w:t xml:space="preserve">10.1145/2493432.2493446</w:t>
        </w:r>
      </w:hyperlink>
      <w:r>
        <w:t xml:space="preserve">.</w:t>
      </w:r>
    </w:p>
    <w:bookmarkEnd w:id="106"/>
    <w:bookmarkStart w:id="107" w:name="ref-mcnamee2019"/>
    <w:p>
      <w:pPr>
        <w:pStyle w:val="Bibliography"/>
      </w:pPr>
      <w:r>
        <w:t xml:space="preserve">McNamee, R. (2019)</w:t>
      </w:r>
      <w:r>
        <w:t xml:space="preserve"> </w:t>
      </w:r>
      <w:r>
        <w:rPr>
          <w:i/>
        </w:rPr>
        <w:t xml:space="preserve">Zucked: Waking up to the Facebook Catasrophe</w:t>
      </w:r>
      <w:r>
        <w:t xml:space="preserve">, p. 336.</w:t>
      </w:r>
    </w:p>
    <w:bookmarkEnd w:id="107"/>
    <w:bookmarkStart w:id="109" w:name="ref-melendez2019"/>
    <w:p>
      <w:pPr>
        <w:pStyle w:val="Bibliography"/>
      </w:pPr>
      <w:r>
        <w:t xml:space="preserve">Melendez, S. and Pasternack, A. (2019) ‘The data brokers quietly buying and selling your personal information’. Available at:</w:t>
      </w:r>
      <w:r>
        <w:t xml:space="preserve"> </w:t>
      </w:r>
      <w:hyperlink r:id="rId108">
        <w:r>
          <w:rPr>
            <w:rStyle w:val="Hyperlink"/>
          </w:rPr>
          <w:t xml:space="preserve">https://www.fastcompany.com/90310803/here-are-the-data-brokers-quietly-buying-and-selling-your-personal-information</w:t>
        </w:r>
      </w:hyperlink>
      <w:r>
        <w:t xml:space="preserve">.</w:t>
      </w:r>
    </w:p>
    <w:bookmarkEnd w:id="109"/>
    <w:bookmarkStart w:id="111" w:name="ref-dictUsability"/>
    <w:p>
      <w:pPr>
        <w:pStyle w:val="Bibliography"/>
      </w:pPr>
      <w:r>
        <w:t xml:space="preserve">Merriam-Webster Dictionary (no date a) ‘Usability’. Available at:</w:t>
      </w:r>
      <w:r>
        <w:t xml:space="preserve"> </w:t>
      </w:r>
      <w:hyperlink r:id="rId110">
        <w:r>
          <w:rPr>
            <w:rStyle w:val="Hyperlink"/>
          </w:rPr>
          <w:t xml:space="preserve">https://www.merriam-webster.com/dictionary/usability</w:t>
        </w:r>
      </w:hyperlink>
      <w:r>
        <w:t xml:space="preserve">.</w:t>
      </w:r>
    </w:p>
    <w:bookmarkEnd w:id="111"/>
    <w:bookmarkStart w:id="113" w:name="ref-dictUsable"/>
    <w:p>
      <w:pPr>
        <w:pStyle w:val="Bibliography"/>
      </w:pPr>
      <w:r>
        <w:t xml:space="preserve">Merriam-Webster Dictionary (no date b) ‘Usable’. Available at:</w:t>
      </w:r>
      <w:r>
        <w:t xml:space="preserve"> </w:t>
      </w:r>
      <w:hyperlink r:id="rId112">
        <w:r>
          <w:rPr>
            <w:rStyle w:val="Hyperlink"/>
          </w:rPr>
          <w:t xml:space="preserve">https://www.merriam-webster.com/dictionary/usable</w:t>
        </w:r>
      </w:hyperlink>
      <w:r>
        <w:t xml:space="preserve">.</w:t>
      </w:r>
    </w:p>
    <w:bookmarkEnd w:id="113"/>
    <w:bookmarkStart w:id="115"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114">
        <w:r>
          <w:rPr>
            <w:rStyle w:val="Hyperlink"/>
          </w:rPr>
          <w:t xml:space="preserve">10.5210/fm.v17i5.4013</w:t>
        </w:r>
      </w:hyperlink>
      <w:r>
        <w:t xml:space="preserve">.</w:t>
      </w:r>
    </w:p>
    <w:bookmarkEnd w:id="115"/>
    <w:bookmarkStart w:id="117"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16">
        <w:r>
          <w:rPr>
            <w:rStyle w:val="Hyperlink"/>
          </w:rPr>
          <w:t xml:space="preserve">10.2139/ssrn.2508051</w:t>
        </w:r>
      </w:hyperlink>
      <w:r>
        <w:t xml:space="preserve">.</w:t>
      </w:r>
    </w:p>
    <w:bookmarkEnd w:id="117"/>
    <w:bookmarkStart w:id="119"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18">
        <w:r>
          <w:rPr>
            <w:rStyle w:val="Hyperlink"/>
          </w:rPr>
          <w:t xml:space="preserve">10.1089/big.2013.0029</w:t>
        </w:r>
      </w:hyperlink>
      <w:r>
        <w:t xml:space="preserve">.</w:t>
      </w:r>
    </w:p>
    <w:bookmarkEnd w:id="119"/>
    <w:bookmarkStart w:id="121" w:name="ref-nielsen2012"/>
    <w:p>
      <w:pPr>
        <w:pStyle w:val="Bibliography"/>
      </w:pPr>
      <w:r>
        <w:t xml:space="preserve">Nielsen, J. (2012) ‘Usability 101: Introduction to Usability’. Available at:</w:t>
      </w:r>
      <w:r>
        <w:t xml:space="preserve"> </w:t>
      </w:r>
      <w:hyperlink r:id="rId120">
        <w:r>
          <w:rPr>
            <w:rStyle w:val="Hyperlink"/>
          </w:rPr>
          <w:t xml:space="preserve">https://www.nngroup.com/articles/usability-101-introduction-to-usability/</w:t>
        </w:r>
      </w:hyperlink>
      <w:r>
        <w:t xml:space="preserve">.</w:t>
      </w:r>
    </w:p>
    <w:bookmarkEnd w:id="121"/>
    <w:bookmarkStart w:id="123"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2">
        <w:r>
          <w:rPr>
            <w:rStyle w:val="Hyperlink"/>
          </w:rPr>
          <w:t xml:space="preserve">www.ofsted.gov.uk https://www.gov.uk/government/uploads/system/uploads/attachment_data/file/410378/Early_help_whose_responsibility.pdf</w:t>
        </w:r>
      </w:hyperlink>
      <w:r>
        <w:t xml:space="preserve">.</w:t>
      </w:r>
    </w:p>
    <w:bookmarkEnd w:id="123"/>
    <w:bookmarkStart w:id="125"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124">
        <w:r>
          <w:rPr>
            <w:rStyle w:val="Hyperlink"/>
          </w:rPr>
          <w:t xml:space="preserve">https://www.oecd.org/digital/ieconomy/oecdguidelinesontheprotectionofprivacyandtransborderflowsofpersonaldata.htm</w:t>
        </w:r>
      </w:hyperlink>
      <w:r>
        <w:t xml:space="preserve">.</w:t>
      </w:r>
    </w:p>
    <w:bookmarkEnd w:id="125"/>
    <w:bookmarkStart w:id="127" w:name="ref-pansardi2012"/>
    <w:p>
      <w:pPr>
        <w:pStyle w:val="Bibliography"/>
      </w:pPr>
      <w:r>
        <w:t xml:space="preserve">Pansardi, P. (2012) ‘Power to and power over: Two distinct concepts of power?’,</w:t>
      </w:r>
      <w:r>
        <w:t xml:space="preserve"> </w:t>
      </w:r>
      <w:r>
        <w:rPr>
          <w:i/>
        </w:rPr>
        <w:t xml:space="preserve">Journal of Political Power</w:t>
      </w:r>
      <w:r>
        <w:t xml:space="preserve">, 5(1), pp. 73–89. doi:</w:t>
      </w:r>
      <w:r>
        <w:t xml:space="preserve"> </w:t>
      </w:r>
      <w:hyperlink r:id="rId126">
        <w:r>
          <w:rPr>
            <w:rStyle w:val="Hyperlink"/>
          </w:rPr>
          <w:t xml:space="preserve">10.1080/2158379X.2012.658278</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29">
        <w:r>
          <w:rPr>
            <w:rStyle w:val="Hyperlink"/>
          </w:rPr>
          <w:t xml:space="preserve">10.1177/0162243910377624</w:t>
        </w:r>
      </w:hyperlink>
      <w:r>
        <w:t xml:space="preserve">.</w:t>
      </w:r>
    </w:p>
    <w:bookmarkEnd w:id="130"/>
    <w:bookmarkStart w:id="131" w:name="ref-strohmayer2021"/>
    <w:p>
      <w:pPr>
        <w:pStyle w:val="Bibliography"/>
      </w:pPr>
      <w:r>
        <w:t xml:space="preserve">Strohmayer, A.</w:t>
      </w:r>
      <w:r>
        <w:t xml:space="preserve"> </w:t>
      </w:r>
      <w:r>
        <w:rPr>
          <w:i/>
        </w:rPr>
        <w:t xml:space="preserve">et al.</w:t>
      </w:r>
      <w:r>
        <w:t xml:space="preserve"> </w:t>
      </w:r>
      <w:r>
        <w:t xml:space="preserve">(2021)</w:t>
      </w:r>
      <w:r>
        <w:t xml:space="preserve"> </w:t>
      </w:r>
      <w:r>
        <w:rPr>
          <w:i/>
        </w:rPr>
        <w:t xml:space="preserve">Trust and Abusability Toolkit: Centering Safety in Human-Data Interactions</w:t>
      </w:r>
      <w:r>
        <w:t xml:space="preserve">.</w:t>
      </w:r>
    </w:p>
    <w:bookmarkEnd w:id="131"/>
    <w:bookmarkStart w:id="133" w:name="ref-taylor2015"/>
    <w:p>
      <w:pPr>
        <w:pStyle w:val="Bibliography"/>
      </w:pPr>
      <w:r>
        <w:t xml:space="preserve">Taylor, A. S.</w:t>
      </w:r>
      <w:r>
        <w:t xml:space="preserve"> </w:t>
      </w:r>
      <w:r>
        <w:rPr>
          <w:i/>
        </w:rPr>
        <w:t xml:space="preserve">et al.</w:t>
      </w:r>
      <w:r>
        <w:t xml:space="preserve"> </w:t>
      </w:r>
      <w:r>
        <w:t xml:space="preserve">(2015) ‘Data-in-place: Thinking through the relations between data and community’, in</w:t>
      </w:r>
      <w:r>
        <w:t xml:space="preserve"> </w:t>
      </w:r>
      <w:r>
        <w:rPr>
          <w:i/>
        </w:rPr>
        <w:t xml:space="preserve">Conference on human factors in computing systems - proceedings</w:t>
      </w:r>
      <w:r>
        <w:t xml:space="preserve">, pp. 2863–2872. doi:</w:t>
      </w:r>
      <w:r>
        <w:t xml:space="preserve"> </w:t>
      </w:r>
      <w:hyperlink r:id="rId132">
        <w:r>
          <w:rPr>
            <w:rStyle w:val="Hyperlink"/>
          </w:rPr>
          <w:t xml:space="preserve">10.1145/2702123.2702558</w:t>
        </w:r>
      </w:hyperlink>
      <w:r>
        <w:t xml:space="preserve">.</w:t>
      </w:r>
    </w:p>
    <w:bookmarkEnd w:id="133"/>
    <w:bookmarkStart w:id="135" w:name="ref-toonders2014"/>
    <w:p>
      <w:pPr>
        <w:pStyle w:val="Bibliography"/>
      </w:pPr>
      <w:r>
        <w:t xml:space="preserve">Toonders, J. (2014) ‘Data Is the New Oil of the Digital Economy’. Available at:</w:t>
      </w:r>
      <w:r>
        <w:t xml:space="preserve"> </w:t>
      </w:r>
      <w:hyperlink r:id="rId134">
        <w:r>
          <w:rPr>
            <w:rStyle w:val="Hyperlink"/>
          </w:rPr>
          <w:t xml:space="preserve">https://www.wired.com/insights/2014/07/data-new-oil-digital-economy/</w:t>
        </w:r>
      </w:hyperlink>
      <w:r>
        <w:t xml:space="preserve">.</w:t>
      </w:r>
    </w:p>
    <w:bookmarkEnd w:id="135"/>
    <w:bookmarkStart w:id="137"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36">
        <w:r>
          <w:rPr>
            <w:rStyle w:val="Hyperlink"/>
          </w:rPr>
          <w:t xml:space="preserve">10.2196/medinform.3525</w:t>
        </w:r>
      </w:hyperlink>
      <w:r>
        <w:t xml:space="preserve">.</w:t>
      </w:r>
    </w:p>
    <w:bookmarkEnd w:id="137"/>
    <w:bookmarkStart w:id="139" w:name="ref-woods2022"/>
    <w:p>
      <w:pPr>
        <w:pStyle w:val="Bibliography"/>
      </w:pPr>
      <w:r>
        <w:t xml:space="preserve">Woods, D. W. and Böhme, R. (2022) ‘The commodification of consent’,</w:t>
      </w:r>
      <w:r>
        <w:t xml:space="preserve"> </w:t>
      </w:r>
      <w:r>
        <w:rPr>
          <w:i/>
        </w:rPr>
        <w:t xml:space="preserve">Computers &amp; Security</w:t>
      </w:r>
      <w:r>
        <w:t xml:space="preserve">. Elsevier Ltd, 115, p. 102605. doi:</w:t>
      </w:r>
      <w:r>
        <w:t xml:space="preserve"> </w:t>
      </w:r>
      <w:hyperlink r:id="rId138">
        <w:r>
          <w:rPr>
            <w:rStyle w:val="Hyperlink"/>
          </w:rPr>
          <w:t xml:space="preserve">10.1016/j.cose.2022.102605</w:t>
        </w:r>
      </w:hyperlink>
      <w:r>
        <w:t xml:space="preserve">.</w:t>
      </w:r>
    </w:p>
    <w:bookmarkEnd w:id="139"/>
    <w:bookmarkStart w:id="141"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140">
        <w:r>
          <w:rPr>
            <w:rStyle w:val="Hyperlink"/>
          </w:rPr>
          <w:t xml:space="preserve">https://books.google.co.uk/books?id=W7ZEDgAAQBAJ</w:t>
        </w:r>
      </w:hyperlink>
      <w:r>
        <w:t xml:space="preserve">.</w:t>
      </w:r>
    </w:p>
    <w:bookmarkEnd w:id="141"/>
    <w:bookmarkStart w:id="143" w:name="ref-zuckerman2021"/>
    <w:p>
      <w:pPr>
        <w:pStyle w:val="Bibliography"/>
      </w:pPr>
      <w:r>
        <w:t xml:space="preserve">Zuckerman, E. (2021)</w:t>
      </w:r>
      <w:r>
        <w:t xml:space="preserve"> </w:t>
      </w:r>
      <w:r>
        <w:rPr>
          <w:i/>
        </w:rPr>
        <w:t xml:space="preserve">Mistrust: Why Losing Faith In Institutions Provides The Tools To Transform Them</w:t>
      </w:r>
      <w:r>
        <w:t xml:space="preserve">. New York, NY, USA: W. W. Norton &amp; Company, pp. 1–3. doi:</w:t>
      </w:r>
      <w:r>
        <w:t xml:space="preserve"> </w:t>
      </w:r>
      <w:hyperlink r:id="rId142">
        <w:r>
          <w:rPr>
            <w:rStyle w:val="Hyperlink"/>
          </w:rPr>
          <w:t xml:space="preserve">10.1017/ipo.2021.30</w:t>
        </w:r>
      </w:hyperlink>
      <w:r>
        <w:t xml:space="preserve">.</w:t>
      </w:r>
    </w:p>
    <w:bookmarkEnd w:id="143"/>
    <w:bookmarkEnd w:id="144"/>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
        </w:rPr>
        <w:t xml:space="preserve">‘</w:t>
      </w:r>
      <w:r>
        <w:rPr>
          <w:i/>
        </w:rPr>
        <w:t xml:space="preserve">usability</w:t>
      </w:r>
      <w:r>
        <w:rPr>
          <w:i/>
        </w:rPr>
        <w:t xml:space="preserve">’</w:t>
      </w:r>
      <w:r>
        <w:t xml:space="preserve"> </w:t>
      </w:r>
      <w:r>
        <w:t xml:space="preserve">and</w:t>
      </w:r>
      <w:r>
        <w:t xml:space="preserve"> </w:t>
      </w:r>
      <w:r>
        <w:rPr>
          <w:i/>
        </w:rPr>
        <w:t xml:space="preserve">‘</w:t>
      </w:r>
      <w:r>
        <w:rPr>
          <w:i/>
        </w:rPr>
        <w:t xml:space="preserve">usable</w:t>
      </w:r>
      <w:r>
        <w:rPr>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(Nielsen,</w:t>
      </w:r>
      <w:r>
        <w:t xml:space="preserve"> </w:t>
      </w:r>
      <w:hyperlink w:anchor="ref-nielsen2012">
        <w:r>
          <w:rPr>
            <w:rStyle w:val="Hyperlink"/>
          </w:rPr>
          <w:t xml:space="preserve">2012</w:t>
        </w:r>
      </w:hyperlink>
      <w:r>
        <w:t xml:space="preserve">)</w:t>
      </w:r>
      <w:r>
        <w:t xml:space="preserve">. Throughout this thesis, I deliberately use the alternative word spellings of</w:t>
      </w:r>
      <w:r>
        <w:t xml:space="preserve"> </w:t>
      </w:r>
      <w:r>
        <w:rPr>
          <w:i/>
        </w:rPr>
        <w:t xml:space="preserve">‘</w:t>
      </w:r>
      <w:r>
        <w:rPr>
          <w:i/>
        </w:rPr>
        <w:t xml:space="preserve">useability</w:t>
      </w:r>
      <w:r>
        <w:rPr>
          <w:i/>
        </w:rPr>
        <w:t xml:space="preserve">’</w:t>
      </w:r>
      <w:r>
        <w:t xml:space="preserve"> </w:t>
      </w:r>
      <w:r>
        <w:t xml:space="preserve">and</w:t>
      </w:r>
      <w:r>
        <w:t xml:space="preserve"> </w:t>
      </w:r>
      <w:r>
        <w:rPr>
          <w:i/>
        </w:rPr>
        <w:t xml:space="preserve">‘</w:t>
      </w:r>
      <w:r>
        <w:rPr>
          <w:i/>
        </w:rPr>
        <w:t xml:space="preserve">useable</w:t>
      </w:r>
      <w:r>
        <w:rPr>
          <w:i/>
        </w:rPr>
        <w:t xml:space="preserve">’</w:t>
      </w:r>
      <w:r>
        <w:t xml:space="preserve"> </w:t>
      </w:r>
      <w:r>
        <w:t xml:space="preserve">(Collins English Dictionary,</w:t>
      </w:r>
      <w:r>
        <w:t xml:space="preserve"> </w:t>
      </w:r>
      <w:hyperlink w:anchor="ref-dictUseability">
        <w:r>
          <w:rPr>
            <w:rStyle w:val="Hyperlink"/>
          </w:rPr>
          <w:t xml:space="preserve">no date</w:t>
        </w:r>
      </w:hyperlink>
      <w:hyperlink w:anchor="ref-dictUseability">
        <w:r>
          <w:rPr>
            <w:rStyle w:val="Hyperlink"/>
          </w:rPr>
          <w:t xml:space="preserve"> </w:t>
        </w:r>
        <w:r>
          <w:rPr>
            <w:rStyle w:val="Hyperlink"/>
          </w:rPr>
          <w:t xml:space="preserve">a</w:t>
        </w:r>
      </w:hyperlink>
      <w:r>
        <w:t xml:space="preserve">,</w:t>
      </w:r>
      <w:r>
        <w:t xml:space="preserve"> </w:t>
      </w:r>
      <w:hyperlink w:anchor="ref-dictUseable">
        <w:r>
          <w:rPr>
            <w:rStyle w:val="Hyperlink"/>
          </w:rPr>
          <w:t xml:space="preserve">no date</w:t>
        </w:r>
      </w:hyperlink>
      <w:hyperlink w:anchor="ref-dictUseable">
        <w:r>
          <w:rPr>
            <w:rStyle w:val="Hyperlink"/>
          </w:rPr>
          <w:t xml:space="preserve"> </w:t>
        </w:r>
        <w:r>
          <w:rPr>
            <w:rStyle w:val="Hyperlink"/>
          </w:rPr>
          <w:t xml:space="preserve">b</w:t>
        </w:r>
      </w:hyperlink>
      <w:r>
        <w:t xml:space="preserve">)</w:t>
      </w:r>
      <w:r>
        <w:t xml:space="preserve"> </w:t>
      </w:r>
      <w:r>
        <w:t xml:space="preserve">respectively, to clearly distinguish from this ease-of-use concept and to denote that I am referring a different meaning: the more literal definition, i.e. </w:t>
      </w:r>
      <w:r>
        <w:rPr>
          <w:i/>
        </w:rPr>
        <w:t xml:space="preserve">“</w:t>
      </w:r>
      <w:r>
        <w:rPr>
          <w:i/>
        </w:rPr>
        <w:t xml:space="preserve">the quality or state of being convenient and practicable for use</w:t>
      </w:r>
      <w:r>
        <w:rPr>
          <w:i/>
        </w:rPr>
        <w:t xml:space="preserve">”</w:t>
      </w:r>
      <w:r>
        <w:t xml:space="preserve"> </w:t>
      </w:r>
      <w:r>
        <w:t xml:space="preserve">(Merriam-Webster Dictionary,</w:t>
      </w:r>
      <w:r>
        <w:t xml:space="preserve"> </w:t>
      </w:r>
      <w:hyperlink w:anchor="ref-dictUsability">
        <w:r>
          <w:rPr>
            <w:rStyle w:val="Hyperlink"/>
          </w:rPr>
          <w:t xml:space="preserve">no date</w:t>
        </w:r>
      </w:hyperlink>
      <w:hyperlink w:anchor="ref-dictUsability">
        <w:r>
          <w:rPr>
            <w:rStyle w:val="Hyperlink"/>
          </w:rPr>
          <w:t xml:space="preserve"> </w:t>
        </w:r>
        <w:r>
          <w:rPr>
            <w:rStyle w:val="Hyperlink"/>
          </w:rPr>
          <w:t xml:space="preserve">a</w:t>
        </w:r>
      </w:hyperlink>
      <w:r>
        <w:t xml:space="preserve">,</w:t>
      </w:r>
      <w:r>
        <w:t xml:space="preserve"> </w:t>
      </w:r>
      <w:hyperlink w:anchor="ref-dictUsable">
        <w:r>
          <w:rPr>
            <w:rStyle w:val="Hyperlink"/>
          </w:rPr>
          <w:t xml:space="preserve">no date</w:t>
        </w:r>
      </w:hyperlink>
      <w:hyperlink w:anchor="ref-dictUsable">
        <w:r>
          <w:rPr>
            <w:rStyle w:val="Hyperlink"/>
          </w:rPr>
          <w:t xml:space="preserve"> </w:t>
        </w:r>
        <w:r>
          <w:rPr>
            <w:rStyle w:val="Hyperlink"/>
          </w:rPr>
          <w:t xml:space="preserve">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8" Target="http://www.weforum.org/reports/personal-data-emergence-new-asset-class" TargetMode="External" /><Relationship Type="http://schemas.openxmlformats.org/officeDocument/2006/relationships/hyperlink" Id="rId91" Target="http://www3.weforum.org/docs/WEF_RethinkingPersonalData_ANewLens_Report_2014.pdf" TargetMode="External" /><Relationship Type="http://schemas.openxmlformats.org/officeDocument/2006/relationships/hyperlink" Id="rId93"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40"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8" Target="https://doi.org/10.1016/j.cose.2022.102605" TargetMode="External" /><Relationship Type="http://schemas.openxmlformats.org/officeDocument/2006/relationships/hyperlink" Id="rId142"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7"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6"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8"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3" Target="https://doi.org/10.1145/1753326.1753409" TargetMode="External" /><Relationship Type="http://schemas.openxmlformats.org/officeDocument/2006/relationships/hyperlink" Id="rId105"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2"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9"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80" Target="https://doi.org/10.14236/ewic/HCI2021.16" TargetMode="External" /><Relationship Type="http://schemas.openxmlformats.org/officeDocument/2006/relationships/hyperlink" Id="rId101"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6"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9"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6"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2" Target="https://doi.org/10.5210/fm.v16i2.3316" TargetMode="External" /><Relationship Type="http://schemas.openxmlformats.org/officeDocument/2006/relationships/hyperlink" Id="rId114" Target="https://doi.org/10.5210/fm.v17i5.4013" TargetMode="External" /><Relationship Type="http://schemas.openxmlformats.org/officeDocument/2006/relationships/hyperlink" Id="rId95"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6"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4" Target="https://www.britannica.com/dictionary/Hobson%27s-choice" TargetMode="External" /><Relationship Type="http://schemas.openxmlformats.org/officeDocument/2006/relationships/hyperlink" Id="rId108" Target="https://www.fastcompany.com/90310803/here-are-the-data-brokers-quietly-buying-and-selling-your-personal-information" TargetMode="External" /><Relationship Type="http://schemas.openxmlformats.org/officeDocument/2006/relationships/hyperlink" Id="rId110" Target="https://www.merriam-webster.com/dictionary/usability" TargetMode="External" /><Relationship Type="http://schemas.openxmlformats.org/officeDocument/2006/relationships/hyperlink" Id="rId112" Target="https://www.merriam-webster.com/dictionary/usable" TargetMode="External" /><Relationship Type="http://schemas.openxmlformats.org/officeDocument/2006/relationships/hyperlink" Id="rId120" Target="https://www.nngroup.com/articles/usability-101-introduction-to-usability/" TargetMode="External" /><Relationship Type="http://schemas.openxmlformats.org/officeDocument/2006/relationships/hyperlink" Id="rId124"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4" Target="https://www.wired.com/insights/2014/07/data-new-oil-digital-economy/" TargetMode="External" /><Relationship Type="http://schemas.openxmlformats.org/officeDocument/2006/relationships/hyperlink" Id="rId122" Target="www.ofsted.gov.uk%20https://www.gov.uk/government/uploads/system/uploads/attachment_data/file/410378/Early_help_whose_responsibility.pdf" TargetMode="External" /></Relationships>
</file>

<file path=word/_rels/footnotes.xml.rels><?xml version="1.0" encoding="UTF-8"?>
<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8" Target="http://www.weforum.org/reports/personal-data-emergence-new-asset-class" TargetMode="External" /><Relationship Type="http://schemas.openxmlformats.org/officeDocument/2006/relationships/hyperlink" Id="rId91" Target="http://www3.weforum.org/docs/WEF_RethinkingPersonalData_ANewLens_Report_2014.pdf" TargetMode="External" /><Relationship Type="http://schemas.openxmlformats.org/officeDocument/2006/relationships/hyperlink" Id="rId93"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40"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8" Target="https://doi.org/10.1016/j.cose.2022.102605" TargetMode="External" /><Relationship Type="http://schemas.openxmlformats.org/officeDocument/2006/relationships/hyperlink" Id="rId142"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7"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6"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8"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3" Target="https://doi.org/10.1145/1753326.1753409" TargetMode="External" /><Relationship Type="http://schemas.openxmlformats.org/officeDocument/2006/relationships/hyperlink" Id="rId105"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2"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9"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80" Target="https://doi.org/10.14236/ewic/HCI2021.16" TargetMode="External" /><Relationship Type="http://schemas.openxmlformats.org/officeDocument/2006/relationships/hyperlink" Id="rId101"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6"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9"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6"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2" Target="https://doi.org/10.5210/fm.v16i2.3316" TargetMode="External" /><Relationship Type="http://schemas.openxmlformats.org/officeDocument/2006/relationships/hyperlink" Id="rId114" Target="https://doi.org/10.5210/fm.v17i5.4013" TargetMode="External" /><Relationship Type="http://schemas.openxmlformats.org/officeDocument/2006/relationships/hyperlink" Id="rId95"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6"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4" Target="https://www.britannica.com/dictionary/Hobson%27s-choice" TargetMode="External" /><Relationship Type="http://schemas.openxmlformats.org/officeDocument/2006/relationships/hyperlink" Id="rId108" Target="https://www.fastcompany.com/90310803/here-are-the-data-brokers-quietly-buying-and-selling-your-personal-information" TargetMode="External" /><Relationship Type="http://schemas.openxmlformats.org/officeDocument/2006/relationships/hyperlink" Id="rId110" Target="https://www.merriam-webster.com/dictionary/usability" TargetMode="External" /><Relationship Type="http://schemas.openxmlformats.org/officeDocument/2006/relationships/hyperlink" Id="rId112" Target="https://www.merriam-webster.com/dictionary/usable" TargetMode="External" /><Relationship Type="http://schemas.openxmlformats.org/officeDocument/2006/relationships/hyperlink" Id="rId120" Target="https://www.nngroup.com/articles/usability-101-introduction-to-usability/" TargetMode="External" /><Relationship Type="http://schemas.openxmlformats.org/officeDocument/2006/relationships/hyperlink" Id="rId124"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4" Target="https://www.wired.com/insights/2014/07/data-new-oil-digital-economy/" TargetMode="External" /><Relationship Type="http://schemas.openxmlformats.org/officeDocument/2006/relationships/hyperlink" Id="rId122" Target="www.ofsted.gov.uk%20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2022-06-17T12:06:57Z</dcterms:created>
  <dcterms:modified xsi:type="dcterms:W3CDTF">2022-06-17T12:06:57Z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