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mini-discussion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8.</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them needs to be:</w:t>
      </w:r>
    </w:p>
    <w:p>
      <w:pPr>
        <w:numPr>
          <w:ilvl w:val="0"/>
          <w:numId w:val="1002"/>
        </w:numPr>
        <w:pStyle w:val="Compact"/>
      </w:pPr>
      <w:r>
        <w:rPr>
          <w:i/>
        </w:rPr>
        <w:t xml:space="preserve">Visible</w:t>
      </w:r>
      <w:r>
        <w:t xml:space="preserve">: People need to have knowledge of data about them and an ability to see it,</w:t>
      </w:r>
    </w:p>
    <w:p>
      <w:pPr>
        <w:numPr>
          <w:ilvl w:val="0"/>
          <w:numId w:val="1002"/>
        </w:numPr>
        <w:pStyle w:val="Compact"/>
      </w:pPr>
      <w:r>
        <w:rPr>
          <w:i/>
        </w:rPr>
        <w:t xml:space="preserve">Understandable</w:t>
      </w:r>
      <w:r>
        <w:t xml:space="preserve">: People need to be able to interpret this data to extract meaningful information from it (and about it), and</w:t>
      </w:r>
    </w:p>
    <w:p>
      <w:pPr>
        <w:numPr>
          <w:ilvl w:val="0"/>
          <w:numId w:val="1002"/>
        </w:numPr>
        <w:pStyle w:val="Compact"/>
      </w:pPr>
      <w:r>
        <w:rPr>
          <w:i/>
        </w:rPr>
        <w:t xml:space="preserve">Useable</w:t>
      </w:r>
      <w:r>
        <w:t xml:space="preserve">: People need to be able to take action upon this data, including exploring it, using it to serve their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numPr>
          <w:ilvl w:val="0"/>
          <w:numId w:val="1003"/>
        </w:numPr>
        <w:pStyle w:val="Compact"/>
      </w:pPr>
      <w:r>
        <w:t xml:space="preserve">Data matters now, where previously it did not.</w:t>
      </w:r>
    </w:p>
    <w:p>
      <w:pPr>
        <w:numPr>
          <w:ilvl w:val="0"/>
          <w:numId w:val="1003"/>
        </w:numPr>
        <w:pStyle w:val="Compact"/>
      </w:pPr>
      <w:r>
        <w:t xml:space="preserve">Data sacrifice is demanded, creating a risk.</w:t>
      </w:r>
    </w:p>
    <w:p>
      <w:pPr>
        <w:numPr>
          <w:ilvl w:val="0"/>
          <w:numId w:val="1003"/>
        </w:numPr>
        <w:pStyle w:val="Compact"/>
      </w:pPr>
      <w:r>
        <w:t xml:space="preserve">Once data enters the closed and opaque ecosystem, they lose access and become unaware of storage and use.</w:t>
      </w:r>
    </w:p>
    <w:p>
      <w:pPr>
        <w:numPr>
          <w:ilvl w:val="0"/>
          <w:numId w:val="1003"/>
        </w:numPr>
        <w:pStyle w:val="Compact"/>
      </w:pPr>
      <w:r>
        <w:t xml:space="preserve">People want to be informed and able to see what is hidden from them.</w:t>
      </w:r>
    </w:p>
    <w:p>
      <w:pPr>
        <w:numPr>
          <w:ilvl w:val="0"/>
          <w:numId w:val="1003"/>
        </w:numPr>
        <w:pStyle w:val="Compact"/>
      </w:pPr>
      <w:r>
        <w:t xml:space="preserve">Access to this data has to be effective.</w:t>
      </w:r>
    </w:p>
    <w:p>
      <w:pPr>
        <w:numPr>
          <w:ilvl w:val="0"/>
          <w:numId w:val="1003"/>
        </w:numPr>
        <w:pStyle w:val="Compact"/>
      </w:pPr>
      <w:r>
        <w:t xml:space="preserve">Access needs to be available at the right time, and ongoing.</w:t>
      </w:r>
    </w:p>
    <w:p>
      <w:pPr>
        <w:numPr>
          <w:ilvl w:val="0"/>
          <w:numId w:val="1003"/>
        </w:numPr>
        <w:pStyle w:val="Compact"/>
      </w:pPr>
      <w:r>
        <w:t xml:space="preserve">Systemic support is needed, including governancy, advocacy and asssistance</w:t>
      </w:r>
    </w:p>
    <w:p>
      <w:pPr>
        <w:numPr>
          <w:ilvl w:val="0"/>
          <w:numId w:val="1003"/>
        </w:numPr>
        <w:pStyle w:val="Compact"/>
      </w:pPr>
      <w:r>
        <w:t xml:space="preserve">If data is not visible, this leads to subjection and exclusion.</w:t>
      </w:r>
    </w:p>
    <w:bookmarkEnd w:id="20"/>
    <w:bookmarkStart w:id="21" w:name="understandable"/>
    <w:p>
      <w:pPr>
        <w:pStyle w:val="Heading3"/>
      </w:pPr>
      <w:r>
        <w:rPr>
          <w:rStyle w:val="SectionNumber"/>
        </w:rPr>
        <w:t xml:space="preserve">1.1.2</w:t>
      </w:r>
      <w:r>
        <w:tab/>
      </w:r>
      <w:r>
        <w:t xml:space="preserve">Understandable</w:t>
      </w:r>
    </w:p>
    <w:p>
      <w:pPr>
        <w:numPr>
          <w:ilvl w:val="0"/>
          <w:numId w:val="1004"/>
        </w:numPr>
        <w:pStyle w:val="Compact"/>
      </w:pPr>
      <w:r>
        <w:t xml:space="preserve">Access to data is not enough, need to be able to interpret it.</w:t>
      </w:r>
    </w:p>
    <w:p>
      <w:pPr>
        <w:numPr>
          <w:ilvl w:val="0"/>
          <w:numId w:val="1004"/>
        </w:numPr>
        <w:pStyle w:val="Compact"/>
      </w:pPr>
      <w:r>
        <w:t xml:space="preserve">Understandable summaries of information content and context are needed.</w:t>
      </w:r>
    </w:p>
    <w:p>
      <w:pPr>
        <w:numPr>
          <w:ilvl w:val="0"/>
          <w:numId w:val="1004"/>
        </w:numPr>
        <w:pStyle w:val="Compact"/>
      </w:pPr>
      <w:r>
        <w:t xml:space="preserve">Information and visualisations should be arranged and optimised for understanding.</w:t>
      </w:r>
    </w:p>
    <w:p>
      <w:pPr>
        <w:numPr>
          <w:ilvl w:val="0"/>
          <w:numId w:val="1004"/>
        </w:numPr>
        <w:pStyle w:val="Compact"/>
      </w:pPr>
      <w:r>
        <w:t xml:space="preserve">Information becomes most meaningful when it is recognisable and relatable and can be mapped back to life experiences.</w:t>
      </w:r>
    </w:p>
    <w:p>
      <w:pPr>
        <w:numPr>
          <w:ilvl w:val="0"/>
          <w:numId w:val="1004"/>
        </w:numPr>
        <w:pStyle w:val="Compact"/>
      </w:pPr>
      <w:r>
        <w:t xml:space="preserve">In practice, ongoing human support is needed to facilitate the understanding of data.</w:t>
      </w:r>
    </w:p>
    <w:p>
      <w:pPr>
        <w:numPr>
          <w:ilvl w:val="0"/>
          <w:numId w:val="1004"/>
        </w:numPr>
        <w:pStyle w:val="Compact"/>
      </w:pPr>
      <w:r>
        <w:t xml:space="preserve">If data is not understandable, distrust can arise.</w:t>
      </w:r>
    </w:p>
    <w:bookmarkEnd w:id="21"/>
    <w:bookmarkStart w:id="22" w:name="useable"/>
    <w:p>
      <w:pPr>
        <w:pStyle w:val="Heading3"/>
      </w:pPr>
      <w:r>
        <w:rPr>
          <w:rStyle w:val="SectionNumber"/>
        </w:rPr>
        <w:t xml:space="preserve">1.1.3</w:t>
      </w:r>
      <w:r>
        <w:tab/>
      </w:r>
      <w:r>
        <w:t xml:space="preserve">Useable</w:t>
      </w:r>
    </w:p>
    <w:p>
      <w:pPr>
        <w:numPr>
          <w:ilvl w:val="0"/>
          <w:numId w:val="1005"/>
        </w:numPr>
        <w:pStyle w:val="Compact"/>
      </w:pPr>
      <w:r>
        <w:t xml:space="preserve">People need to be able to explore and interrogate data and ask questions of it.</w:t>
      </w:r>
    </w:p>
    <w:p>
      <w:pPr>
        <w:numPr>
          <w:ilvl w:val="0"/>
          <w:numId w:val="1005"/>
        </w:numPr>
        <w:pStyle w:val="Compact"/>
      </w:pPr>
      <w:r>
        <w:t xml:space="preserve">The data needs to be useable, which means correctly formatted and explained in a portable and standardised form.</w:t>
      </w:r>
    </w:p>
    <w:p>
      <w:pPr>
        <w:numPr>
          <w:ilvl w:val="0"/>
          <w:numId w:val="1005"/>
        </w:numPr>
        <w:pStyle w:val="Compact"/>
      </w:pPr>
      <w:r>
        <w:t xml:space="preserve">The data needs to be explorable from a temporal perspective, which implies the ability to interact with the data is necessary.</w:t>
      </w:r>
    </w:p>
    <w:p>
      <w:pPr>
        <w:numPr>
          <w:ilvl w:val="0"/>
          <w:numId w:val="1005"/>
        </w:numPr>
        <w:pStyle w:val="Compact"/>
      </w:pPr>
      <w:r>
        <w:t xml:space="preserve">If holders make data unusable, this is a barrier to individual agency and power.</w:t>
      </w:r>
    </w:p>
    <w:p>
      <w:pPr>
        <w:numPr>
          <w:ilvl w:val="0"/>
          <w:numId w:val="1005"/>
        </w:numPr>
        <w:pStyle w:val="Compact"/>
      </w:pPr>
      <w:r>
        <w:t xml:space="preserve">Unusable data leads to disengagement and impairs individual independent action in society.</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6"/>
        </w:numPr>
        <w:pStyle w:val="Compact"/>
      </w:pPr>
      <w:r>
        <w:rPr>
          <w:i/>
        </w:rPr>
        <w:t xml:space="preserve">Transparency</w:t>
      </w:r>
      <w:r>
        <w:t xml:space="preserve">: People need to know what data is being collected or held, and how it is being used, for accountability and safety,</w:t>
      </w:r>
    </w:p>
    <w:p>
      <w:pPr>
        <w:numPr>
          <w:ilvl w:val="0"/>
          <w:numId w:val="1006"/>
        </w:numPr>
        <w:pStyle w:val="Compact"/>
      </w:pPr>
      <w:r>
        <w:rPr>
          <w:i/>
        </w:rPr>
        <w:t xml:space="preserve">Oversight</w:t>
      </w:r>
      <w:r>
        <w:t xml:space="preserve">: People need the ability to affect what data is held and how it is used, including deleting data or withdrawing consent for certain uses,</w:t>
      </w:r>
    </w:p>
    <w:p>
      <w:pPr>
        <w:numPr>
          <w:ilvl w:val="0"/>
          <w:numId w:val="1006"/>
        </w:numPr>
        <w:pStyle w:val="Compact"/>
      </w:pPr>
      <w:r>
        <w:rPr>
          <w:i/>
        </w:rPr>
        <w:t xml:space="preserve">Involvement</w:t>
      </w:r>
      <w:r>
        <w:t xml:space="preserve">: People need to be invited and involved in decision-making based upon their data, so that they are not misrepresented and their needs are not overlooked.</w:t>
      </w:r>
    </w:p>
    <w:p>
      <w:pPr>
        <w:pStyle w:val="FirstParagraph"/>
      </w:pPr>
      <w:r>
        <w:t xml:space="preserve">These wants are detailed in the following sections:</w:t>
      </w:r>
    </w:p>
    <w:bookmarkStart w:id="24" w:name="transparency"/>
    <w:p>
      <w:pPr>
        <w:pStyle w:val="Heading3"/>
      </w:pPr>
      <w:r>
        <w:rPr>
          <w:rStyle w:val="SectionNumber"/>
        </w:rPr>
        <w:t xml:space="preserve">1.2.1</w:t>
      </w:r>
      <w:r>
        <w:tab/>
      </w:r>
      <w:r>
        <w:t xml:space="preserve">Transparency</w:t>
      </w:r>
    </w:p>
    <w:p>
      <w:pPr>
        <w:numPr>
          <w:ilvl w:val="0"/>
          <w:numId w:val="1007"/>
        </w:numPr>
        <w:pStyle w:val="Compact"/>
      </w:pPr>
      <w:r>
        <w:t xml:space="preserve">People need a window into how one’s data is used - process transparency.</w:t>
      </w:r>
    </w:p>
    <w:p>
      <w:pPr>
        <w:numPr>
          <w:ilvl w:val="0"/>
          <w:numId w:val="1007"/>
        </w:numPr>
        <w:pStyle w:val="Compact"/>
      </w:pPr>
      <w:r>
        <w:t xml:space="preserve">Process transparency is required to enable accountability.</w:t>
      </w:r>
    </w:p>
    <w:p>
      <w:pPr>
        <w:numPr>
          <w:ilvl w:val="0"/>
          <w:numId w:val="1007"/>
        </w:numPr>
        <w:pStyle w:val="Compact"/>
      </w:pPr>
      <w:r>
        <w:t xml:space="preserve">There is no accountability, processes are not transparent, and thus power remains imbalanced.</w:t>
      </w:r>
    </w:p>
    <w:p>
      <w:pPr>
        <w:numPr>
          <w:ilvl w:val="0"/>
          <w:numId w:val="1007"/>
        </w:numPr>
        <w:pStyle w:val="Compact"/>
      </w:pPr>
      <w:r>
        <w:t xml:space="preserve">Even after using available transparency rights, people face an incomplete picture from and of their data.</w:t>
      </w:r>
    </w:p>
    <w:p>
      <w:pPr>
        <w:numPr>
          <w:ilvl w:val="0"/>
          <w:numId w:val="1007"/>
        </w:numPr>
        <w:pStyle w:val="Compact"/>
      </w:pPr>
      <w:r>
        <w:t xml:space="preserve">Trust of data holders is needed, and gaps in transparency create distrust and a risk of broken expectations, harming relations.</w:t>
      </w:r>
    </w:p>
    <w:p>
      <w:pPr>
        <w:numPr>
          <w:ilvl w:val="0"/>
          <w:numId w:val="1007"/>
        </w:numPr>
        <w:pStyle w:val="Compact"/>
      </w:pPr>
      <w:r>
        <w:t xml:space="preserve">Trust can be gained through transparency, which offers an opportunity to improve relations.</w:t>
      </w:r>
    </w:p>
    <w:p>
      <w:pPr>
        <w:numPr>
          <w:ilvl w:val="0"/>
          <w:numId w:val="1007"/>
        </w:numPr>
        <w:pStyle w:val="Compact"/>
      </w:pPr>
      <w:r>
        <w:t xml:space="preserve">Transparency of data and processes enables individual action and facilitates the levelling of power balance.</w:t>
      </w:r>
    </w:p>
    <w:bookmarkEnd w:id="24"/>
    <w:bookmarkStart w:id="25" w:name="oversight"/>
    <w:p>
      <w:pPr>
        <w:pStyle w:val="Heading3"/>
      </w:pPr>
      <w:r>
        <w:rPr>
          <w:rStyle w:val="SectionNumber"/>
        </w:rPr>
        <w:t xml:space="preserve">1.2.2</w:t>
      </w:r>
      <w:r>
        <w:tab/>
      </w:r>
      <w:r>
        <w:t xml:space="preserve">Oversight</w:t>
      </w:r>
    </w:p>
    <w:p>
      <w:pPr>
        <w:numPr>
          <w:ilvl w:val="0"/>
          <w:numId w:val="1008"/>
        </w:numPr>
        <w:pStyle w:val="Compact"/>
      </w:pPr>
      <w:r>
        <w:t xml:space="preserve">Data visibility + Process transparency naturally lead to a desire for individual oversight - if you see something that is</w:t>
      </w:r>
      <w:r>
        <w:t xml:space="preserve"> </w:t>
      </w:r>
      <w:r>
        <w:t xml:space="preserve">‘</w:t>
      </w:r>
      <w:r>
        <w:t xml:space="preserve">not right</w:t>
      </w:r>
      <w:r>
        <w:t xml:space="preserve">’</w:t>
      </w:r>
      <w:r>
        <w:t xml:space="preserve">, you are motivated to want to fix it.</w:t>
      </w:r>
    </w:p>
    <w:p>
      <w:pPr>
        <w:numPr>
          <w:ilvl w:val="0"/>
          <w:numId w:val="1008"/>
        </w:numPr>
        <w:pStyle w:val="Compact"/>
      </w:pPr>
      <w:r>
        <w:t xml:space="preserve">We need to be able to oversee data use for fairness, accuracy and the reduction of risk.</w:t>
      </w:r>
    </w:p>
    <w:p>
      <w:pPr>
        <w:numPr>
          <w:ilvl w:val="0"/>
          <w:numId w:val="1008"/>
        </w:numPr>
        <w:pStyle w:val="Compact"/>
      </w:pPr>
      <w:r>
        <w:t xml:space="preserve">The ability for individuals to meaningfully oversee the use of their data requires governance, so that they can effect the changes they desire.</w:t>
      </w:r>
    </w:p>
    <w:p>
      <w:pPr>
        <w:numPr>
          <w:ilvl w:val="0"/>
          <w:numId w:val="1008"/>
        </w:numPr>
        <w:pStyle w:val="Compact"/>
      </w:pPr>
      <w:r>
        <w:t xml:space="preserve">Individual oversight of data use brings the individual back to the centre of their data ecosystem as as an active participant.</w:t>
      </w:r>
    </w:p>
    <w:p>
      <w:pPr>
        <w:numPr>
          <w:ilvl w:val="0"/>
          <w:numId w:val="1008"/>
        </w:numPr>
        <w:pStyle w:val="Compact"/>
      </w:pPr>
      <w:r>
        <w:t xml:space="preserve">Given the changing nature of human life, all data is dynamic, consent is never complete, so longitudinal participation and oversight is needed.</w:t>
      </w:r>
    </w:p>
    <w:p>
      <w:pPr>
        <w:numPr>
          <w:ilvl w:val="0"/>
          <w:numId w:val="1008"/>
        </w:numPr>
        <w:pStyle w:val="Compact"/>
      </w:pPr>
      <w:r>
        <w:t xml:space="preserve">There is very little oversight and governance available today.</w:t>
      </w:r>
    </w:p>
    <w:p>
      <w:pPr>
        <w:numPr>
          <w:ilvl w:val="0"/>
          <w:numId w:val="1008"/>
        </w:numPr>
        <w:pStyle w:val="Compact"/>
      </w:pPr>
      <w:r>
        <w:t xml:space="preserve">Ultimately oversight means having choices, which is essential in the data-centric world.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numPr>
          <w:ilvl w:val="0"/>
          <w:numId w:val="1009"/>
        </w:numPr>
        <w:pStyle w:val="Compact"/>
      </w:pPr>
      <w:r>
        <w:t xml:space="preserve">There is a need to consider the human behind the data, people are not records and can never be fully reduced to data.</w:t>
      </w:r>
    </w:p>
    <w:p>
      <w:pPr>
        <w:numPr>
          <w:ilvl w:val="0"/>
          <w:numId w:val="1009"/>
        </w:numPr>
        <w:pStyle w:val="Compact"/>
      </w:pPr>
      <w:r>
        <w:t xml:space="preserve">Consent to access and use data needs to be dynamic and meaningful, which can only happen through ongoing involvement.</w:t>
      </w:r>
    </w:p>
    <w:p>
      <w:pPr>
        <w:numPr>
          <w:ilvl w:val="0"/>
          <w:numId w:val="1009"/>
        </w:numPr>
        <w:pStyle w:val="Compact"/>
      </w:pPr>
      <w:r>
        <w:t xml:space="preserve">A human channel for conversation is needed, to enable explanations, questions, and consultation.</w:t>
      </w:r>
    </w:p>
    <w:p>
      <w:pPr>
        <w:numPr>
          <w:ilvl w:val="0"/>
          <w:numId w:val="1009"/>
        </w:numPr>
        <w:pStyle w:val="Compact"/>
      </w:pPr>
      <w:r>
        <w:t xml:space="preserve">Individuals should be consulted in decision-making, which improves accuracy, consideration, and fairness.</w:t>
      </w:r>
    </w:p>
    <w:p>
      <w:pPr>
        <w:numPr>
          <w:ilvl w:val="0"/>
          <w:numId w:val="1009"/>
        </w:numPr>
        <w:pStyle w:val="Compact"/>
      </w:pPr>
      <w:r>
        <w:t xml:space="preserve">Effective collaboration can be achieved by bringing data subject and data holder together around the data, using it as evidence (of facts or opinions) and as a boundary object.</w:t>
      </w:r>
    </w:p>
    <w:p>
      <w:pPr>
        <w:numPr>
          <w:ilvl w:val="0"/>
          <w:numId w:val="1009"/>
        </w:numPr>
        <w:pStyle w:val="Compact"/>
      </w:pPr>
      <w:r>
        <w:t xml:space="preserve">Being involved means being able to learn and act at any time, including on one’s own and away from official contact or interactions with service representatives.</w:t>
      </w:r>
    </w:p>
    <w:p>
      <w:pPr>
        <w:numPr>
          <w:ilvl w:val="0"/>
          <w:numId w:val="1009"/>
        </w:numPr>
        <w:pStyle w:val="Compact"/>
      </w:pPr>
      <w:r>
        <w:t xml:space="preserve">Data use enforces an uneasy trust; services need a human face or point of contact, in order to earn trust and improve relations.</w:t>
      </w:r>
    </w:p>
    <w:p>
      <w:pPr>
        <w:numPr>
          <w:ilvl w:val="0"/>
          <w:numId w:val="1009"/>
        </w:numPr>
        <w:pStyle w:val="Compact"/>
      </w:pPr>
      <w:r>
        <w:t xml:space="preserve">Without involvement, people can never take a full and equitable role in processes that affect their life.</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numPr>
          <w:ilvl w:val="0"/>
          <w:numId w:val="1010"/>
        </w:numPr>
      </w:pPr>
      <w:r>
        <w:t xml:space="preserve">Through these summarised insights, I have shown a multifacted set of needs and opportunities around data access and use. While all six of these data wants can produce improvements in their own right, the combination of all six is likely to produce more than the sum of its parts, an empowered form of digital citizen.</w:t>
      </w:r>
    </w:p>
    <w:p>
      <w:pPr>
        <w:numPr>
          <w:ilvl w:val="0"/>
          <w:numId w:val="1010"/>
        </w:numPr>
      </w:pPr>
      <w:r>
        <w:t xml:space="preserve">Giving people a role as co-stewards of their own data and involved in decision-making would be progressive and transformative, and this could be applied in different domains across society.</w:t>
      </w:r>
    </w:p>
    <w:p>
      <w:pPr>
        <w:numPr>
          <w:ilvl w:val="0"/>
          <w:numId w:val="1010"/>
        </w:numPr>
      </w:pPr>
      <w:r>
        <w:t xml:space="preserve">We can envision from this a new fully human-centred (or at least power-balanced) future - cooperative data stewardship and empowered, involved citizens.</w:t>
      </w:r>
    </w:p>
    <w:bookmarkEnd w:id="28"/>
    <w:bookmarkEnd w:id="29"/>
    <w:bookmarkStart w:id="35" w:name="bibliography"/>
    <w:p>
      <w:pPr>
        <w:pStyle w:val="Heading1"/>
      </w:pPr>
      <w:r>
        <w:t xml:space="preserve">Bibliography</w:t>
      </w:r>
    </w:p>
    <w:bookmarkStart w:id="34" w:name="refs"/>
    <w:bookmarkStart w:id="3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30">
        <w:r>
          <w:rPr>
            <w:rStyle w:val="Hyperlink"/>
          </w:rPr>
          <w:t xml:space="preserve">10.5210/fm.v17i5.4013</w:t>
        </w:r>
      </w:hyperlink>
      <w:r>
        <w:t xml:space="preserve">.</w:t>
      </w:r>
    </w:p>
    <w:bookmarkEnd w:id="31"/>
    <w:bookmarkStart w:id="3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32">
        <w:r>
          <w:rPr>
            <w:rStyle w:val="Hyperlink"/>
          </w:rPr>
          <w:t xml:space="preserve">10.2139/ssrn.2508051</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i.org/10.2139/ssrn.2508051" TargetMode="External" /><Relationship Type="http://schemas.openxmlformats.org/officeDocument/2006/relationships/hyperlink" Id="rId30" Target="https://doi.org/10.5210/fm.v17i5.4013" TargetMode="External" /></Relationships>
</file>

<file path=word/_rels/footnotes.xml.rels><?xml version="1.0" encoding="UTF-8"?>
<Relationships xmlns="http://schemas.openxmlformats.org/package/2006/relationships"><Relationship Type="http://schemas.openxmlformats.org/officeDocument/2006/relationships/hyperlink" Id="rId32" Target="https://doi.org/10.2139/ssrn.2508051" TargetMode="External" /><Relationship Type="http://schemas.openxmlformats.org/officeDocument/2006/relationships/hyperlink" Id="rId30" Target="https://doi.org/10.5210/fm.v17i5.4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2022-01-30T17:46:09Z</dcterms:created>
  <dcterms:modified xsi:type="dcterms:W3CDTF">2022-01-30T17:46:09Z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