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3">
        <w:r>
          <w:rPr>
            <w:rStyle w:val="Hyperlink"/>
            <w:bCs/>
            <w:b/>
          </w:rPr>
          <w:t xml:space="preserve">13</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7.3.4.1</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(2.1)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5.4.2.1</w:t>
        </w:r>
      </w:hyperlink>
      <w:r>
        <w:t xml:space="preserve">,</w:t>
      </w:r>
      <w:r>
        <w:t xml:space="preserve"> </w:t>
      </w:r>
      <w:hyperlink w:anchor="X8ff615c03fc2afb91384f9ef05bab6acdbbe9e9">
        <w:r>
          <w:rPr>
            <w:rStyle w:val="Hyperlink"/>
          </w:rPr>
          <w:t xml:space="preserve">5.4.3.3</w:t>
        </w:r>
      </w:hyperlink>
      <w:r>
        <w:t xml:space="preserve">,</w:t>
      </w:r>
      <w:r>
        <w:t xml:space="preserve"> </w:t>
      </w:r>
      <w:hyperlink w:anchor="X38f625be2c0c748970e0e254c020e238dedd97d">
        <w:r>
          <w:rPr>
            <w:rStyle w:val="Hyperlink"/>
          </w:rPr>
          <w:t xml:space="preserve">5.4.4.1</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 –</w:t>
      </w:r>
      <w:r>
        <w:t xml:space="preserve"> </w:t>
      </w:r>
      <w:r>
        <w:rPr>
          <w:bCs/>
          <w:b/>
        </w:rPr>
        <w:t xml:space="preserve">an empowered digital citizen</w:t>
      </w:r>
      <w:r>
        <w:t xml:space="preserve">.</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4.3.4.3</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2022-08-10T11:30:27Z</dcterms:created>
  <dcterms:modified xsi:type="dcterms:W3CDTF">2022-08-10T11:30:27Z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