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 </w:t>
      </w:r>
      <w:r>
        <w:t xml:space="preserve">—Victor Hugo (19th century poet)</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Case Studies’ participants, what people want from direct RQ1 [</w:t>
      </w:r>
      <w:hyperlink w:anchor="RQ1">
        <w:r>
          <w:rPr>
            <w:rStyle w:val="Hyperlink"/>
          </w:rPr>
          <w:t xml:space="preserve">3.3.1</w:t>
        </w:r>
      </w:hyperlink>
      <w:r>
        <w:t xml:space="preserve">] and indirect RQ2 [</w:t>
      </w:r>
      <w:hyperlink w:anchor="RQ2">
        <w:r>
          <w:rPr>
            <w:rStyle w:val="Hyperlink"/>
          </w:rPr>
          <w:t xml:space="preserve">3.3.2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 the initial RQ [</w:t>
      </w:r>
      <w:hyperlink w:anchor="RQ">
        <w:r>
          <w:rPr>
            <w:rStyle w:val="Hyperlink"/>
          </w:rPr>
          <w:t xml:space="preserve">2.4</w:t>
        </w:r>
      </w:hyperlink>
      <w:r>
        <w:t xml:space="preserve">] which asks what relationship people want with their personal data, and explore how those desires could be met in practice:</w:t>
      </w:r>
    </w:p>
    <w:p>
      <w:pPr>
        <w:pStyle w:val="BlockText"/>
      </w:pPr>
      <w:r>
        <w:rPr>
          <w:bCs/>
          <w:b/>
        </w:rPr>
        <w:t xml:space="preserve">“</w:t>
      </w:r>
      <w:r>
        <w:rPr>
          <w:bCs/>
          <w:b/>
        </w:rPr>
        <w:t xml:space="preserve">Having understood what relationship people want with their personal data, how might these better data relations be achieved?</w:t>
      </w:r>
      <w:r>
        <w:rPr>
          <w:bCs/>
          <w:b/>
        </w:rPr>
        <w:t xml:space="preserve">”</w:t>
      </w:r>
    </w:p>
    <w:p>
      <w:pPr>
        <w:pStyle w:val="FirstParagraph"/>
      </w:pPr>
      <w:r>
        <w:t xml:space="preserve">Methodologically, Part Two is distinct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Part One’s findings become material for myself as an adversarial designer, informing ideas for technical and societal changes that can bring about better data relations.</w:t>
      </w:r>
      <w:r>
        <w:t xml:space="preserve"> </w:t>
      </w:r>
      <w:hyperlink w:anchor="Xd90f00e19f5543904caf9ab2abd5b800e0613c0">
        <w:r>
          <w:rPr>
            <w:rStyle w:val="Hyperlink"/>
          </w:rPr>
          <w:t xml:space="preserve">7.2</w:t>
        </w:r>
      </w:hyperlink>
      <w:r>
        <w:t xml:space="preserve"> </w:t>
      </w:r>
      <w:r>
        <w:t xml:space="preserve">describes the peripheral R&amp;D activities I undertook, which form the basis of learning for Part Two.</w:t>
      </w:r>
    </w:p>
    <w:p>
      <w:pPr>
        <w:pStyle w:val="BodyText"/>
      </w:pPr>
      <w:r>
        <w:t xml:space="preserve">The wide-reaching objective of achieving better data relations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real-world practical designs and insights, as well as from the work of other innovators and activists, and is contextualised relative to existing literature and the thesis’s earlier contributions. As such, it will be necessary to introduce some new literature and external references throughout Part Two,. This is because it is only through reflection upon the findings of Part One from this new perspective that the particular practical and activist avenues that Part Two will need to explore become evident.</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w:t>
      </w:r>
      <w:r>
        <w:t xml:space="preserve">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earlier [</w:t>
      </w:r>
      <w:hyperlink w:anchor="Xac4b03419be9dd1ca94c3c927e170560d480f68">
        <w:r>
          <w:rPr>
            <w:rStyle w:val="Hyperlink"/>
          </w:rPr>
          <w:t xml:space="preserve">3.6</w:t>
        </w:r>
      </w:hyperlink>
      <w:r>
        <w:t xml:space="preserve">], Part Two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PDE space [</w:t>
      </w:r>
      <w:hyperlink w:anchor="X7b06b2486a051055e43ae1127e87196d505e2f3">
        <w:r>
          <w:rPr>
            <w:rStyle w:val="Hyperlink"/>
          </w:rPr>
          <w:t xml:space="preserve">2.3.4</w:t>
        </w:r>
      </w:hyperlink>
      <w:r>
        <w:t xml:space="preserve">] as both developer and researcher. Through field experience, I have understood constraints and opportunities that affect data interaction system and process design. Concurrently,I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Human Data Relations (which I define below)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ri-bbc">
        <w:r>
          <w:rPr>
            <w:rStyle w:val="Hyperlink"/>
          </w:rPr>
          <w:t xml:space="preserve">ARI7.1</w:t>
        </w:r>
      </w:hyperlink>
      <w:r>
        <w:t xml:space="preserve">];</w:t>
      </w:r>
    </w:p>
    <w:p>
      <w:pPr>
        <w:numPr>
          <w:ilvl w:val="0"/>
          <w:numId w:val="1001"/>
        </w:numPr>
        <w:pStyle w:val="Compact"/>
      </w:pPr>
      <w:r>
        <w:rPr>
          <w:bCs/>
          <w:b/>
        </w:rPr>
        <w:t xml:space="preserve">Sitra/Hestia.ai’s</w:t>
      </w:r>
      <w:r>
        <w:rPr>
          <w:bCs/>
          <w:b/>
        </w:rPr>
        <w:t xml:space="preserve"> </w:t>
      </w:r>
      <w:r>
        <w:rPr>
          <w:iCs/>
          <w:i/>
          <w:bCs/>
          <w:b/>
        </w:rPr>
        <w:t xml:space="preserve">digipower</w:t>
      </w:r>
      <w:r>
        <w:rPr>
          <w:bCs/>
          <w:b/>
        </w:rPr>
        <w:t xml:space="preserve"> </w:t>
      </w:r>
      <w:r>
        <w:rPr>
          <w:bCs/>
          <w:b/>
        </w:rPr>
        <w:t xml:space="preserve">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ri-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workers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w:t>
      </w:r>
      <w:r>
        <w:t xml:space="preserve"> </w:t>
      </w:r>
      <w:r>
        <w:rPr>
          <w:iCs/>
          <w:i/>
        </w:rPr>
        <w:t xml:space="preserve">Just Eat</w:t>
      </w:r>
      <w:r>
        <w:t xml:space="preserve"> </w:t>
      </w:r>
      <w:r>
        <w:t xml:space="preserve">to include health information, in support of healthy eating [see</w:t>
      </w:r>
      <w:r>
        <w:t xml:space="preserve"> </w:t>
      </w:r>
      <w:hyperlink w:anchor="ari-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ARI7.4</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iCs/>
          <w:i/>
        </w:rPr>
        <w:t xml:space="preserve">visible</w:t>
      </w:r>
      <w:r>
        <w:t xml:space="preserve">,</w:t>
      </w:r>
      <w:r>
        <w:t xml:space="preserve"> </w:t>
      </w:r>
      <w:r>
        <w:rPr>
          <w:iCs/>
          <w:i/>
        </w:rPr>
        <w:t xml:space="preserve">understandable</w:t>
      </w:r>
      <w:r>
        <w:t xml:space="preserve"> </w:t>
      </w:r>
      <w:r>
        <w:t xml:space="preserve">and</w:t>
      </w:r>
      <w:r>
        <w:t xml:space="preserve"> </w:t>
      </w:r>
      <w:r>
        <w:rPr>
          <w:iCs/>
          <w:i/>
        </w:rPr>
        <w:t xml:space="preserve">useable data</w:t>
      </w:r>
      <w:r>
        <w:t xml:space="preserve">;</w:t>
      </w:r>
      <w:r>
        <w:t xml:space="preserve"> </w:t>
      </w:r>
      <w:r>
        <w:rPr>
          <w:iCs/>
          <w:i/>
        </w:rPr>
        <w:t xml:space="preserve">process transparency</w:t>
      </w:r>
      <w:r>
        <w:t xml:space="preserve">,</w:t>
      </w:r>
      <w:r>
        <w:t xml:space="preserve"> </w:t>
      </w:r>
      <w:r>
        <w:rPr>
          <w:iCs/>
          <w:i/>
        </w:rPr>
        <w:t xml:space="preserve">individual oversight</w:t>
      </w:r>
      <w:r>
        <w:t xml:space="preserve"> </w:t>
      </w:r>
      <w:r>
        <w:t xml:space="preserve">and</w:t>
      </w:r>
      <w:r>
        <w:t xml:space="preserve"> </w:t>
      </w:r>
      <w:r>
        <w:rPr>
          <w:iCs/>
          <w:i/>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 Definition of Human Data Relations (HDR)</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empower individuals [</w:t>
      </w:r>
      <w:hyperlink w:anchor="X3c10c50990743199cc887aaacd3f88a0a0a026e">
        <w:r>
          <w:rPr>
            <w:rStyle w:val="Hyperlink"/>
          </w:rPr>
          <w:t xml:space="preserve">6.3</w:t>
        </w:r>
      </w:hyperlink>
      <w:r>
        <w:t xml:space="preserve">] through pursuit of the identified six wants for data relations. However, as this section will explain, HDR is motivated in two distinct ways, to which those wants apply differently. As background understanding, the next section will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iCs/>
          <w:i/>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wants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 </w:t>
      </w:r>
      <w:r>
        <w:t xml:space="preserve">(a.k.a.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I call this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I call this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the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15</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is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Where Part One embraced participatory investigation, Part Two steps forward in the role of activist researcher, exploring how individuals and groups can actually change their world to meet the established understanding of what should change.</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 [</w:t>
      </w:r>
      <w:hyperlink w:anchor="X45e32c46f7e4c62bee31afa96b4897ccff22bdb">
        <w:r>
          <w:rPr>
            <w:rStyle w:val="Hyperlink"/>
          </w:rPr>
          <w:t xml:space="preserve">7.8</w:t>
        </w:r>
      </w:hyperlink>
      <w:r>
        <w:t xml:space="preserve">] 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exist, whether named or not. Therefore, Part Two takes an unashamedly critical view of the status quo, favouring the disruptive societal changes these movements seek. Part Two aspires to provide actionable approaches for all HDR reform practitioners, by asking:</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Alternative interpretations and schools of thought than HDR exist.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2022-08-25T07:36:01Z</dcterms:created>
  <dcterms:modified xsi:type="dcterms:W3CDTF">2022-08-25T07:36:01Z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