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SourceCode"/>
      </w:pPr>
      <w:r>
        <w:rPr>
          <w:rStyle w:val="VerbatimChar"/>
        </w:rPr>
        <w:t xml:space="preserve">"The world is working exactly as designed. And it's not working very well. Which means we need to do a better job of designing it." ——_Mike Monteiro, author of 'Ruined by Design'_</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w:t>
      </w:r>
      <w:r>
        <w:t xml:space="preserve">‘</w:t>
      </w:r>
      <w:r>
        <w:t xml:space="preserve">s Research and Development department, working with specialists, designers, researchers and developers on an exploratory research project codenamed ’Cornmarket</w:t>
      </w:r>
      <w: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161bdfc1ae8361c48677c1758f8a3c70ba95c8e"/>
    <w:p>
      <w:pPr>
        <w:pStyle w:val="Heading2"/>
      </w:pPr>
      <w:r>
        <w:rPr>
          <w:rStyle w:val="SectionNumber"/>
        </w:rPr>
        <w:t xml:space="preserve">1.1</w:t>
      </w:r>
      <w:r>
        <w:tab/>
      </w:r>
      <w:r>
        <w:t xml:space="preserve">Context: Designing and Building a Personal Data Store with BBC R&amp;D</w:t>
      </w:r>
    </w:p>
    <w:p>
      <w:pPr>
        <w:pStyle w:val="FirstParagraph"/>
      </w:pPr>
      <w:r>
        <w:t xml:space="preserve">[target 600 words]</w:t>
      </w:r>
    </w:p>
    <w:bookmarkEnd w:id="20"/>
    <w:bookmarkStart w:id="21" w:name="the-internship"/>
    <w:p>
      <w:pPr>
        <w:pStyle w:val="Heading2"/>
      </w:pPr>
      <w:r>
        <w:rPr>
          <w:rStyle w:val="SectionNumber"/>
        </w:rPr>
        <w:t xml:space="preserve">1.2</w:t>
      </w:r>
      <w:r>
        <w:tab/>
      </w:r>
      <w:r>
        <w:t xml:space="preserve">The Internship</w:t>
      </w:r>
    </w:p>
    <w:p>
      <w:pPr>
        <w:pStyle w:val="FirstParagraph"/>
      </w:pPr>
      <w:r>
        <w:t xml:space="preserve">[target 700 words]</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2021-08-02T15:53:55Z</dcterms:created>
  <dcterms:modified xsi:type="dcterms:W3CDTF">2021-08-02T15:53:55Z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