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jpg" ContentType="image/jpeg"/>
  <Override PartName="/word/media/rId6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94"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6"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describes practical approaches for future research and innovation. This is not intended to form a complete or exhaustive roadmap; it is a snapshot of ongoing work, identified challenges and known opportunities, forming an</w:t>
      </w:r>
      <w:r>
        <w:t xml:space="preserve"> </w:t>
      </w:r>
      <w:r>
        <w:rPr>
          <w:i/>
        </w:rPr>
        <w:t xml:space="preserve">anthology of reference material</w:t>
      </w:r>
      <w:r>
        <w:t xml:space="preserve"> </w:t>
      </w:r>
      <w:r>
        <w:t xml:space="preserve">for designers and innovators in this space. These ideas are illustrated through real world insights and activities from the four industrial and academic research projects I was part of, and from the work of other innovators and activists. This chapter also builds upon the theoretical insights from the Case Studies in order to inform the design of future research, innovation and policy as to how the better Human Data Relations conceived in this thesis thus far might be achieved.</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cover them all nor to be formal empirical research. However I have been fortunate to have undertaken, during the same time period as I have been working on this PhD but outside of the research, direct embedded work in personal data interaction related projects (3.4.3) in academic and industrial research that directly contribute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7.1.4, I consider the researcher-turned-activist stance that drives this chapter, framing the pursuit of better HDR as a</w:t>
      </w:r>
      <w:r>
        <w:t xml:space="preserve"> </w:t>
      </w:r>
      <w:r>
        <w:rPr>
          <w:i/>
        </w:rPr>
        <w:t xml:space="preserve">recursive public</w:t>
      </w:r>
      <w:r>
        <w:t xml:space="preserv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prototype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or augmented through my close collaboration, discussion and ideation with other researchers, including:</w:t>
      </w:r>
    </w:p>
    <w:p>
      <w:pPr>
        <w:numPr>
          <w:ilvl w:val="0"/>
          <w:numId w:val="1003"/>
        </w:numPr>
        <w:pStyle w:val="Compact"/>
      </w:pPr>
      <w:r>
        <w:t xml:space="preserve">Jasmine Cox, Suzanne Clarke, Tim Broom, Alex Ballantyne and others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numPr>
          <w:ilvl w:val="0"/>
          <w:numId w:val="1003"/>
        </w:numPr>
        <w:pStyle w:val="Compact"/>
      </w:pPr>
      <w:r>
        <w:t xml:space="preserve">earlier innovation work with Alistair Croll at Rednod, Montréal, Canada (circa 2011) and with Megan Beynon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theory will be used in a very limited way, not as a methodology but simply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section 7.3 will use as its frame. Specifically, desired changes can be broken down into:</w:t>
      </w:r>
    </w:p>
    <w:p>
      <w:pPr>
        <w:numPr>
          <w:ilvl w:val="0"/>
          <w:numId w:val="1004"/>
        </w:numPr>
        <w:pStyle w:val="Compact"/>
      </w:pPr>
      <w:r>
        <w:rPr>
          <w:b/>
          <w:i/>
        </w:rPr>
        <w:t xml:space="preserve">Internal changes</w:t>
      </w:r>
      <w:r>
        <w:t xml:space="preserve">: changes in thinking, feeling, reasoning, understanding, attitudes or identity.</w:t>
      </w:r>
    </w:p>
    <w:p>
      <w:pPr>
        <w:numPr>
          <w:ilvl w:val="0"/>
          <w:numId w:val="1004"/>
        </w:numPr>
        <w:pStyle w:val="Compact"/>
      </w:pPr>
      <w:r>
        <w:rPr>
          <w:b/>
          <w:i/>
        </w:rPr>
        <w:t xml:space="preserve">External changes</w:t>
      </w:r>
      <w:r>
        <w:t xml:space="preserve">: changes in actions, behaviour, interactions, structure, policy, technological capability, processes and the external environment.</w:t>
      </w:r>
    </w:p>
    <w:p>
      <w:pPr>
        <w:pStyle w:val="FirstParagraph"/>
      </w:pPr>
      <w:r>
        <w:t xml:space="preserve">At the same time, desired changes can be broken down into:</w:t>
      </w:r>
    </w:p>
    <w:p>
      <w:pPr>
        <w:numPr>
          <w:ilvl w:val="0"/>
          <w:numId w:val="1005"/>
        </w:numPr>
        <w:pStyle w:val="Compact"/>
      </w:pPr>
      <w:r>
        <w:rPr>
          <w:b/>
          <w:i/>
        </w:rPr>
        <w:t xml:space="preserve">Individual changes</w:t>
      </w:r>
      <w:r>
        <w:t xml:space="preserve">: changes to individual thought or actions</w:t>
      </w:r>
    </w:p>
    <w:p>
      <w:pPr>
        <w:numPr>
          <w:ilvl w:val="0"/>
          <w:numId w:val="1005"/>
        </w:numPr>
        <w:pStyle w:val="Compact"/>
      </w:pPr>
      <w:r>
        <w:rPr>
          <w:b/>
          <w:i/>
        </w:rPr>
        <w:t xml:space="preserve">Collective changes</w:t>
      </w:r>
      <w:r>
        <w:t xml:space="preserve">: changes to the thoughts or actions of groups of people together, or to the systems, practices and norms of society at large.</w:t>
      </w:r>
    </w:p>
    <w:p>
      <w:pPr>
        <w:pStyle w:val="FirstParagraph"/>
      </w:pPr>
      <w:r>
        <w:t xml:space="preserve">These two splits produce four dimensions of change, and form four quadrants representing different types of change, which are shown in Figure 29 and described here:</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Start w:id="25" w:name="Xcce4c16371aac8788da00da0dc3d2ec7b2e508b"/>
    <w:p>
      <w:pPr>
        <w:pStyle w:val="Heading3"/>
      </w:pPr>
      <w:r>
        <w:rPr>
          <w:rStyle w:val="SectionNumber"/>
        </w:rPr>
        <w:t xml:space="preserve">1.1.4</w:t>
      </w:r>
      <w:r>
        <w:tab/>
      </w:r>
      <w:r>
        <w:t xml:space="preserve">Better Human Data Relations as a Recursive Public</w:t>
      </w:r>
    </w:p>
    <w:p>
      <w:pPr>
        <w:pStyle w:val="FirstParagraph"/>
      </w:pPr>
      <w:r>
        <w:t xml:space="preserve">Before engaging with the practicalities of pursuing change, it is valuable to revisit the stance from which we approach this change. As outlined in 3.2, the research of this PhD has been grounded in participatory action research and experience-centred design; by using a 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frame to gain deep understanding of people’s needs and the ways those needs are not fully met, we can see how the world needs to change. Section 3.2 already outlined that we can consider such research as political, seeking to correct an imbalance in the world. In this chapter, we look beyond identifying what change is needed, and step into the role of activist, exploring how individuals and groups can actually change the world they inhabit.</w:t>
      </w:r>
    </w:p>
    <w:p>
      <w:pPr>
        <w:pStyle w:val="BodyText"/>
      </w:pPr>
      <w:r>
        <w:t xml:space="preserve">In doing so, we can consider ourselves (those who pursue better Human Data Relations) as a</w:t>
      </w:r>
      <w:r>
        <w:t xml:space="preserve"> </w:t>
      </w:r>
      <w:r>
        <w:rPr>
          <w:i/>
        </w:rPr>
        <w:t xml:space="preserve">recursive public</w:t>
      </w:r>
      <w:r>
        <w:t xml:space="preserve"> </w:t>
      </w:r>
      <w:r>
        <w:t xml:space="preserve">(Kelty,</w:t>
      </w:r>
      <w:r>
        <w:t xml:space="preserve"> </w:t>
      </w:r>
      <w:hyperlink w:anchor="ref-kelty2008">
        <w:r>
          <w:rPr>
            <w:rStyle w:val="Hyperlink"/>
          </w:rPr>
          <w:t xml:space="preserve">2008</w:t>
        </w:r>
      </w:hyperlink>
      <w:r>
        <w:t xml:space="preserve">; ‘Recursive Public (Discussion Page)’,</w:t>
      </w:r>
      <w:r>
        <w:t xml:space="preserve"> </w:t>
      </w:r>
      <w:hyperlink w:anchor="ref-p2pwikiRecursivePublic">
        <w:r>
          <w:rPr>
            <w:rStyle w:val="Hyperlink"/>
          </w:rPr>
          <w:t xml:space="preserve">no date</w:t>
        </w:r>
      </w:hyperlink>
      <w:r>
        <w:t xml:space="preserve">)</w:t>
      </w:r>
      <w:r>
        <w:t xml:space="preserve">, albeit a nascent one. This is a term originating in the free software movement to describe a</w:t>
      </w:r>
      <w:r>
        <w:t xml:space="preserve"> </w:t>
      </w:r>
      <w:r>
        <w:rPr>
          <w:i/>
        </w:rPr>
        <w:t xml:space="preserve">“</w:t>
      </w:r>
      <w:r>
        <w:rPr>
          <w:i/>
        </w:rPr>
        <w:t xml:space="preserve">collective, independent of other forms of constituted power, capable of speaking to existing forms of power through the production of actually existing alternatives</w:t>
      </w:r>
      <w:r>
        <w:rPr>
          <w:i/>
        </w:rPr>
        <w:t xml:space="preserve">”</w:t>
      </w:r>
      <w:r>
        <w:t xml:space="preserve">. This term captures the idea that through various means at our disposal: participatory research, experience-centred design, engineering software prototypes, exertion of legal rights, and efforts to raise public awareness, we seek to modify the systems and practices we live within in pursuit of our goals. This collective around better Human Data Relations does not yet exist as a named and identifiable</w:t>
      </w:r>
      <w:r>
        <w:t xml:space="preserve"> </w:t>
      </w:r>
      <w:r>
        <w:rPr>
          <w:i/>
        </w:rPr>
        <w:t xml:space="preserve">public</w:t>
      </w:r>
      <w:r>
        <w:t xml:space="preserve"> </w:t>
      </w:r>
      <w:r>
        <w:t xml:space="preserve">(Le Dantec,</w:t>
      </w:r>
      <w:r>
        <w:t xml:space="preserve"> </w:t>
      </w:r>
      <w:hyperlink w:anchor="ref-ledantec2016">
        <w:r>
          <w:rPr>
            <w:rStyle w:val="Hyperlink"/>
          </w:rPr>
          <w:t xml:space="preserve">2016</w:t>
        </w:r>
      </w:hyperlink>
      <w:r>
        <w:t xml:space="preserve">)</w:t>
      </w:r>
      <w:r>
        <w:t xml:space="preserve"> </w:t>
      </w:r>
      <w:r>
        <w:t xml:space="preserve">but its members congregate around emergent collectives in interconnected and overlapping spaces, most notably the MyData community</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and its members, but also research and activism agendas including but not limited to: digital rights</w:t>
      </w:r>
      <w:r>
        <w:t xml:space="preserve"> </w:t>
      </w:r>
      <w:r>
        <w:t xml:space="preserve">(‘Open rights group: Who we are’,</w:t>
      </w:r>
      <w:r>
        <w:t xml:space="preserve"> </w:t>
      </w:r>
      <w:hyperlink w:anchor="ref-openRightsGroup">
        <w:r>
          <w:rPr>
            <w:rStyle w:val="Hyperlink"/>
          </w:rPr>
          <w:t xml:space="preserve">no date</w:t>
        </w:r>
      </w:hyperlink>
      <w:r>
        <w:t xml:space="preserve">)</w:t>
      </w:r>
      <w:r>
        <w:t xml:space="preserve">, gig economy worker rights</w:t>
      </w:r>
      <w:r>
        <w:t xml:space="preserve"> </w:t>
      </w:r>
      <w:r>
        <w:t xml:space="preserve">(Kirven,</w:t>
      </w:r>
      <w:r>
        <w:t xml:space="preserve"> </w:t>
      </w:r>
      <w:hyperlink w:anchor="ref-kirven2018">
        <w:r>
          <w:rPr>
            <w:rStyle w:val="Hyperlink"/>
          </w:rPr>
          <w:t xml:space="preserve">2018</w:t>
        </w:r>
      </w:hyperlink>
      <w:r>
        <w:t xml:space="preserve">)</w:t>
      </w:r>
      <w:r>
        <w:t xml:space="preserve">, privacy by design</w:t>
      </w:r>
      <w:r>
        <w:t xml:space="preserve"> </w:t>
      </w:r>
      <w:r>
        <w:t xml:space="preserve">(Cavoukian,</w:t>
      </w:r>
      <w:r>
        <w:t xml:space="preserve"> </w:t>
      </w:r>
      <w:hyperlink w:anchor="ref-cavoukian2010">
        <w:r>
          <w:rPr>
            <w:rStyle w:val="Hyperlink"/>
          </w:rPr>
          <w:t xml:space="preserve">2010</w:t>
        </w:r>
      </w:hyperlink>
      <w:r>
        <w:t xml:space="preserve">)</w:t>
      </w:r>
      <w:r>
        <w:t xml:space="preserve">, data justice</w:t>
      </w:r>
      <w:r>
        <w:t xml:space="preserve"> </w:t>
      </w:r>
      <w:r>
        <w:t xml:space="preserve">(Taylor,</w:t>
      </w:r>
      <w:r>
        <w:t xml:space="preserve"> </w:t>
      </w:r>
      <w:hyperlink w:anchor="ref-taylor2017">
        <w:r>
          <w:rPr>
            <w:rStyle w:val="Hyperlink"/>
          </w:rPr>
          <w:t xml:space="preserve">2017</w:t>
        </w:r>
      </w:hyperlink>
      <w:r>
        <w:t xml:space="preserve">; 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humane technology</w:t>
      </w:r>
      <w:r>
        <w:t xml:space="preserve"> </w:t>
      </w:r>
      <w:r>
        <w:t xml:space="preserve">(Harris,</w:t>
      </w:r>
      <w:r>
        <w:t xml:space="preserve"> </w:t>
      </w:r>
      <w:hyperlink w:anchor="ref-harris2013">
        <w:r>
          <w:rPr>
            <w:rStyle w:val="Hyperlink"/>
          </w:rPr>
          <w:t xml:space="preserve">2013</w:t>
        </w:r>
      </w:hyperlink>
      <w:r>
        <w:t xml:space="preserve">)</w:t>
      </w:r>
      <w:r>
        <w:t xml:space="preserve"> </w:t>
      </w:r>
      <w:r>
        <w:t xml:space="preserve">and explainable AI</w:t>
      </w:r>
      <w:r>
        <w:t xml:space="preserve"> </w:t>
      </w:r>
      <w:r>
        <w:t xml:space="preserve">(‘Explainable ai: Making machines understandable for humans’,</w:t>
      </w:r>
      <w:r>
        <w:t xml:space="preserve"> </w:t>
      </w:r>
      <w:hyperlink w:anchor="ref-explainableAI">
        <w:r>
          <w:rPr>
            <w:rStyle w:val="Hyperlink"/>
          </w:rPr>
          <w:t xml:space="preserve">no date</w:t>
        </w:r>
      </w:hyperlink>
      <w:r>
        <w:t xml:space="preserve">)</w:t>
      </w:r>
      <w:r>
        <w:t xml:space="preserve">.</w:t>
      </w:r>
    </w:p>
    <w:p>
      <w:pPr>
        <w:pStyle w:val="BodyText"/>
      </w:pPr>
      <w:r>
        <w:t xml:space="preserve">Whether these disparate groups coalesce into a single identifiable public remains to be seen, and so too whether the term this thesis offers of</w:t>
      </w:r>
      <w:r>
        <w:t xml:space="preserve"> </w:t>
      </w:r>
      <w:r>
        <w:rPr>
          <w:i/>
        </w:rPr>
        <w:t xml:space="preserve">Human Data Relations</w:t>
      </w:r>
      <w:r>
        <w:t xml:space="preserve"> </w:t>
      </w:r>
      <w:r>
        <w:t xml:space="preserve">is sufficient to capture that public (at least, it provides a descriptive umbrella term). Nonetheless, the breadth of research and innovation and activism happening in this space validates both the need and the desire for such a recursive public around better HDR to exist. Therefore, this chapter takes an unashamedly critical view of the status quo, favouring disruptive societal changes that would further the objectives of better Human Data Relations and providing actionable approaches that will be of use to the members of this public. The chapter asks,</w:t>
      </w:r>
      <w:r>
        <w:t xml:space="preserve"> </w:t>
      </w:r>
      <w:r>
        <w:t xml:space="preserve">“</w:t>
      </w:r>
      <w:r>
        <w:t xml:space="preserve">How can we change the world into the one we want?</w:t>
      </w:r>
      <w:r>
        <w:t xml:space="preserve">”</w:t>
      </w:r>
    </w:p>
    <w:bookmarkEnd w:id="25"/>
    <w:bookmarkEnd w:id="26"/>
    <w:bookmarkStart w:id="36"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useful to develop the concept of HDR further. As background understanding for this duality of motivation, it is first necessary to examine more closely what role data plays in people’s lives.</w:t>
      </w:r>
    </w:p>
    <w:bookmarkStart w:id="27"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Underlying Human Data Relations is to explain what roles data can play in people’s lives – what it</w:t>
      </w:r>
      <w:r>
        <w:t xml:space="preserve"> </w:t>
      </w:r>
      <w:r>
        <w:rPr>
          <w:b/>
        </w:rPr>
        <w:t xml:space="preserve">is</w:t>
      </w:r>
      <w:r>
        <w:t xml:space="preserve"> </w:t>
      </w:r>
      <w:r>
        <w:t xml:space="preserve">to people. Through the Case Studies, external work and my prior learning, I have so far identified 8 distinct lenses to consider how people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information about you</w:t>
            </w:r>
          </w:p>
        </w:tc>
        <w:tc>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prior or recent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 changes</w:t>
      </w:r>
      <w:r>
        <w:t xml:space="preserve"> </w:t>
      </w:r>
      <w:r>
        <w:t xml:space="preserve">in data holders’ behaviours, digital influences upon you or changes within your life.</w:t>
      </w:r>
    </w:p>
    <w:bookmarkEnd w:id="27"/>
    <w:bookmarkStart w:id="29"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it is important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The parallel field of Human Information Interaction (HII) originated in library sciences,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William Jones</w:t>
      </w:r>
      <w:r>
        <w:t xml:space="preserve"> </w:t>
      </w:r>
      <w:r>
        <w:rPr>
          <w:i/>
        </w:rPr>
        <w:t xml:space="preserve">et al.</w:t>
      </w:r>
      <w:r>
        <w:t xml:space="preserve"> </w:t>
      </w:r>
      <w:r>
        <w:t xml:space="preserve">called for a new sub-field of HII in an HCI context</w:t>
      </w:r>
      <w:r>
        <w:rPr>
          <w:rStyle w:val="FootnoteReference"/>
        </w:rPr>
        <w:footnoteReference w:id="28"/>
      </w:r>
      <w:r>
        <w:t xml:space="preserve">, observing that it is important to include a focus on information interaction because HCI can</w:t>
      </w:r>
      <w:r>
        <w:t xml:space="preserve"> </w:t>
      </w:r>
      <w:r>
        <w:rPr>
          <w:i/>
        </w:rPr>
        <w:t xml:space="preserve">“</w:t>
      </w:r>
      <w:r>
        <w:rPr>
          <w:i/>
        </w:rPr>
        <w:t xml:space="preserve">unduly focus attention on the computer when, for most people, the computer is a means to an end – the effective use of information</w:t>
      </w:r>
      <w:r>
        <w:rPr>
          <w:i/>
        </w:rPr>
        <w:t xml:space="preserve">”</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Drawing on this theory, we can see then that 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9"/>
    <w:bookmarkStart w:id="35"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30"/>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31"/>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2"/>
      </w:r>
      <w:r>
        <w:t xml:space="preserve"> </w:t>
      </w:r>
      <w:r>
        <w:t xml:space="preserve">processes illustrated</w:t>
      </w:r>
    </w:p>
    <w:bookmarkStart w:id="33"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w:t>
      </w:r>
      <w:r>
        <w:t xml:space="preserve"> </w:t>
      </w:r>
      <w:r>
        <w:rPr>
          <w:i/>
        </w:rPr>
        <w:t xml:space="preserve">data understandability</w:t>
      </w:r>
      <w:r>
        <w:t xml:space="preserve"> </w:t>
      </w:r>
      <w:r>
        <w:t xml:space="preserve">(6.1.2) and</w:t>
      </w:r>
      <w:r>
        <w:t xml:space="preserve"> </w:t>
      </w:r>
      <w:r>
        <w:rPr>
          <w:i/>
        </w:rPr>
        <w:t xml:space="preserve">data useability</w:t>
      </w:r>
      <w:r>
        <w:rPr>
          <w:i/>
        </w:rPr>
        <w:t xml:space="preserve">13</w:t>
      </w:r>
      <w:r>
        <w:t xml:space="preserve"> </w:t>
      </w:r>
      <w:r>
        <w:t xml:space="preserve">(6.1.3),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bookmarkEnd w:id="33"/>
    <w:bookmarkStart w:id="34"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can be referred to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 and these terms will be used below.</w:t>
      </w:r>
    </w:p>
    <w:bookmarkEnd w:id="34"/>
    <w:bookmarkEnd w:id="35"/>
    <w:bookmarkEnd w:id="36"/>
    <w:bookmarkStart w:id="65" w:name="Xf03affe8308b5da9d769dc97dc93abe28028700"/>
    <w:p>
      <w:pPr>
        <w:pStyle w:val="Heading2"/>
      </w:pPr>
      <w:r>
        <w:rPr>
          <w:rStyle w:val="SectionNumber"/>
        </w:rPr>
        <w:t xml:space="preserve">1.3</w:t>
      </w:r>
      <w:r>
        <w:tab/>
      </w:r>
      <w:r>
        <w:t xml:space="preserve">Obstacles to Better Human Data Relations and Resulting Insights</w:t>
      </w:r>
    </w:p>
    <w:p>
      <w:pPr>
        <w:pStyle w:val="FirstParagraph"/>
      </w:pPr>
      <w:r>
        <w:t xml:space="preserve">In this section I will describe the high level obstacles to better HDR, in four sections. These are arranged into six groupings. The first four groupings correspond to the six wants identified in Chapter 6. Two additional groupings have been included to cover more general human and technical challenges that affect all endeavours in this space:</w:t>
      </w:r>
    </w:p>
    <w:p>
      <w:pPr>
        <w:numPr>
          <w:ilvl w:val="0"/>
          <w:numId w:val="1010"/>
        </w:numPr>
        <w:pStyle w:val="Compact"/>
      </w:pPr>
      <w:r>
        <w:t xml:space="preserve">7.3.1: Obstacles to Data Awareness &amp; Understanding</w:t>
      </w:r>
    </w:p>
    <w:p>
      <w:pPr>
        <w:numPr>
          <w:ilvl w:val="0"/>
          <w:numId w:val="1010"/>
        </w:numPr>
        <w:pStyle w:val="Compact"/>
      </w:pPr>
      <w:r>
        <w:t xml:space="preserve">7.3.2: Obstacles to Data Useability</w:t>
      </w:r>
    </w:p>
    <w:p>
      <w:pPr>
        <w:numPr>
          <w:ilvl w:val="0"/>
          <w:numId w:val="1010"/>
        </w:numPr>
        <w:pStyle w:val="Compact"/>
      </w:pPr>
      <w:r>
        <w:t xml:space="preserve">7.3.3: Obstacles to Ecosystem Transparency (including visible data &amp; transparent processes)</w:t>
      </w:r>
    </w:p>
    <w:p>
      <w:pPr>
        <w:numPr>
          <w:ilvl w:val="0"/>
          <w:numId w:val="1010"/>
        </w:numPr>
        <w:pStyle w:val="Compact"/>
      </w:pPr>
      <w:r>
        <w:t xml:space="preserve">7.3.4: Obstacles Ecosystem Negotiability (encompassing individual oversight and involvement) decision-making)</w:t>
      </w:r>
    </w:p>
    <w:p>
      <w:pPr>
        <w:numPr>
          <w:ilvl w:val="0"/>
          <w:numId w:val="1010"/>
        </w:numPr>
        <w:pStyle w:val="Compact"/>
      </w:pPr>
      <w:r>
        <w:t xml:space="preserve">7.3.5: General Human Challenges</w:t>
      </w:r>
    </w:p>
    <w:p>
      <w:pPr>
        <w:numPr>
          <w:ilvl w:val="0"/>
          <w:numId w:val="1010"/>
        </w:numPr>
        <w:pStyle w:val="Compact"/>
      </w:pPr>
      <w:r>
        <w:t xml:space="preserve">7.3.6: General Technical Challenges</w:t>
      </w:r>
    </w:p>
    <w:p>
      <w:pPr>
        <w:pStyle w:val="FirstParagraph"/>
      </w:pPr>
      <w:r>
        <w:t xml:space="preserve">[Add diagram here]</w:t>
      </w:r>
    </w:p>
    <w:bookmarkStart w:id="41" w:name="data-awareness-understanding"/>
    <w:p>
      <w:pPr>
        <w:pStyle w:val="Heading3"/>
      </w:pPr>
      <w:r>
        <w:rPr>
          <w:rStyle w:val="SectionNumber"/>
        </w:rPr>
        <w:t xml:space="preserve">1.3.1</w:t>
      </w:r>
      <w:r>
        <w:tab/>
      </w:r>
      <w:r>
        <w:t xml:space="preserve">Data Awareness &amp; Understanding</w:t>
      </w:r>
    </w:p>
    <w:bookmarkStart w:id="37" w:name="obstacle-1-data-legibility"/>
    <w:p>
      <w:pPr>
        <w:pStyle w:val="Heading4"/>
      </w:pPr>
      <w:r>
        <w:rPr>
          <w:rStyle w:val="SectionNumber"/>
        </w:rPr>
        <w:t xml:space="preserve">1.3.1.1</w:t>
      </w:r>
      <w:r>
        <w:tab/>
      </w:r>
      <w:r>
        <w:t xml:space="preserve">Obstacle 1: Data Legibility</w:t>
      </w:r>
    </w:p>
    <w:p>
      <w:pPr>
        <w:pStyle w:val="FirstParagraph"/>
      </w:pPr>
      <w:r>
        <w:t xml:space="preserve">People struggle to relate to data. It is not relatable because it is complex, not presented as meaningful information, and not easily interpretable as information. They lack tools to gain insights. To overcome this obstacle, more work is needed to make data relatable and to provide tools that can deliver valuable meaning and insights.</w:t>
      </w:r>
    </w:p>
    <w:bookmarkEnd w:id="37"/>
    <w:bookmarkStart w:id="38" w:name="X2495ea037d695f1f04017d9f003a480fdc2d2e4"/>
    <w:p>
      <w:pPr>
        <w:pStyle w:val="Heading4"/>
      </w:pPr>
      <w:r>
        <w:rPr>
          <w:rStyle w:val="SectionNumber"/>
        </w:rPr>
        <w:t xml:space="preserve">1.3.1.2</w:t>
      </w:r>
      <w:r>
        <w:tab/>
      </w:r>
      <w:r>
        <w:t xml:space="preserve">Insight 1: Life Information Makes Data Relatable</w:t>
      </w:r>
    </w:p>
    <w:p>
      <w:pPr>
        <w:pStyle w:val="FirstParagraph"/>
      </w:pPr>
      <w:r>
        <w:t xml:space="preserve">When data is transformed into information that can be related back to moments, people, places or relationships in people’s lives, it becomes instantly relatable.</w:t>
      </w:r>
    </w:p>
    <w:bookmarkEnd w:id="38"/>
    <w:bookmarkStart w:id="39" w:name="obstacle-2-the-personal-data-diaspora"/>
    <w:p>
      <w:pPr>
        <w:pStyle w:val="Heading4"/>
      </w:pPr>
      <w:r>
        <w:rPr>
          <w:rStyle w:val="SectionNumber"/>
        </w:rPr>
        <w:t xml:space="preserve">1.3.1.3</w:t>
      </w:r>
      <w:r>
        <w:tab/>
      </w:r>
      <w:r>
        <w:t xml:space="preserve">Obstacle 2: The Personal Data Diaspora</w:t>
      </w:r>
    </w:p>
    <w:p>
      <w:pPr>
        <w:pStyle w:val="FirstParagraph"/>
      </w:pPr>
      <w:r>
        <w:t xml:space="preserve">Every individual’s personal data is scattered across multiple providers, devices, apps, held by hundreds of third parties. The complexity of a modern day digital life is unmanageable and overwhelming. People are inevitably ignorant of much of their data and its use. This can lead to resignation and apathy. To overcome this obstacle, approaches must be identified that recognise the scattered, complex reality of each individual’s personal data ecosystem and begin to make it visible and understandable.</w:t>
      </w:r>
    </w:p>
    <w:bookmarkEnd w:id="39"/>
    <w:bookmarkStart w:id="40" w:name="Xbfc76f4d2b6c98cf8ce25eefd15d5dfcbeab17e"/>
    <w:p>
      <w:pPr>
        <w:pStyle w:val="Heading4"/>
      </w:pPr>
      <w:r>
        <w:rPr>
          <w:rStyle w:val="SectionNumber"/>
        </w:rPr>
        <w:t xml:space="preserve">1.3.1.4</w:t>
      </w:r>
      <w:r>
        <w:tab/>
      </w:r>
      <w:r>
        <w:t xml:space="preserve">Insight 2: Ecosystem Information is an antidote to Digital Life Complexity</w:t>
      </w:r>
    </w:p>
    <w:p>
      <w:pPr>
        <w:pStyle w:val="FirstParagraph"/>
      </w:pPr>
      <w:r>
        <w:t xml:space="preserve">No matter how understandable the data itself is, it is also critical that people can acccess information about their data ecosystem. Without this, there will always be aspects of their data that are beyond their awareness or beyond the reach of what they can access, control or manage.</w:t>
      </w:r>
    </w:p>
    <w:bookmarkEnd w:id="40"/>
    <w:bookmarkEnd w:id="41"/>
    <w:bookmarkStart w:id="45" w:name="data-useability"/>
    <w:p>
      <w:pPr>
        <w:pStyle w:val="Heading3"/>
      </w:pPr>
      <w:r>
        <w:rPr>
          <w:rStyle w:val="SectionNumber"/>
        </w:rPr>
        <w:t xml:space="preserve">1.3.2</w:t>
      </w:r>
      <w:r>
        <w:tab/>
      </w:r>
      <w:r>
        <w:t xml:space="preserve">Data Useability</w:t>
      </w:r>
    </w:p>
    <w:bookmarkStart w:id="42" w:name="obstacle-3-data-isnt-free"/>
    <w:p>
      <w:pPr>
        <w:pStyle w:val="Heading4"/>
      </w:pPr>
      <w:r>
        <w:rPr>
          <w:rStyle w:val="SectionNumber"/>
        </w:rPr>
        <w:t xml:space="preserve">1.3.2.1</w:t>
      </w:r>
      <w:r>
        <w:tab/>
      </w:r>
      <w:r>
        <w:t xml:space="preserve">Obstacle 3: Data isn’t free</w:t>
      </w:r>
    </w:p>
    <w:p>
      <w:pPr>
        <w:pStyle w:val="FirstParagraph"/>
      </w:pPr>
      <w:r>
        <w:t xml:space="preserve">Almost all data is constrained in some way, limiting its useability. It may be held by a particular provider and inaccessible. It may be stored in a format which is hard to use or change. It may only be visible after a delay. It may be unchangeable. To overcome this obstacle, we need to find ways to extract data from its current constraints and to remove some of these technical or temporal limitations.</w:t>
      </w:r>
    </w:p>
    <w:bookmarkEnd w:id="42"/>
    <w:bookmarkStart w:id="43" w:name="X6113931c940d6bf78cedd8d29e2e65f18621217"/>
    <w:p>
      <w:pPr>
        <w:pStyle w:val="Heading4"/>
      </w:pPr>
      <w:r>
        <w:rPr>
          <w:rStyle w:val="SectionNumber"/>
        </w:rPr>
        <w:t xml:space="preserve">1.3.2.2</w:t>
      </w:r>
      <w:r>
        <w:tab/>
      </w:r>
      <w:r>
        <w:t xml:space="preserve">Obstacle 4: Data that is Unmalleable and Non-Interrogable</w:t>
      </w:r>
    </w:p>
    <w:p>
      <w:pPr>
        <w:pStyle w:val="FirstParagraph"/>
      </w:pPr>
      <w:r>
        <w:t xml:space="preserve">Even once an individual has gained possession or access to the relevant parts of their personal data, it can be extremely hard to use. This partly comes from a lack of malleability - the ability to break it down, look at it from different perspectives, reconstitute it in different ways. Put simply, people need to be able interrogate their data - ask questions of it. This requires more than just an ability to view visual representations of data, but an ability to interact with the data and produce new views and insights that can help to answer specific questions. Making some of the PIM and SI capabilities described in 2.2.2 and 2.2.3 can help to address this, but more capabilities can be made available and are needed to fully overcome this obstacle.</w:t>
      </w:r>
    </w:p>
    <w:bookmarkEnd w:id="43"/>
    <w:bookmarkStart w:id="44" w:name="Xa9328ee6bf36a815f032fb93f6015ac7c68a065"/>
    <w:p>
      <w:pPr>
        <w:pStyle w:val="Heading4"/>
      </w:pPr>
      <w:r>
        <w:rPr>
          <w:rStyle w:val="SectionNumber"/>
        </w:rPr>
        <w:t xml:space="preserve">1.3.2.3</w:t>
      </w:r>
      <w:r>
        <w:tab/>
      </w:r>
      <w:r>
        <w:t xml:space="preserve">Insight 3: Life Information &amp; Ecosystem Information as a Material</w:t>
      </w:r>
    </w:p>
    <w:p>
      <w:pPr>
        <w:pStyle w:val="FirstParagraph"/>
      </w:pPr>
      <w:r>
        <w:t xml:space="preserve">Many computer operating systems and interfaces today treat files as the basic material that an individual can manipulate. To truly empower users to make use of their data, we need to move to a model where pieces of life information – facts (or assertions) – can be created, deleted, moved, grouped, annotated, copied, shared, modified, labelled, organised, separated or otherwise manipulated instead. So far, people access data within products. But what they need is a platform, not a product. We need an information operating system.</w:t>
      </w:r>
    </w:p>
    <w:bookmarkEnd w:id="44"/>
    <w:bookmarkEnd w:id="45"/>
    <w:bookmarkStart w:id="49" w:name="ecosystem-transparency"/>
    <w:p>
      <w:pPr>
        <w:pStyle w:val="Heading3"/>
      </w:pPr>
      <w:r>
        <w:rPr>
          <w:rStyle w:val="SectionNumber"/>
        </w:rPr>
        <w:t xml:space="preserve">1.3.3</w:t>
      </w:r>
      <w:r>
        <w:tab/>
      </w:r>
      <w:r>
        <w:t xml:space="preserve">Ecosystem transparency</w:t>
      </w:r>
    </w:p>
    <w:bookmarkStart w:id="46" w:name="X1e4de69c08f1f8c9eb897f1175e142c663079ba"/>
    <w:p>
      <w:pPr>
        <w:pStyle w:val="Heading4"/>
      </w:pPr>
      <w:r>
        <w:rPr>
          <w:rStyle w:val="SectionNumber"/>
        </w:rPr>
        <w:t xml:space="preserve">1.3.3.1</w:t>
      </w:r>
      <w:r>
        <w:tab/>
      </w:r>
      <w:r>
        <w:t xml:space="preserve">Obstacle 5: A Complex and Invisible Data Ecosystem</w:t>
      </w:r>
    </w:p>
    <w:bookmarkEnd w:id="46"/>
    <w:bookmarkStart w:id="47" w:name="obstacle-6-a-lack-of-metadata"/>
    <w:p>
      <w:pPr>
        <w:pStyle w:val="Heading4"/>
      </w:pPr>
      <w:r>
        <w:rPr>
          <w:rStyle w:val="SectionNumber"/>
        </w:rPr>
        <w:t xml:space="preserve">1.3.3.2</w:t>
      </w:r>
      <w:r>
        <w:tab/>
      </w:r>
      <w:r>
        <w:t xml:space="preserve">Obstacle 6: A Lack of Metadata</w:t>
      </w:r>
    </w:p>
    <w:bookmarkEnd w:id="47"/>
    <w:bookmarkStart w:id="48" w:name="insight-4-data-with-provenance"/>
    <w:p>
      <w:pPr>
        <w:pStyle w:val="Heading4"/>
      </w:pPr>
      <w:r>
        <w:rPr>
          <w:rStyle w:val="SectionNumber"/>
        </w:rPr>
        <w:t xml:space="preserve">1.3.3.3</w:t>
      </w:r>
      <w:r>
        <w:tab/>
      </w:r>
      <w:r>
        <w:t xml:space="preserve">Insight 4: Data with Provenance</w:t>
      </w:r>
    </w:p>
    <w:bookmarkEnd w:id="48"/>
    <w:bookmarkEnd w:id="49"/>
    <w:bookmarkStart w:id="55" w:name="ecosystem-negotiability"/>
    <w:p>
      <w:pPr>
        <w:pStyle w:val="Heading3"/>
      </w:pPr>
      <w:r>
        <w:rPr>
          <w:rStyle w:val="SectionNumber"/>
        </w:rPr>
        <w:t xml:space="preserve">1.3.4</w:t>
      </w:r>
      <w:r>
        <w:tab/>
      </w:r>
      <w:r>
        <w:t xml:space="preserve">Ecosystem negotiability</w:t>
      </w:r>
    </w:p>
    <w:bookmarkStart w:id="50" w:name="obstacle-7-provider-hegemony"/>
    <w:p>
      <w:pPr>
        <w:pStyle w:val="Heading4"/>
      </w:pPr>
      <w:r>
        <w:rPr>
          <w:rStyle w:val="SectionNumber"/>
        </w:rPr>
        <w:t xml:space="preserve">1.3.4.1</w:t>
      </w:r>
      <w:r>
        <w:tab/>
      </w:r>
      <w:r>
        <w:t xml:space="preserve">Obstacle 7: Provider Hegemony</w:t>
      </w:r>
    </w:p>
    <w:bookmarkEnd w:id="50"/>
    <w:bookmarkStart w:id="51" w:name="insight-5-the-four-levers-of-power"/>
    <w:p>
      <w:pPr>
        <w:pStyle w:val="Heading4"/>
      </w:pPr>
      <w:r>
        <w:rPr>
          <w:rStyle w:val="SectionNumber"/>
        </w:rPr>
        <w:t xml:space="preserve">1.3.4.2</w:t>
      </w:r>
      <w:r>
        <w:tab/>
      </w:r>
      <w:r>
        <w:t xml:space="preserve">Insight 5: The Four Levers of Power</w:t>
      </w:r>
    </w:p>
    <w:bookmarkEnd w:id="51"/>
    <w:bookmarkStart w:id="52" w:name="X2daef0330f42ad668f795de01e6aa4f2c682336"/>
    <w:p>
      <w:pPr>
        <w:pStyle w:val="Heading4"/>
      </w:pPr>
      <w:r>
        <w:rPr>
          <w:rStyle w:val="SectionNumber"/>
        </w:rPr>
        <w:t xml:space="preserve">1.3.4.3</w:t>
      </w:r>
      <w:r>
        <w:tab/>
      </w:r>
      <w:r>
        <w:t xml:space="preserve">Obstacle 8: Closed, Insular and Introspective Practices</w:t>
      </w:r>
    </w:p>
    <w:bookmarkEnd w:id="52"/>
    <w:bookmarkStart w:id="53" w:name="X4f65f0471cd171ad8c5743888c81514f52586f6"/>
    <w:p>
      <w:pPr>
        <w:pStyle w:val="Heading4"/>
      </w:pPr>
      <w:r>
        <w:rPr>
          <w:rStyle w:val="SectionNumber"/>
        </w:rPr>
        <w:t xml:space="preserve">1.3.4.4</w:t>
      </w:r>
      <w:r>
        <w:tab/>
      </w:r>
      <w:r>
        <w:t xml:space="preserve">Obstacle 9: A Trend of Actively Diminishing Individuals’ Agency</w:t>
      </w:r>
    </w:p>
    <w:bookmarkEnd w:id="53"/>
    <w:bookmarkStart w:id="54" w:name="insight-6-the-inaccessible-data-self"/>
    <w:p>
      <w:pPr>
        <w:pStyle w:val="Heading4"/>
      </w:pPr>
      <w:r>
        <w:rPr>
          <w:rStyle w:val="SectionNumber"/>
        </w:rPr>
        <w:t xml:space="preserve">1.3.4.5</w:t>
      </w:r>
      <w:r>
        <w:tab/>
      </w:r>
      <w:r>
        <w:t xml:space="preserve">Insight 6: The Inaccessible Data Self</w:t>
      </w:r>
    </w:p>
    <w:bookmarkEnd w:id="54"/>
    <w:bookmarkEnd w:id="55"/>
    <w:bookmarkStart w:id="60" w:name="general-human-challenges"/>
    <w:p>
      <w:pPr>
        <w:pStyle w:val="Heading3"/>
      </w:pPr>
      <w:r>
        <w:rPr>
          <w:rStyle w:val="SectionNumber"/>
        </w:rPr>
        <w:t xml:space="preserve">1.3.5</w:t>
      </w:r>
      <w:r>
        <w:tab/>
      </w:r>
      <w:r>
        <w:t xml:space="preserve">General Human Challenges</w:t>
      </w:r>
    </w:p>
    <w:bookmarkStart w:id="56" w:name="Xab3360103c0755204ffc3ef19a8463921dab6ef"/>
    <w:p>
      <w:pPr>
        <w:pStyle w:val="Heading4"/>
      </w:pPr>
      <w:r>
        <w:rPr>
          <w:rStyle w:val="SectionNumber"/>
        </w:rPr>
        <w:t xml:space="preserve">1.3.5.1</w:t>
      </w:r>
      <w:r>
        <w:tab/>
      </w:r>
      <w:r>
        <w:t xml:space="preserve">Obstacle 10: A lack of demand and HDR motivation</w:t>
      </w:r>
    </w:p>
    <w:bookmarkEnd w:id="56"/>
    <w:bookmarkStart w:id="57" w:name="insight-7-new-life-capabilities"/>
    <w:p>
      <w:pPr>
        <w:pStyle w:val="Heading4"/>
      </w:pPr>
      <w:r>
        <w:rPr>
          <w:rStyle w:val="SectionNumber"/>
        </w:rPr>
        <w:t xml:space="preserve">1.3.5.2</w:t>
      </w:r>
      <w:r>
        <w:tab/>
      </w:r>
      <w:r>
        <w:t xml:space="preserve">Insight 7: New Life Capabilities</w:t>
      </w:r>
    </w:p>
    <w:bookmarkEnd w:id="57"/>
    <w:bookmarkStart w:id="58" w:name="Xde2f99220ae79003f038b822dfac3064c9125cf"/>
    <w:p>
      <w:pPr>
        <w:pStyle w:val="Heading4"/>
      </w:pPr>
      <w:r>
        <w:rPr>
          <w:rStyle w:val="SectionNumber"/>
        </w:rPr>
        <w:t xml:space="preserve">1.3.5.3</w:t>
      </w:r>
      <w:r>
        <w:tab/>
      </w:r>
      <w:r>
        <w:t xml:space="preserve">Obstacle 11: Digital Life Management is hard work</w:t>
      </w:r>
    </w:p>
    <w:bookmarkEnd w:id="58"/>
    <w:bookmarkStart w:id="59" w:name="insight-8-always-serve-a-need"/>
    <w:p>
      <w:pPr>
        <w:pStyle w:val="Heading4"/>
      </w:pPr>
      <w:r>
        <w:rPr>
          <w:rStyle w:val="SectionNumber"/>
        </w:rPr>
        <w:t xml:space="preserve">1.3.5.4</w:t>
      </w:r>
      <w:r>
        <w:tab/>
      </w:r>
      <w:r>
        <w:t xml:space="preserve">Insight 8: Always Serve a Need</w:t>
      </w:r>
    </w:p>
    <w:bookmarkEnd w:id="59"/>
    <w:bookmarkEnd w:id="60"/>
    <w:bookmarkStart w:id="64" w:name="general-technical-challenges"/>
    <w:p>
      <w:pPr>
        <w:pStyle w:val="Heading3"/>
      </w:pPr>
      <w:r>
        <w:rPr>
          <w:rStyle w:val="SectionNumber"/>
        </w:rPr>
        <w:t xml:space="preserve">1.3.6</w:t>
      </w:r>
      <w:r>
        <w:tab/>
      </w:r>
      <w:r>
        <w:t xml:space="preserve">General Technical challenges</w:t>
      </w:r>
    </w:p>
    <w:bookmarkStart w:id="61" w:name="obstacle-12-a-lack-of-interoperability"/>
    <w:p>
      <w:pPr>
        <w:pStyle w:val="Heading4"/>
      </w:pPr>
      <w:r>
        <w:rPr>
          <w:rStyle w:val="SectionNumber"/>
        </w:rPr>
        <w:t xml:space="preserve">1.3.6.1</w:t>
      </w:r>
      <w:r>
        <w:tab/>
      </w:r>
      <w:r>
        <w:t xml:space="preserve">Obstacle 12: A lack of Interoperability</w:t>
      </w:r>
    </w:p>
    <w:bookmarkEnd w:id="61"/>
    <w:bookmarkStart w:id="62" w:name="Xa4c7316d3b72f5d89be274717063e859eea9442"/>
    <w:p>
      <w:pPr>
        <w:pStyle w:val="Heading4"/>
      </w:pPr>
      <w:r>
        <w:rPr>
          <w:rStyle w:val="SectionNumber"/>
        </w:rPr>
        <w:t xml:space="preserve">1.3.6.2</w:t>
      </w:r>
      <w:r>
        <w:tab/>
      </w:r>
      <w:r>
        <w:t xml:space="preserve">Obstacle 13: Insufficient machine understanding of human data</w:t>
      </w:r>
    </w:p>
    <w:bookmarkEnd w:id="62"/>
    <w:bookmarkStart w:id="63" w:name="X141ffbfb40e6a22d2845082e4bc50d7fcbf2c91"/>
    <w:p>
      <w:pPr>
        <w:pStyle w:val="Heading4"/>
      </w:pPr>
      <w:r>
        <w:rPr>
          <w:rStyle w:val="SectionNumber"/>
        </w:rPr>
        <w:t xml:space="preserve">1.3.6.3</w:t>
      </w:r>
      <w:r>
        <w:tab/>
      </w:r>
      <w:r>
        <w:t xml:space="preserve">Insight 9: The Power of Semantic Analysis and Information Standards</w:t>
      </w:r>
    </w:p>
    <w:bookmarkEnd w:id="63"/>
    <w:bookmarkEnd w:id="64"/>
    <w:bookmarkEnd w:id="65"/>
    <w:bookmarkStart w:id="92" w:name="X1a7e511717c200d656f7c4724667d0dda42bf14"/>
    <w:p>
      <w:pPr>
        <w:pStyle w:val="Heading2"/>
      </w:pPr>
      <w:r>
        <w:rPr>
          <w:rStyle w:val="SectionNumber"/>
        </w:rPr>
        <w:t xml:space="preserve">1.4</w:t>
      </w:r>
      <w:r>
        <w:tab/>
      </w:r>
      <w:r>
        <w:t xml:space="preserve">Working in the present to build the future: Current Work &amp; Future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66"/>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backbone of the roadmap for improving HDR, which can be summarised thus:</w:t>
      </w:r>
    </w:p>
    <w:p>
      <w:pPr>
        <w:numPr>
          <w:ilvl w:val="0"/>
          <w:numId w:val="1011"/>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1"/>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 Given the majority of the opportunities for change identified in this chapter occur in this quadrant, this quadrant will be further subdivided into four different types of activity:</w:t>
      </w:r>
    </w:p>
    <w:p>
      <w:pPr>
        <w:numPr>
          <w:ilvl w:val="1"/>
          <w:numId w:val="1012"/>
        </w:numPr>
        <w:pStyle w:val="Compact"/>
      </w:pPr>
      <w:r>
        <w:t xml:space="preserve">Defend the Status Quo and Push Back</w:t>
      </w:r>
    </w:p>
    <w:p>
      <w:pPr>
        <w:numPr>
          <w:ilvl w:val="1"/>
          <w:numId w:val="1012"/>
        </w:numPr>
        <w:pStyle w:val="Compact"/>
      </w:pPr>
      <w:r>
        <w:t xml:space="preserve">Creat New Structures and Systems</w:t>
      </w:r>
    </w:p>
    <w:p>
      <w:pPr>
        <w:numPr>
          <w:ilvl w:val="1"/>
          <w:numId w:val="1012"/>
        </w:numPr>
        <w:pStyle w:val="Compact"/>
      </w:pPr>
      <w:r>
        <w:t xml:space="preserve">Creat New Information Interfaces</w:t>
      </w:r>
    </w:p>
    <w:p>
      <w:pPr>
        <w:numPr>
          <w:ilvl w:val="1"/>
          <w:numId w:val="1012"/>
        </w:numPr>
        <w:pStyle w:val="Compact"/>
      </w:pPr>
      <w:r>
        <w:t xml:space="preserve">Creat New Capabilities</w:t>
      </w:r>
    </w:p>
    <w:p>
      <w:pPr>
        <w:numPr>
          <w:ilvl w:val="0"/>
          <w:numId w:val="1011"/>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to harness our new collective knowledge to advocate the benefits of changing data-related behaviours.</w:t>
      </w:r>
    </w:p>
    <w:p>
      <w:pPr>
        <w:numPr>
          <w:ilvl w:val="0"/>
          <w:numId w:val="1011"/>
        </w:numPr>
        <w:pStyle w:val="Compact"/>
      </w:pPr>
      <w:r>
        <w:rPr>
          <w:b/>
          <w:i/>
        </w:rPr>
        <w:t xml:space="preserve">Educate &amp; Empower</w:t>
      </w:r>
      <w:r>
        <w:t xml:space="preserve"> </w:t>
      </w:r>
      <w:r>
        <w:t xml:space="preserve">(II): In this quadrant, individuals ways of thinking about data and data holders grow and evolve towards a state we could call</w:t>
      </w:r>
      <w:r>
        <w:t xml:space="preserve"> </w:t>
      </w:r>
      <w:r>
        <w:t xml:space="preserve">‘</w:t>
      </w:r>
      <w:r>
        <w:t xml:space="preserve">feeling empowered</w:t>
      </w:r>
      <w:r>
        <w:t xml:space="preserve">’</w:t>
      </w:r>
      <w:r>
        <w:t xml:space="preserve">. This change is driven through education, improving Human Data Relations literacy, and through the experience of new capabilities and changed relationships with data and with data holders that can empower individuals to hold a more aware and equitable position in those relationships and in their digital life.</w:t>
      </w:r>
    </w:p>
    <w:p>
      <w:pPr>
        <w:pStyle w:val="FirstParagraph"/>
      </w:pPr>
      <w:r>
        <w:t xml:space="preserve">[TODO: do we need a summary diagram here?]</w:t>
      </w:r>
    </w:p>
    <w:bookmarkStart w:id="70" w:name="learn-discover"/>
    <w:p>
      <w:pPr>
        <w:pStyle w:val="Heading3"/>
      </w:pPr>
      <w:r>
        <w:rPr>
          <w:rStyle w:val="SectionNumber"/>
        </w:rPr>
        <w:t xml:space="preserve">1.4.1</w:t>
      </w:r>
      <w:r>
        <w:tab/>
      </w:r>
      <w:r>
        <w:t xml:space="preserve">Learn &amp; Discover</w:t>
      </w:r>
    </w:p>
    <w:bookmarkStart w:id="67" w:name="opportunity-1-auditing-data-holders"/>
    <w:p>
      <w:pPr>
        <w:pStyle w:val="Heading4"/>
      </w:pPr>
      <w:r>
        <w:rPr>
          <w:rStyle w:val="SectionNumber"/>
        </w:rPr>
        <w:t xml:space="preserve">1.4.1.1</w:t>
      </w:r>
      <w:r>
        <w:tab/>
      </w:r>
      <w:r>
        <w:t xml:space="preserve">Opportunity 1: Auditing Data Holders</w:t>
      </w:r>
    </w:p>
    <w:bookmarkEnd w:id="67"/>
    <w:bookmarkStart w:id="68" w:name="opportunity-2-collective-investigation"/>
    <w:p>
      <w:pPr>
        <w:pStyle w:val="Heading4"/>
      </w:pPr>
      <w:r>
        <w:rPr>
          <w:rStyle w:val="SectionNumber"/>
        </w:rPr>
        <w:t xml:space="preserve">1.4.1.2</w:t>
      </w:r>
      <w:r>
        <w:tab/>
      </w:r>
      <w:r>
        <w:t xml:space="preserve">Opportunity 2: Collective Investigation</w:t>
      </w:r>
    </w:p>
    <w:bookmarkEnd w:id="68"/>
    <w:bookmarkStart w:id="69" w:name="Xe3b4a253fd6685651c3addac967b8cfb7c7448f"/>
    <w:p>
      <w:pPr>
        <w:pStyle w:val="Heading4"/>
      </w:pPr>
      <w:r>
        <w:rPr>
          <w:rStyle w:val="SectionNumber"/>
        </w:rPr>
        <w:t xml:space="preserve">1.4.1.3</w:t>
      </w:r>
      <w:r>
        <w:tab/>
      </w:r>
      <w:r>
        <w:t xml:space="preserve">Opportunity 3: A</w:t>
      </w:r>
      <w:r>
        <w:t xml:space="preserve"> </w:t>
      </w:r>
      <w:r>
        <w:t xml:space="preserve">‘</w:t>
      </w:r>
      <w:r>
        <w:t xml:space="preserve">Data Understanding</w:t>
      </w:r>
      <w:r>
        <w:t xml:space="preserve">’</w:t>
      </w:r>
      <w:r>
        <w:t xml:space="preserve"> </w:t>
      </w:r>
      <w:r>
        <w:t xml:space="preserve">Industry</w:t>
      </w:r>
    </w:p>
    <w:bookmarkEnd w:id="69"/>
    <w:bookmarkEnd w:id="70"/>
    <w:bookmarkStart w:id="72" w:name="defend-the-status-quo-and-push-back"/>
    <w:p>
      <w:pPr>
        <w:pStyle w:val="Heading3"/>
      </w:pPr>
      <w:r>
        <w:rPr>
          <w:rStyle w:val="SectionNumber"/>
        </w:rPr>
        <w:t xml:space="preserve">1.4.2</w:t>
      </w:r>
      <w:r>
        <w:tab/>
      </w:r>
      <w:r>
        <w:t xml:space="preserve">Defend the Status Quo and Push Back</w:t>
      </w:r>
    </w:p>
    <w:bookmarkStart w:id="71" w:name="Xa7840535fd24ee1dc432d64b4a9289ecf00be58"/>
    <w:p>
      <w:pPr>
        <w:pStyle w:val="Heading4"/>
      </w:pPr>
      <w:r>
        <w:rPr>
          <w:rStyle w:val="SectionNumber"/>
        </w:rPr>
        <w:t xml:space="preserve">1.4.2.1</w:t>
      </w:r>
      <w:r>
        <w:tab/>
      </w:r>
      <w:r>
        <w:t xml:space="preserve">Opportunity 4: Tapping and Monitoring The Seams</w:t>
      </w:r>
    </w:p>
    <w:bookmarkEnd w:id="71"/>
    <w:bookmarkEnd w:id="72"/>
    <w:bookmarkStart w:id="75" w:name="create-new-structures-and-systems"/>
    <w:p>
      <w:pPr>
        <w:pStyle w:val="Heading3"/>
      </w:pPr>
      <w:r>
        <w:rPr>
          <w:rStyle w:val="SectionNumber"/>
        </w:rPr>
        <w:t xml:space="preserve">1.4.3</w:t>
      </w:r>
      <w:r>
        <w:tab/>
      </w:r>
      <w:r>
        <w:t xml:space="preserve">Create New Structures and Systems</w:t>
      </w:r>
    </w:p>
    <w:bookmarkStart w:id="73" w:name="X2ca799808b8f90ce8bfd5d2f5636f55595b6212"/>
    <w:p>
      <w:pPr>
        <w:pStyle w:val="Heading4"/>
      </w:pPr>
      <w:r>
        <w:rPr>
          <w:rStyle w:val="SectionNumber"/>
        </w:rPr>
        <w:t xml:space="preserve">1.4.3.1</w:t>
      </w:r>
      <w:r>
        <w:tab/>
      </w:r>
      <w:r>
        <w:t xml:space="preserve">Opportunity 5: A central home for your personal data</w:t>
      </w:r>
    </w:p>
    <w:bookmarkEnd w:id="73"/>
    <w:bookmarkStart w:id="74" w:name="X7758a593b166ea8408bd6c56d33c86366d5ba6e"/>
    <w:p>
      <w:pPr>
        <w:pStyle w:val="Heading4"/>
      </w:pPr>
      <w:r>
        <w:rPr>
          <w:rStyle w:val="SectionNumber"/>
        </w:rPr>
        <w:t xml:space="preserve">1.4.3.2</w:t>
      </w:r>
      <w:r>
        <w:tab/>
      </w:r>
      <w:r>
        <w:t xml:space="preserve">Opportunity 6: Algorithmic Meaning Extraction</w:t>
      </w:r>
    </w:p>
    <w:bookmarkEnd w:id="74"/>
    <w:bookmarkEnd w:id="75"/>
    <w:bookmarkStart w:id="79" w:name="create-new-information-interfaces"/>
    <w:p>
      <w:pPr>
        <w:pStyle w:val="Heading3"/>
      </w:pPr>
      <w:r>
        <w:rPr>
          <w:rStyle w:val="SectionNumber"/>
        </w:rPr>
        <w:t xml:space="preserve">1.4.4</w:t>
      </w:r>
      <w:r>
        <w:tab/>
      </w:r>
      <w:r>
        <w:t xml:space="preserve">Create New Information Interfaces</w:t>
      </w:r>
    </w:p>
    <w:bookmarkStart w:id="76" w:name="X3ec360dde1c66e6d2bd9b873167d2d7c8b781b7"/>
    <w:p>
      <w:pPr>
        <w:pStyle w:val="Heading4"/>
      </w:pPr>
      <w:r>
        <w:rPr>
          <w:rStyle w:val="SectionNumber"/>
        </w:rPr>
        <w:t xml:space="preserve">1.4.4.1</w:t>
      </w:r>
      <w:r>
        <w:tab/>
      </w:r>
      <w:r>
        <w:t xml:space="preserve">Opportunity 7: Life Information interfaces</w:t>
      </w:r>
    </w:p>
    <w:bookmarkEnd w:id="76"/>
    <w:bookmarkStart w:id="77" w:name="X137cb3202be6bacda5297ef29c8b98181993665"/>
    <w:p>
      <w:pPr>
        <w:pStyle w:val="Heading4"/>
      </w:pPr>
      <w:r>
        <w:rPr>
          <w:rStyle w:val="SectionNumber"/>
        </w:rPr>
        <w:t xml:space="preserve">1.4.4.2</w:t>
      </w:r>
      <w:r>
        <w:tab/>
      </w:r>
      <w:r>
        <w:t xml:space="preserve">Opportunity 8: Ecosystem Detection &amp; Visualisation</w:t>
      </w:r>
    </w:p>
    <w:bookmarkEnd w:id="77"/>
    <w:bookmarkStart w:id="78" w:name="opportunity-9-information-flows"/>
    <w:p>
      <w:pPr>
        <w:pStyle w:val="Heading4"/>
      </w:pPr>
      <w:r>
        <w:rPr>
          <w:rStyle w:val="SectionNumber"/>
        </w:rPr>
        <w:t xml:space="preserve">1.4.4.3</w:t>
      </w:r>
      <w:r>
        <w:tab/>
      </w:r>
      <w:r>
        <w:t xml:space="preserve">Opportunity 9: Information Flows</w:t>
      </w:r>
    </w:p>
    <w:bookmarkEnd w:id="78"/>
    <w:bookmarkEnd w:id="79"/>
    <w:bookmarkStart w:id="82" w:name="create-new-capabilities"/>
    <w:p>
      <w:pPr>
        <w:pStyle w:val="Heading3"/>
      </w:pPr>
      <w:r>
        <w:rPr>
          <w:rStyle w:val="SectionNumber"/>
        </w:rPr>
        <w:t xml:space="preserve">1.4.5</w:t>
      </w:r>
      <w:r>
        <w:tab/>
      </w:r>
      <w:r>
        <w:t xml:space="preserve">Create New Capabilities</w:t>
      </w:r>
    </w:p>
    <w:bookmarkStart w:id="80" w:name="X0fd9a5efdf2fe382d65a98d49021a3eca8f6592"/>
    <w:p>
      <w:pPr>
        <w:pStyle w:val="Heading4"/>
      </w:pPr>
      <w:r>
        <w:rPr>
          <w:rStyle w:val="SectionNumber"/>
        </w:rPr>
        <w:t xml:space="preserve">1.4.5.1</w:t>
      </w:r>
      <w:r>
        <w:tab/>
      </w:r>
      <w:r>
        <w:t xml:space="preserve">Opportunity 10: Exploratory Actions &amp; Asking Tools</w:t>
      </w:r>
    </w:p>
    <w:bookmarkEnd w:id="80"/>
    <w:bookmarkStart w:id="81" w:name="Xdd8889a8f6a16423890c2a49dacb10c4b1ba20b"/>
    <w:p>
      <w:pPr>
        <w:pStyle w:val="Heading4"/>
      </w:pPr>
      <w:r>
        <w:rPr>
          <w:rStyle w:val="SectionNumber"/>
        </w:rPr>
        <w:t xml:space="preserve">1.4.5.2</w:t>
      </w:r>
      <w:r>
        <w:tab/>
      </w:r>
      <w:r>
        <w:t xml:space="preserve">Opportunity 11: Self Profiling &amp; Curating your Digital Self</w:t>
      </w:r>
    </w:p>
    <w:bookmarkEnd w:id="81"/>
    <w:bookmarkEnd w:id="82"/>
    <w:bookmarkStart w:id="87" w:name="influence-motivate"/>
    <w:p>
      <w:pPr>
        <w:pStyle w:val="Heading3"/>
      </w:pPr>
      <w:r>
        <w:rPr>
          <w:rStyle w:val="SectionNumber"/>
        </w:rPr>
        <w:t xml:space="preserve">1.4.6</w:t>
      </w:r>
      <w:r>
        <w:tab/>
      </w:r>
      <w:r>
        <w:t xml:space="preserve">Influence &amp; Motivate</w:t>
      </w:r>
    </w:p>
    <w:bookmarkStart w:id="83" w:name="Xe7aa9d13a0c0e941685e93bbc8e4d43b31b9da6"/>
    <w:p>
      <w:pPr>
        <w:pStyle w:val="Heading4"/>
      </w:pPr>
      <w:r>
        <w:rPr>
          <w:rStyle w:val="SectionNumber"/>
        </w:rPr>
        <w:t xml:space="preserve">1.4.6.1</w:t>
      </w:r>
      <w:r>
        <w:tab/>
      </w:r>
      <w:r>
        <w:t xml:space="preserve">Opportunity 12: Regulating the Information Landscape</w:t>
      </w:r>
    </w:p>
    <w:bookmarkEnd w:id="83"/>
    <w:bookmarkStart w:id="84" w:name="X24f29089824f930bf886b11cf372b79c52ad6d8"/>
    <w:p>
      <w:pPr>
        <w:pStyle w:val="Heading4"/>
      </w:pPr>
      <w:r>
        <w:rPr>
          <w:rStyle w:val="SectionNumber"/>
        </w:rPr>
        <w:t xml:space="preserve">1.4.6.2</w:t>
      </w:r>
      <w:r>
        <w:tab/>
      </w:r>
      <w:r>
        <w:t xml:space="preserve">Opportunity 13: Information Unification and Schematisation</w:t>
      </w:r>
    </w:p>
    <w:bookmarkEnd w:id="84"/>
    <w:bookmarkStart w:id="85" w:name="X7068a08b903235d4e28d40bc14b32e2caa7350b"/>
    <w:p>
      <w:pPr>
        <w:pStyle w:val="Heading4"/>
      </w:pPr>
      <w:r>
        <w:rPr>
          <w:rStyle w:val="SectionNumber"/>
        </w:rPr>
        <w:t xml:space="preserve">1.4.6.3</w:t>
      </w:r>
      <w:r>
        <w:tab/>
      </w:r>
      <w:r>
        <w:t xml:space="preserve">Opportunity 14: Life/Ecosystem Information as Boundary Objects (Multi-stakeholder Design)</w:t>
      </w:r>
    </w:p>
    <w:bookmarkEnd w:id="85"/>
    <w:bookmarkStart w:id="86" w:name="X8a236e8c0af4d3a17e090bb62ea32c6c4fb0271"/>
    <w:p>
      <w:pPr>
        <w:pStyle w:val="Heading4"/>
      </w:pPr>
      <w:r>
        <w:rPr>
          <w:rStyle w:val="SectionNumber"/>
        </w:rPr>
        <w:t xml:space="preserve">1.4.6.4</w:t>
      </w:r>
      <w:r>
        <w:tab/>
      </w:r>
      <w:r>
        <w:t xml:space="preserve">Opportunity 15: The Business Value of Transparency and Human Centricity</w:t>
      </w:r>
    </w:p>
    <w:bookmarkEnd w:id="86"/>
    <w:bookmarkEnd w:id="87"/>
    <w:bookmarkStart w:id="91" w:name="educate-empower"/>
    <w:p>
      <w:pPr>
        <w:pStyle w:val="Heading3"/>
      </w:pPr>
      <w:r>
        <w:rPr>
          <w:rStyle w:val="SectionNumber"/>
        </w:rPr>
        <w:t xml:space="preserve">1.4.7</w:t>
      </w:r>
      <w:r>
        <w:tab/>
      </w:r>
      <w:r>
        <w:t xml:space="preserve">Educate &amp; Empower</w:t>
      </w:r>
    </w:p>
    <w:bookmarkStart w:id="88" w:name="opportunity-16-life-information-literacy"/>
    <w:p>
      <w:pPr>
        <w:pStyle w:val="Heading4"/>
      </w:pPr>
      <w:r>
        <w:rPr>
          <w:rStyle w:val="SectionNumber"/>
        </w:rPr>
        <w:t xml:space="preserve">1.4.7.1</w:t>
      </w:r>
      <w:r>
        <w:tab/>
      </w:r>
      <w:r>
        <w:t xml:space="preserve">Opportunity 16: Life Information literacy</w:t>
      </w:r>
    </w:p>
    <w:bookmarkEnd w:id="88"/>
    <w:bookmarkStart w:id="89" w:name="Xe82f9f1b9fce3bd7211138d7a905cf68129503a"/>
    <w:p>
      <w:pPr>
        <w:pStyle w:val="Heading4"/>
      </w:pPr>
      <w:r>
        <w:rPr>
          <w:rStyle w:val="SectionNumber"/>
        </w:rPr>
        <w:t xml:space="preserve">1.4.7.2</w:t>
      </w:r>
      <w:r>
        <w:tab/>
      </w:r>
      <w:r>
        <w:t xml:space="preserve">Opportunity 17: Personal Data Ecosystem Literacy</w:t>
      </w:r>
    </w:p>
    <w:bookmarkEnd w:id="89"/>
    <w:bookmarkStart w:id="90" w:name="X3f4da39dfae5755a90e6ebf0caa7dd98559282b"/>
    <w:p>
      <w:pPr>
        <w:pStyle w:val="Heading4"/>
      </w:pPr>
      <w:r>
        <w:rPr>
          <w:rStyle w:val="SectionNumber"/>
        </w:rPr>
        <w:t xml:space="preserve">1.4.7.3</w:t>
      </w:r>
      <w:r>
        <w:tab/>
      </w:r>
      <w:r>
        <w:t xml:space="preserve">Opportunity 18: Individual Discovery: Mapping Your Personal Data Ecosystem</w:t>
      </w:r>
    </w:p>
    <w:bookmarkEnd w:id="90"/>
    <w:bookmarkEnd w:id="91"/>
    <w:bookmarkEnd w:id="92"/>
    <w:bookmarkStart w:id="93" w:name="thesis-conclusion"/>
    <w:p>
      <w:pPr>
        <w:pStyle w:val="Heading2"/>
      </w:pPr>
      <w:r>
        <w:rPr>
          <w:rStyle w:val="SectionNumber"/>
        </w:rPr>
        <w:t xml:space="preserve">1.5</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93"/>
    <w:bookmarkEnd w:id="94"/>
    <w:bookmarkStart w:id="137" w:name="bibliography"/>
    <w:p>
      <w:pPr>
        <w:pStyle w:val="Heading1"/>
      </w:pPr>
      <w:r>
        <w:t xml:space="preserve">Bibliography</w:t>
      </w:r>
    </w:p>
    <w:bookmarkStart w:id="136" w:name="refs"/>
    <w:bookmarkStart w:id="96" w:name="ref-bowyer2021"/>
    <w:p>
      <w:pPr>
        <w:pStyle w:val="Bibliography"/>
      </w:pPr>
      <w:r>
        <w:t xml:space="preserve">Bowyer, A. (2021) ‘Human-Data Interaction has two purposes: Personal Data Control and Life Information Exploration’. Available at:</w:t>
      </w:r>
      <w:r>
        <w:t xml:space="preserve"> </w:t>
      </w:r>
      <w:hyperlink r:id="rId95">
        <w:r>
          <w:rPr>
            <w:rStyle w:val="Hyperlink"/>
          </w:rPr>
          <w:t xml:space="preserve">https://eprints.ncl.ac.uk/273832#.</w:t>
        </w:r>
      </w:hyperlink>
    </w:p>
    <w:bookmarkEnd w:id="96"/>
    <w:bookmarkStart w:id="97"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97"/>
    <w:bookmarkStart w:id="99"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98">
        <w:r>
          <w:rPr>
            <w:rStyle w:val="Hyperlink"/>
          </w:rPr>
          <w:t xml:space="preserve">10.1007/s12394-010-0062-y</w:t>
        </w:r>
      </w:hyperlink>
      <w:r>
        <w:t xml:space="preserve">.</w:t>
      </w:r>
    </w:p>
    <w:bookmarkEnd w:id="99"/>
    <w:bookmarkStart w:id="101"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100">
        <w:r>
          <w:rPr>
            <w:rStyle w:val="Hyperlink"/>
          </w:rPr>
          <w:t xml:space="preserve">10.1145/3301655</w:t>
        </w:r>
      </w:hyperlink>
      <w:r>
        <w:t xml:space="preserve">.</w:t>
      </w:r>
    </w:p>
    <w:bookmarkEnd w:id="101"/>
    <w:bookmarkStart w:id="102" w:name="ref-vanEs2015"/>
    <w:p>
      <w:pPr>
        <w:pStyle w:val="Bibliography"/>
      </w:pPr>
      <w:r>
        <w:t xml:space="preserve">Es, M. van, Guijt, I. and Vogel, I. (2015) ‘Hivos ToC Guidelines: Theory of Change Thinking in Practice’. The Hague, The Netherlands: Hivos.</w:t>
      </w:r>
    </w:p>
    <w:bookmarkEnd w:id="102"/>
    <w:bookmarkStart w:id="104" w:name="ref-explainableAI"/>
    <w:p>
      <w:pPr>
        <w:pStyle w:val="Bibliography"/>
      </w:pPr>
      <w:r>
        <w:t xml:space="preserve">‘Explainable ai: Making machines understandable for humans’ (no date). Available at:</w:t>
      </w:r>
      <w:r>
        <w:t xml:space="preserve"> </w:t>
      </w:r>
      <w:hyperlink r:id="rId103">
        <w:r>
          <w:rPr>
            <w:rStyle w:val="Hyperlink"/>
          </w:rPr>
          <w:t xml:space="preserve">https://explainableai.com/</w:t>
        </w:r>
      </w:hyperlink>
      <w:r>
        <w:t xml:space="preserve"> </w:t>
      </w:r>
      <w:r>
        <w:t xml:space="preserve">(Accessed: 16 June 2022).</w:t>
      </w:r>
    </w:p>
    <w:bookmarkEnd w:id="104"/>
    <w:bookmarkStart w:id="106" w:name="ref-gillespie2016"/>
    <w:p>
      <w:pPr>
        <w:pStyle w:val="Bibliography"/>
      </w:pPr>
      <w:r>
        <w:t xml:space="preserve">Gillespie, T. and Seaver, N. (2016) ‘Critical Algorithm Studies - A Reading List’. Available at:</w:t>
      </w:r>
      <w:r>
        <w:t xml:space="preserve"> </w:t>
      </w:r>
      <w:hyperlink r:id="rId105">
        <w:r>
          <w:rPr>
            <w:rStyle w:val="Hyperlink"/>
          </w:rPr>
          <w:t xml:space="preserve">https://socialmediacollective.org/reading-lists/critical-algorithm-studies/</w:t>
        </w:r>
      </w:hyperlink>
      <w:r>
        <w:t xml:space="preserve">.</w:t>
      </w:r>
    </w:p>
    <w:bookmarkEnd w:id="106"/>
    <w:bookmarkStart w:id="108" w:name="ref-harris2013"/>
    <w:p>
      <w:pPr>
        <w:pStyle w:val="Bibliography"/>
      </w:pPr>
      <w:r>
        <w:t xml:space="preserve">Harris, T. (2013) ‘A Call to Minimize Distraction Respect Users’ Attention’. Available at:</w:t>
      </w:r>
      <w:r>
        <w:t xml:space="preserve"> </w:t>
      </w:r>
      <w:hyperlink r:id="rId107">
        <w:r>
          <w:rPr>
            <w:rStyle w:val="Hyperlink"/>
          </w:rPr>
          <w:t xml:space="preserve">http://www.minimizedistraction.com/</w:t>
        </w:r>
      </w:hyperlink>
      <w:r>
        <w:t xml:space="preserve">.</w:t>
      </w:r>
    </w:p>
    <w:bookmarkEnd w:id="108"/>
    <w:bookmarkStart w:id="110"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109">
        <w:r>
          <w:rPr>
            <w:rStyle w:val="Hyperlink"/>
          </w:rPr>
          <w:t xml:space="preserve">http://www3.weforum.org/docs/WEF_RethinkingPersonalData_ANewLens_Report_2014.pdf</w:t>
        </w:r>
      </w:hyperlink>
      <w:r>
        <w:t xml:space="preserve">.</w:t>
      </w:r>
    </w:p>
    <w:bookmarkEnd w:id="110"/>
    <w:bookmarkStart w:id="112"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111">
        <w:r>
          <w:rPr>
            <w:rStyle w:val="Hyperlink"/>
          </w:rPr>
          <w:t xml:space="preserve">10.1145/1125451.1125469</w:t>
        </w:r>
      </w:hyperlink>
      <w:r>
        <w:t xml:space="preserve">.</w:t>
      </w:r>
    </w:p>
    <w:bookmarkEnd w:id="112"/>
    <w:bookmarkStart w:id="114"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113">
        <w:r>
          <w:rPr>
            <w:rStyle w:val="Hyperlink"/>
          </w:rPr>
          <w:t xml:space="preserve">https://s3.amazonaws.com/academia.edu.documents/46870765/haystack.pdf</w:t>
        </w:r>
      </w:hyperlink>
      <w:r>
        <w:t xml:space="preserve">.</w:t>
      </w:r>
    </w:p>
    <w:bookmarkEnd w:id="114"/>
    <w:bookmarkStart w:id="115" w:name="ref-kelty2008"/>
    <w:p>
      <w:pPr>
        <w:pStyle w:val="Bibliography"/>
      </w:pPr>
      <w:r>
        <w:t xml:space="preserve">Kelty, C. M. (2008)</w:t>
      </w:r>
      <w:r>
        <w:t xml:space="preserve"> </w:t>
      </w:r>
      <w:r>
        <w:rPr>
          <w:i/>
        </w:rPr>
        <w:t xml:space="preserve">Geeks and Recursive Publics</w:t>
      </w:r>
      <w:r>
        <w:t xml:space="preserve">. Duke University Press, pp. 27–63.</w:t>
      </w:r>
    </w:p>
    <w:bookmarkEnd w:id="115"/>
    <w:bookmarkStart w:id="116" w:name="ref-kirven2018"/>
    <w:p>
      <w:pPr>
        <w:pStyle w:val="Bibliography"/>
      </w:pPr>
      <w:r>
        <w:t xml:space="preserve">Kirven, A. (2018) ‘Whose gig is it anyway: Technological change, workplace control and supervision, and workers’ rights in the gig economy’,</w:t>
      </w:r>
      <w:r>
        <w:t xml:space="preserve"> </w:t>
      </w:r>
      <w:r>
        <w:rPr>
          <w:i/>
        </w:rPr>
        <w:t xml:space="preserve">U. Colo. L. Rev.</w:t>
      </w:r>
      <w:r>
        <w:t xml:space="preserve"> </w:t>
      </w:r>
      <w:r>
        <w:t xml:space="preserve">HeinOnline, 89, p. 249.</w:t>
      </w:r>
    </w:p>
    <w:bookmarkEnd w:id="116"/>
    <w:bookmarkStart w:id="117" w:name="ref-ledantec2016"/>
    <w:p>
      <w:pPr>
        <w:pStyle w:val="Bibliography"/>
      </w:pPr>
      <w:r>
        <w:t xml:space="preserve">Le Dantec, C. A. (2016)</w:t>
      </w:r>
      <w:r>
        <w:t xml:space="preserve"> </w:t>
      </w:r>
      <w:r>
        <w:rPr>
          <w:i/>
        </w:rPr>
        <w:t xml:space="preserve">Designing publics</w:t>
      </w:r>
      <w:r>
        <w:t xml:space="preserve">. MIT Press.</w:t>
      </w:r>
    </w:p>
    <w:bookmarkEnd w:id="117"/>
    <w:bookmarkStart w:id="119"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118">
        <w:r>
          <w:rPr>
            <w:rStyle w:val="Hyperlink"/>
          </w:rPr>
          <w:t xml:space="preserve">10.1016/j.lisr.2008.07.001</w:t>
        </w:r>
      </w:hyperlink>
      <w:r>
        <w:t xml:space="preserve">.</w:t>
      </w:r>
    </w:p>
    <w:bookmarkEnd w:id="119"/>
    <w:bookmarkStart w:id="121"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120">
        <w:r>
          <w:rPr>
            <w:rStyle w:val="Hyperlink"/>
          </w:rPr>
          <w:t xml:space="preserve">10.5210/fm.v17i5.4013</w:t>
        </w:r>
      </w:hyperlink>
      <w:r>
        <w:t xml:space="preserve">.</w:t>
      </w:r>
    </w:p>
    <w:bookmarkEnd w:id="121"/>
    <w:bookmarkStart w:id="123"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2">
        <w:r>
          <w:rPr>
            <w:rStyle w:val="Hyperlink"/>
          </w:rPr>
          <w:t xml:space="preserve">10.2139/ssrn.2508051</w:t>
        </w:r>
      </w:hyperlink>
      <w:r>
        <w:t xml:space="preserve">.</w:t>
      </w:r>
    </w:p>
    <w:bookmarkEnd w:id="123"/>
    <w:bookmarkStart w:id="125" w:name="ref-mydata2017declaration"/>
    <w:p>
      <w:pPr>
        <w:pStyle w:val="Bibliography"/>
      </w:pPr>
      <w:r>
        <w:t xml:space="preserve">MyData (2017) ‘Declaration - MyData.org’. Available at:</w:t>
      </w:r>
      <w:r>
        <w:t xml:space="preserve"> </w:t>
      </w:r>
      <w:hyperlink r:id="rId124">
        <w:r>
          <w:rPr>
            <w:rStyle w:val="Hyperlink"/>
          </w:rPr>
          <w:t xml:space="preserve">https://mydata.org/declaration/</w:t>
        </w:r>
      </w:hyperlink>
      <w:r>
        <w:t xml:space="preserve"> </w:t>
      </w:r>
      <w:r>
        <w:t xml:space="preserve">(Accessed: 8 November 2019).</w:t>
      </w:r>
    </w:p>
    <w:bookmarkEnd w:id="125"/>
    <w:bookmarkStart w:id="127" w:name="ref-openRightsGroup"/>
    <w:p>
      <w:pPr>
        <w:pStyle w:val="Bibliography"/>
      </w:pPr>
      <w:r>
        <w:t xml:space="preserve">‘Open rights group: Who we are’ (no date). Available at:</w:t>
      </w:r>
      <w:r>
        <w:t xml:space="preserve"> </w:t>
      </w:r>
      <w:hyperlink r:id="rId126">
        <w:r>
          <w:rPr>
            <w:rStyle w:val="Hyperlink"/>
          </w:rPr>
          <w:t xml:space="preserve">https://www.openrightsgroup.org/who-we-are/</w:t>
        </w:r>
      </w:hyperlink>
      <w:r>
        <w:t xml:space="preserve"> </w:t>
      </w:r>
      <w:r>
        <w:t xml:space="preserve">(Accessed: 16 June 2022).</w:t>
      </w:r>
    </w:p>
    <w:bookmarkEnd w:id="127"/>
    <w:bookmarkStart w:id="129" w:name="ref-p2pwikiRecursivePublic"/>
    <w:p>
      <w:pPr>
        <w:pStyle w:val="Bibliography"/>
      </w:pPr>
      <w:r>
        <w:t xml:space="preserve">‘Recursive Public (Discussion Page)’ (no date). Available at:</w:t>
      </w:r>
      <w:r>
        <w:t xml:space="preserve"> </w:t>
      </w:r>
      <w:hyperlink r:id="rId128">
        <w:r>
          <w:rPr>
            <w:rStyle w:val="Hyperlink"/>
          </w:rPr>
          <w:t xml:space="preserve">https://wiki.p2pfoundation.net/Recursive_Public</w:t>
        </w:r>
      </w:hyperlink>
      <w:r>
        <w:t xml:space="preserve"> </w:t>
      </w:r>
      <w:r>
        <w:t xml:space="preserve">(Accessed: 16 June 2022).</w:t>
      </w:r>
    </w:p>
    <w:bookmarkEnd w:id="129"/>
    <w:bookmarkStart w:id="131"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130">
        <w:r>
          <w:rPr>
            <w:rStyle w:val="Hyperlink"/>
          </w:rPr>
          <w:t xml:space="preserve">http://www.theoryofchange.org/wp-content/uploads/toco_library/pdf/ToCBasics.pdf</w:t>
        </w:r>
      </w:hyperlink>
      <w:r>
        <w:t xml:space="preserve">.</w:t>
      </w:r>
    </w:p>
    <w:bookmarkEnd w:id="131"/>
    <w:bookmarkStart w:id="133" w:name="ref-taylor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132">
        <w:r>
          <w:rPr>
            <w:rStyle w:val="Hyperlink"/>
          </w:rPr>
          <w:t xml:space="preserve">10.1177/2053951717736335</w:t>
        </w:r>
      </w:hyperlink>
      <w:r>
        <w:t xml:space="preserve">.</w:t>
      </w:r>
    </w:p>
    <w:bookmarkEnd w:id="133"/>
    <w:bookmarkStart w:id="135"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134">
        <w:r>
          <w:rPr>
            <w:rStyle w:val="Hyperlink"/>
          </w:rPr>
          <w:t xml:space="preserve">10.1145/2851581.2886436</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The group of HCI researchers involved in this panel were (with the exception of Raya Fidel)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30">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2">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jpg" /><Relationship Type="http://schemas.openxmlformats.org/officeDocument/2006/relationships/image" Id="rId66" Target="media/rId66.jpg" /><Relationship Type="http://schemas.openxmlformats.org/officeDocument/2006/relationships/hyperlink" Id="rId107" Target="http://www.minimizedistraction.com/" TargetMode="External" /><Relationship Type="http://schemas.openxmlformats.org/officeDocument/2006/relationships/hyperlink" Id="rId130" Target="http://www.theoryofchange.org/wp-content/uploads/toco_library/pdf/ToCBasics.pdf" TargetMode="External" /><Relationship Type="http://schemas.openxmlformats.org/officeDocument/2006/relationships/hyperlink" Id="rId109" Target="http://www3.weforum.org/docs/WEF_RethinkingPersonalData_ANewLens_Report_2014.pdf" TargetMode="External" /><Relationship Type="http://schemas.openxmlformats.org/officeDocument/2006/relationships/hyperlink" Id="rId98" Target="https://doi.org/10.1007/s12394-010-0062-y" TargetMode="External" /><Relationship Type="http://schemas.openxmlformats.org/officeDocument/2006/relationships/hyperlink" Id="rId118" Target="https://doi.org/10.1016/j.lisr.2008.07.001" TargetMode="External" /><Relationship Type="http://schemas.openxmlformats.org/officeDocument/2006/relationships/hyperlink" Id="rId111" Target="https://doi.org/10.1145/1125451.1125469" TargetMode="External" /><Relationship Type="http://schemas.openxmlformats.org/officeDocument/2006/relationships/hyperlink" Id="rId134" Target="https://doi.org/10.1145/2851581.2886436" TargetMode="External" /><Relationship Type="http://schemas.openxmlformats.org/officeDocument/2006/relationships/hyperlink" Id="rId100" Target="https://doi.org/10.1145/3301655" TargetMode="External" /><Relationship Type="http://schemas.openxmlformats.org/officeDocument/2006/relationships/hyperlink" Id="rId132" Target="https://doi.org/10.1177/2053951717736335" TargetMode="External" /><Relationship Type="http://schemas.openxmlformats.org/officeDocument/2006/relationships/hyperlink" Id="rId122" Target="https://doi.org/10.2139/ssrn.2508051" TargetMode="External" /><Relationship Type="http://schemas.openxmlformats.org/officeDocument/2006/relationships/hyperlink" Id="rId120" Target="https://doi.org/10.5210/fm.v17i5.4013" TargetMode="External" /><Relationship Type="http://schemas.openxmlformats.org/officeDocument/2006/relationships/hyperlink" Id="rId95" Target="https://eprints.ncl.ac.uk/273832#." TargetMode="External" /><Relationship Type="http://schemas.openxmlformats.org/officeDocument/2006/relationships/hyperlink" Id="rId103" Target="https://explainableai.com/" TargetMode="External" /><Relationship Type="http://schemas.openxmlformats.org/officeDocument/2006/relationships/hyperlink" Id="rId124" Target="https://mydata.org/declaration/" TargetMode="External" /><Relationship Type="http://schemas.openxmlformats.org/officeDocument/2006/relationships/hyperlink" Id="rId113" Target="https://s3.amazonaws.com/academia.edu.documents/46870765/haystack.pdf" TargetMode="External" /><Relationship Type="http://schemas.openxmlformats.org/officeDocument/2006/relationships/hyperlink" Id="rId105" Target="https://socialmediacollective.org/reading-lists/critical-algorithm-studies/" TargetMode="External" /><Relationship Type="http://schemas.openxmlformats.org/officeDocument/2006/relationships/hyperlink" Id="rId128" Target="https://wiki.p2pfoundation.net/Recursive_Public" TargetMode="External" /><Relationship Type="http://schemas.openxmlformats.org/officeDocument/2006/relationships/hyperlink" Id="rId126" Target="https://www.openrightsgroup.org/who-we-are/" TargetMode="External" /></Relationships>
</file>

<file path=word/_rels/footnotes.xml.rels><?xml version="1.0" encoding="UTF-8"?>
<Relationships xmlns="http://schemas.openxmlformats.org/package/2006/relationships"><Relationship Type="http://schemas.openxmlformats.org/officeDocument/2006/relationships/hyperlink" Id="rId107" Target="http://www.minimizedistraction.com/" TargetMode="External" /><Relationship Type="http://schemas.openxmlformats.org/officeDocument/2006/relationships/hyperlink" Id="rId130" Target="http://www.theoryofchange.org/wp-content/uploads/toco_library/pdf/ToCBasics.pdf" TargetMode="External" /><Relationship Type="http://schemas.openxmlformats.org/officeDocument/2006/relationships/hyperlink" Id="rId109" Target="http://www3.weforum.org/docs/WEF_RethinkingPersonalData_ANewLens_Report_2014.pdf" TargetMode="External" /><Relationship Type="http://schemas.openxmlformats.org/officeDocument/2006/relationships/hyperlink" Id="rId98" Target="https://doi.org/10.1007/s12394-010-0062-y" TargetMode="External" /><Relationship Type="http://schemas.openxmlformats.org/officeDocument/2006/relationships/hyperlink" Id="rId118" Target="https://doi.org/10.1016/j.lisr.2008.07.001" TargetMode="External" /><Relationship Type="http://schemas.openxmlformats.org/officeDocument/2006/relationships/hyperlink" Id="rId111" Target="https://doi.org/10.1145/1125451.1125469" TargetMode="External" /><Relationship Type="http://schemas.openxmlformats.org/officeDocument/2006/relationships/hyperlink" Id="rId134" Target="https://doi.org/10.1145/2851581.2886436" TargetMode="External" /><Relationship Type="http://schemas.openxmlformats.org/officeDocument/2006/relationships/hyperlink" Id="rId100" Target="https://doi.org/10.1145/3301655" TargetMode="External" /><Relationship Type="http://schemas.openxmlformats.org/officeDocument/2006/relationships/hyperlink" Id="rId132" Target="https://doi.org/10.1177/2053951717736335" TargetMode="External" /><Relationship Type="http://schemas.openxmlformats.org/officeDocument/2006/relationships/hyperlink" Id="rId122" Target="https://doi.org/10.2139/ssrn.2508051" TargetMode="External" /><Relationship Type="http://schemas.openxmlformats.org/officeDocument/2006/relationships/hyperlink" Id="rId120" Target="https://doi.org/10.5210/fm.v17i5.4013" TargetMode="External" /><Relationship Type="http://schemas.openxmlformats.org/officeDocument/2006/relationships/hyperlink" Id="rId95" Target="https://eprints.ncl.ac.uk/273832#." TargetMode="External" /><Relationship Type="http://schemas.openxmlformats.org/officeDocument/2006/relationships/hyperlink" Id="rId103" Target="https://explainableai.com/" TargetMode="External" /><Relationship Type="http://schemas.openxmlformats.org/officeDocument/2006/relationships/hyperlink" Id="rId124" Target="https://mydata.org/declaration/" TargetMode="External" /><Relationship Type="http://schemas.openxmlformats.org/officeDocument/2006/relationships/hyperlink" Id="rId113" Target="https://s3.amazonaws.com/academia.edu.documents/46870765/haystack.pdf" TargetMode="External" /><Relationship Type="http://schemas.openxmlformats.org/officeDocument/2006/relationships/hyperlink" Id="rId105" Target="https://socialmediacollective.org/reading-lists/critical-algorithm-studies/" TargetMode="External" /><Relationship Type="http://schemas.openxmlformats.org/officeDocument/2006/relationships/hyperlink" Id="rId128" Target="https://wiki.p2pfoundation.net/Recursive_Public" TargetMode="External" /><Relationship Type="http://schemas.openxmlformats.org/officeDocument/2006/relationships/hyperlink" Id="rId126" Target="https://www.openrightsgroup.org/who-we-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2022-06-17T17:22:53Z</dcterms:created>
  <dcterms:modified xsi:type="dcterms:W3CDTF">2022-06-17T17:22:53Z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