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d952513ae9dce3e914b4918eae08e1eddd37faa">
        <w:r>
          <w:rPr>
            <w:rStyle w:val="Hyperlink"/>
          </w:rPr>
          <w:t xml:space="preserve">1.1.1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 Human Data Interaction [</w:t>
      </w:r>
      <w:hyperlink w:anchor="X83b2e9f55420fa41efd48e4a45103566c9e4767">
        <w:r>
          <w:rPr>
            <w:rStyle w:val="Hyperlink"/>
          </w:rPr>
          <w:t xml:space="preserve">2.3.2</w:t>
        </w:r>
      </w:hyperlink>
      <w:r>
        <w:t xml:space="preserve">] and the emergent innovation around Personal Data Ecosystems 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learned knew where to position my existing and newly-discovered understandings into the existing research landscape.</w:t>
      </w:r>
    </w:p>
    <w:p>
      <w:pPr>
        <w:pStyle w:val="BodyText"/>
      </w:pPr>
      <w:r>
        <w:t xml:space="preserve">As my understandings of Human Data Relations informed by the Case Studies coalesced into a clear, cross-validated understanding of what people want and need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was developing throughout the research.</w:t>
      </w:r>
    </w:p>
    <w:p>
      <w:pPr>
        <w:pStyle w:val="BodyText"/>
      </w:pPr>
      <w:r>
        <w:t xml:space="preserve">I was especially lucky to be able to find peripheral activities, especially with the BBC and Hestia.ai, that fitted so well alongside my research agenda. These activities slotted perfectly into the existing action research cycle [</w:t>
      </w:r>
      <w:hyperlink w:anchor="X03a4300e5939d1d7fbfb90958aac5b413468ba3">
        <w:r>
          <w:rPr>
            <w:rStyle w:val="Hyperlink"/>
          </w:rPr>
          <w:t xml:space="preserve">3.2.2</w:t>
        </w:r>
      </w:hyperlink>
      <w:r>
        <w:t xml:space="preserve">; Figure 3.14)(#figure-3.14)]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w:t>
      </w:r>
      <w:r>
        <w:t xml:space="preserve"> </w:t>
      </w:r>
      <w:hyperlink w:anchor="chapter-7">
        <w:r>
          <w:rPr>
            <w:rStyle w:val="Hyperlink"/>
          </w:rPr>
          <w:t xml:space="preserve">Chapter 7</w:t>
        </w:r>
      </w:hyperlink>
      <w:r>
        <w:t xml:space="preserve"> </w:t>
      </w:r>
      <w:r>
        <w:t xml:space="preserve">I leave behind the traditional researcher-as-observer stance and step forward into taking an active role as an expert in user-centred design (UCD)</w:t>
      </w:r>
      <w:r>
        <w:t xml:space="preserve"> </w:t>
      </w:r>
      <w:hyperlink w:anchor="X98d4ef3e7a6039ddbf0f888a2fd1c5243f7318b">
        <w:r>
          <w:rPr>
            <w:rStyle w:val="Hyperlink"/>
          </w:rPr>
          <w:t xml:space="preserve">3.2.1</w:t>
        </w:r>
      </w:hyperlink>
      <w:r>
        <w:t xml:space="preserve"> </w:t>
      </w:r>
      <w:r>
        <w:t xml:space="preserve">and practical software interface and process design and innovation.</w:t>
      </w:r>
    </w:p>
    <w:p>
      <w:pPr>
        <w:pStyle w:val="BodyText"/>
      </w:pPr>
      <w:r>
        <w:t xml:space="preserve">It has been a tremendous privilege to spend six years understanding in great detail the nature of the problems facing our data-centric society, to map those impacts into to tangible needs, and to be able to map out the landscape for improving the way we relate to data. As well as allowing me to find rich evidence to quantify and qualify the losses of agency I had observed, in a far greater level of detail than has been discovered previously, this programme has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 It has allowed me design and prototype new models and views of data and of information which have transformed the way I look at digital information and how we relate to it - most notably the five types of data [</w:t>
      </w:r>
      <w:hyperlink w:anchor="table-5.2">
        <w:r>
          <w:rPr>
            <w:rStyle w:val="Hyperlink"/>
          </w:rPr>
          <w:t xml:space="preserve">Table 5.2</w:t>
        </w:r>
      </w:hyperlink>
      <w:r>
        <w:t xml:space="preserve">], the two purposes of HDR [</w:t>
      </w:r>
      <w:hyperlink w:anchor="figure-7.1">
        <w:r>
          <w:rPr>
            <w:rStyle w:val="Hyperlink"/>
          </w:rPr>
          <w:t xml:space="preserve">Figure 7.1</w:t>
        </w:r>
      </w:hyperlink>
      <w:r>
        <w:t xml:space="preserve">], and the understandings of how to effect change in the HDR landscape [Figures</w:t>
      </w:r>
      <w:r>
        <w:t xml:space="preserve"> </w:t>
      </w:r>
      <w:hyperlink w:anchor="X96c51c3d98f021d42ee8c458ed421add6b4adde">
        <w:r>
          <w:rPr>
            <w:rStyle w:val="Hyperlink"/>
          </w:rPr>
          <w:t xml:space="preserve">7.3</w:t>
        </w:r>
      </w:hyperlink>
      <w:r>
        <w:t xml:space="preserve">,</w:t>
      </w:r>
      <w:r>
        <w:t xml:space="preserve"> </w:t>
      </w:r>
      <w:hyperlink w:anchor="figure-7.15">
        <w:r>
          <w:rPr>
            <w:rStyle w:val="Hyperlink"/>
          </w:rPr>
          <w:t xml:space="preserve">7.15</w:t>
        </w:r>
      </w:hyperlink>
      <w:r>
        <w:t xml:space="preserve">,</w:t>
      </w:r>
      <w:r>
        <w:t xml:space="preserve"> </w:t>
      </w:r>
      <w:hyperlink w:anchor="figure-7.16">
        <w:r>
          <w:rPr>
            <w:rStyle w:val="Hyperlink"/>
          </w:rPr>
          <w:t xml:space="preserve">7.16</w:t>
        </w:r>
      </w:hyperlink>
      <w:r>
        <w:t xml:space="preserve">,</w:t>
      </w:r>
      <w:r>
        <w:t xml:space="preserve"> </w:t>
      </w:r>
      <w:hyperlink w:anchor="figure-7.32">
        <w:r>
          <w:rPr>
            <w:rStyle w:val="Hyperlink"/>
          </w:rPr>
          <w:t xml:space="preserve">7.32</w:t>
        </w:r>
      </w:hyperlink>
      <w:r>
        <w:t xml:space="preserve">, and</w:t>
      </w:r>
      <w:r>
        <w:t xml:space="preserve"> </w:t>
      </w:r>
      <w:hyperlink w:anchor="figure-7.34">
        <w:r>
          <w:rPr>
            <w:rStyle w:val="Hyperlink"/>
          </w:rPr>
          <w:t xml:space="preserve">7.34</w:t>
        </w:r>
      </w:hyperlink>
      <w:r>
        <w:t xml:space="preserve">] which I hope can help others in the same way.</w:t>
      </w:r>
    </w:p>
    <w:p>
      <w:pPr>
        <w:pStyle w:val="BodyText"/>
      </w:pPr>
      <w:r>
        <w:t xml:space="preserve">The collaborative opportunities of this PhD have been significant. Without this thesis I would never have had the opportunities to discuss and develop models for personal data interaction and improved ecosystem negotiability with experts at the BBC, Hestia and the wider MyData community. Alongside these formal collaborations, I have also disseminated ideas through blogs, tweets, workshop papers and lectures, which has helped to refine and clarify ideas but also to stimulate valuable discussions with interested people to gain feedback that helps develop the models further.</w:t>
      </w:r>
    </w:p>
    <w:p>
      <w:pPr>
        <w:pStyle w:val="BodyText"/>
      </w:pPr>
      <w:r>
        <w:t xml:space="preserve">This opportunity has opened doors that allow me to dedicate my future career to putting these learnings into action, working on important projects [</w:t>
      </w:r>
      <w:hyperlink w:anchor="Xe27230ba01bbc53968feca07aae81d544d0a7c6">
        <w:r>
          <w:rPr>
            <w:rStyle w:val="Hyperlink"/>
          </w:rPr>
          <w:t xml:space="preserve">7.1.1</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in some small way, contribute to a better, more human-centric digital world, and I can’t wait to see where this leads.</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0">
        <w:r>
          <w:rPr>
            <w:rStyle w:val="Hyperlink"/>
          </w:rPr>
          <w:t xml:space="preserve">10</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pursuit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 clear and actionable insights that could be immediately explored by researchers and innovators -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2022-08-22T15:47:31Z</dcterms:created>
  <dcterms:modified xsi:type="dcterms:W3CDTF">2022-08-22T15:47:31Z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