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1"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w:t>
      </w:r>
      <w:r>
        <w:t xml:space="preserve"> </w:t>
      </w:r>
      <w:r>
        <w:rPr>
          <w:bCs/>
          <w:b/>
        </w:rPr>
        <w:t xml:space="preserve">already-formed ideas</w:t>
      </w:r>
      <w:r>
        <w:t xml:space="preserve"> </w:t>
      </w:r>
      <w:r>
        <w:t xml:space="preserve">about the nature of the problem. This was not an ideal match for the traditionally participant-led approach of HCI, where ideas and insights normally arise solely from one’s participants. However, through the discipline of the Digital Civics 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w:t>
      </w:r>
      <w:r>
        <w:t xml:space="preserve"> </w:t>
      </w:r>
      <w:r>
        <w:rPr>
          <w:bCs/>
          <w:b/>
        </w:rPr>
        <w:t xml:space="preserve">participant experience to be the primary source of data</w:t>
      </w:r>
      <w:r>
        <w:t xml:space="preserve">, to produce findings and discursive conclusions that are as much the participants as my own.</w:t>
      </w:r>
    </w:p>
    <w:p>
      <w:pPr>
        <w:pStyle w:val="BodyText"/>
      </w:pPr>
      <w:r>
        <w:t xml:space="preserve">Along the way I discovered</w:t>
      </w:r>
      <w:r>
        <w:t xml:space="preserve"> </w:t>
      </w:r>
      <w:r>
        <w:rPr>
          <w:bCs/>
          <w:b/>
        </w:rPr>
        <w:t xml:space="preserve">vital areas of literature and existing work,</w:t>
      </w:r>
      <w:r>
        <w:t xml:space="preserve"> </w:t>
      </w:r>
      <w:r>
        <w:t xml:space="preserve">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learned knew where to position my existing and newly-discovered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w:t>
      </w:r>
      <w:r>
        <w:t xml:space="preserve"> </w:t>
      </w:r>
      <w:r>
        <w:rPr>
          <w:bCs/>
          <w:b/>
        </w:rPr>
        <w:t xml:space="preserve">grow and evolve as a researcher</w:t>
      </w:r>
      <w:r>
        <w:t xml:space="preserve">; moving from investigatory or theoretical research to more</w:t>
      </w:r>
      <w:r>
        <w:t xml:space="preserve"> </w:t>
      </w:r>
      <w:r>
        <w:rPr>
          <w:bCs/>
          <w:b/>
        </w:rPr>
        <w:t xml:space="preserve">practical, activist work</w:t>
      </w:r>
      <w:r>
        <w:t xml:space="preserve"> </w:t>
      </w:r>
      <w:r>
        <w:t xml:space="preserve">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w:t>
      </w:r>
      <w:r>
        <w:t xml:space="preserve"> </w:t>
      </w:r>
      <w:r>
        <w:rPr>
          <w:bCs/>
          <w:b/>
        </w:rPr>
        <w:t xml:space="preserve">a powerful feedback loop</w:t>
      </w:r>
      <w:r>
        <w:t xml:space="preserve"> </w:t>
      </w:r>
      <w:r>
        <w:t xml:space="preserve">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w:t>
      </w:r>
      <w:r>
        <w:t xml:space="preserve"> </w:t>
      </w:r>
      <w:r>
        <w:rPr>
          <w:bCs/>
          <w:b/>
        </w:rPr>
        <w:t xml:space="preserve">taking an active role as an expert</w:t>
      </w:r>
      <w:r>
        <w:t xml:space="preserve"> </w:t>
      </w:r>
      <w:r>
        <w:t xml:space="preserve">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w:t>
      </w:r>
      <w:r>
        <w:t xml:space="preserve"> </w:t>
      </w:r>
      <w:r>
        <w:rPr>
          <w:bCs/>
          <w:b/>
        </w:rPr>
        <w:t xml:space="preserve">embrace my role as an HDR activist</w:t>
      </w:r>
      <w:r>
        <w:t xml:space="preserve"> </w:t>
      </w:r>
      <w:r>
        <w:t xml:space="preserve">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w:t>
      </w:r>
      <w:r>
        <w:t xml:space="preserve"> </w:t>
      </w:r>
      <w:r>
        <w:rPr>
          <w:bCs/>
          <w:b/>
        </w:rPr>
        <w:t xml:space="preserve">transformed the way I look at digital information</w:t>
      </w:r>
      <w:r>
        <w:t xml:space="preserve"> </w:t>
      </w:r>
      <w:r>
        <w:t xml:space="preserve">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w:t>
      </w:r>
      <w:r>
        <w:t xml:space="preserve"> </w:t>
      </w:r>
      <w:r>
        <w:rPr>
          <w:bCs/>
          <w:b/>
        </w:rPr>
        <w:t xml:space="preserve">collaborative opportunities of this PhD</w:t>
      </w:r>
      <w:r>
        <w:t xml:space="preserve"> </w:t>
      </w:r>
      <w:r>
        <w:t xml:space="preserve">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w:t>
      </w:r>
      <w:r>
        <w:t xml:space="preserve"> </w:t>
      </w:r>
      <w:r>
        <w:rPr>
          <w:bCs/>
          <w:b/>
        </w:rPr>
        <w:t xml:space="preserve">putting these learnings into action</w:t>
      </w:r>
      <w:r>
        <w:t xml:space="preserve">, working on important projects [</w:t>
      </w:r>
      <w:hyperlink r:id="rId20">
        <w:r>
          <w:rPr>
            <w:rStyle w:val="Hyperlink"/>
          </w:rPr>
          <w:t xml:space="preserve">7.1.1</w:t>
        </w:r>
      </w:hyperlink>
      <w:r>
        <w:t xml:space="preserve">] to explore how data interaction reforms can be realised in practice, and how we can become not just innovators but social data activists. I now</w:t>
      </w:r>
      <w:r>
        <w:t xml:space="preserve"> </w:t>
      </w:r>
      <w:r>
        <w:rPr>
          <w:bCs/>
          <w:b/>
        </w:rPr>
        <w:t xml:space="preserve">know how to begin to have an impact</w:t>
      </w:r>
      <w:r>
        <w:t xml:space="preserve"> </w:t>
      </w:r>
      <w:r>
        <w:t xml:space="preserve">and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1"/>
    <w:bookmarkStart w:id="22"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3">
        <w:r>
          <w:rPr>
            <w:rStyle w:val="Hyperlink"/>
          </w:rPr>
          <w:t xml:space="preserve">13</w:t>
        </w:r>
      </w:hyperlink>
      <w:r>
        <w:t xml:space="preserve"> </w:t>
      </w:r>
      <w:r>
        <w:rPr>
          <w:bCs/>
          <w:b/>
        </w:rPr>
        <w:t xml:space="preserve">data</w:t>
      </w:r>
      <w:r>
        <w:t xml:space="preserve">,</w:t>
      </w:r>
      <w:r>
        <w:t xml:space="preserve"> </w:t>
      </w:r>
      <w:r>
        <w:rPr>
          <w:bCs/>
          <w:b/>
        </w:rPr>
        <w:t xml:space="preserve">process transparency, individual oversight capabilities and involvement in decision 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3">
        <w:r>
          <w:rPr>
            <w:rStyle w:val="Hyperlink"/>
          </w:rPr>
          <w:t xml:space="preserve">13</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p>
      <w:r>
        <w:pict>
          <v:rect style="width:0;height:1.5pt" o:hralign="center" o:hrstd="t" o:hr="t"/>
        </w:pict>
      </w:r>
    </w:p>
    <w:bookmarkEnd w:id="22"/>
    <w:bookmarkEnd w:id="23"/>
    <w:bookmarkStart w:id="25" w:name="bibliography"/>
    <w:p>
      <w:pPr>
        <w:pStyle w:val="Heading1"/>
      </w:pPr>
      <w:r>
        <w:t xml:space="preserve">Bibliography</w:t>
      </w:r>
    </w:p>
    <w:bookmarkStart w:id="24" w:name="refs"/>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7.1.1" TargetMode="External" /></Relationships>
</file>

<file path=word/_rels/footnotes.xml.rels><?xml version="1.0" encoding="UTF-8"?><Relationships xmlns="http://schemas.openxmlformats.org/package/2006/relationships"><Relationship Type="http://schemas.openxmlformats.org/officeDocument/2006/relationships/hyperlink" Id="rId20" Target="7.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2022-08-18T16:31:22Z</dcterms:created>
  <dcterms:modified xsi:type="dcterms:W3CDTF">2022-08-18T16:31:22Z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