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w:t>
      </w:r>
    </w:p>
    <w:p>
      <w:pPr>
        <w:pStyle w:val="BodyText"/>
      </w:pPr>
      <w:r>
        <w:t xml:space="preserve">However, through the discipline of the Digital Civics programme and the experience of publishing peer-reviewed papers I have found ways to explore the research questions objectively. Recognising that these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sub-discipine of Human Data Interaction [</w:t>
      </w:r>
      <w:hyperlink w:anchor="X83b2e9f55420fa41efd48e4a45103566c9e4767">
        <w:r>
          <w:rPr>
            <w:rStyle w:val="Hyperlink"/>
          </w:rPr>
          <w:t xml:space="preserve">2.3.2</w:t>
        </w:r>
      </w:hyperlink>
      <w:r>
        <w:t xml:space="preserve">] and the emergent innovation around Personal Data Ecosystems [</w:t>
      </w:r>
      <w:hyperlink w:anchor="X7b06b2486a051055e43ae1127e87196d505e2f3">
        <w:r>
          <w:rPr>
            <w:rStyle w:val="Hyperlink"/>
          </w:rPr>
          <w:t xml:space="preserve">2.3.4</w:t>
        </w:r>
      </w:hyperlink>
      <w:r>
        <w:t xml:space="preserve">]. Collectively, I now knew where to position my existing and newly 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using both GDPR and web-scraping to access data and push boundaries, to really</w:t>
      </w:r>
      <w:r>
        <w:t xml:space="preserve"> </w:t>
      </w:r>
      <w:r>
        <w:rPr>
          <w:bCs/>
          <w:b/>
        </w:rPr>
        <w:t xml:space="preserve">embrace my role as an HDR activist</w:t>
      </w:r>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2022-08-10T15:08:25Z</dcterms:created>
  <dcterms:modified xsi:type="dcterms:W3CDTF">2022-08-10T15:08:25Z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