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PCs, smartphones, and cloud computing have transformed the world: In our daily lives, we interact with many businesses and public services who (often to reduce costs)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personal data and the individuals about whom data is stored, who cannot easily see their data or examine how it is used. This</w:t>
      </w:r>
      <w:r>
        <w:t xml:space="preserve"> </w:t>
      </w:r>
      <w:r>
        <w:rPr>
          <w:iCs/>
          <w:i/>
        </w:rPr>
        <w:t xml:space="preserve">Digital Civics</w:t>
      </w:r>
      <w:r>
        <w:t xml:space="preserve"> </w:t>
      </w:r>
      <w:r>
        <w:t xml:space="preserve">PhD research explores, from an individualist perspective, the lived experience of this imbalanced and data-centric world. Through two qualitative case studies across public and private sectors, it discovers desires for visible, understandable and useable data, and for transparent relations with data holders that enable oversight and involvement. Case Study One focuses on</w:t>
      </w:r>
      <w:r>
        <w:t xml:space="preserve"> </w:t>
      </w:r>
      <w:r>
        <w:rPr>
          <w:iCs/>
          <w:i/>
        </w:rPr>
        <w:t xml:space="preserve">Early Help</w:t>
      </w:r>
      <w:r>
        <w:t xml:space="preserve"> </w:t>
      </w:r>
      <w:r>
        <w:t xml:space="preserve">social care: Through four workshops with supported families and social workers, perspectives on civic data use are understood.</w:t>
      </w:r>
      <w:r>
        <w:t xml:space="preserve"> </w:t>
      </w:r>
      <w:r>
        <w:rPr>
          <w:iCs/>
          <w:i/>
        </w:rPr>
        <w:t xml:space="preserve">Shared data interaction</w:t>
      </w:r>
      <w:r>
        <w:t xml:space="preserve"> </w:t>
      </w:r>
      <w:r>
        <w:t xml:space="preserve">is explored as a means to empower individuals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Expanding upon prior work in</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and informed by parallel industrial experience, a new research agenda for improving</w:t>
      </w:r>
      <w:r>
        <w:t xml:space="preserve"> </w:t>
      </w:r>
      <w:r>
        <w:rPr>
          <w:bCs/>
          <w:b/>
          <w:iCs/>
          <w:i/>
        </w:rPr>
        <w:t xml:space="preserve">Human Data Relations (HDR)</w:t>
      </w:r>
      <w:r>
        <w:t xml:space="preserve"> </w:t>
      </w:r>
      <w:r>
        <w:t xml:space="preserve">is established. The thesis then explores the</w:t>
      </w:r>
      <w:r>
        <w:t xml:space="preserve"> </w:t>
      </w:r>
      <w:r>
        <w:rPr>
          <w:iCs/>
          <w:i/>
        </w:rPr>
        <w:t xml:space="preserve">practical pursuit</w:t>
      </w:r>
      <w:r>
        <w:t xml:space="preserve"> </w:t>
      </w:r>
      <w:r>
        <w:t xml:space="preserve">of this agenda from an technologist’s adversarial design stance. Drawing on first-hand knowledge acquired from the author’s expert participation in research projects at BBC R&amp;D and Hestia.ai/Sitra,</w:t>
      </w:r>
      <w:r>
        <w:t xml:space="preserve"> </w:t>
      </w:r>
      <w:r>
        <w:rPr>
          <w:iCs/>
          <w:i/>
        </w:rPr>
        <w:t xml:space="preserve">the landscape for future research and innovation</w:t>
      </w:r>
      <w:r>
        <w:t xml:space="preserve"> </w:t>
      </w:r>
      <w:r>
        <w:t xml:space="preserve">is mapped out in terms of obstacles, designerly insights and activist strategies.</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contribute to a better future for you all.</w:t>
      </w:r>
    </w:p>
    <w:bookmarkEnd w:id="21"/>
    <w:bookmarkStart w:id="40"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uncertainties and impacts upon income, time,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Paul, Nicola, Sara, James, Glau, Fion, Alex, and all the other School admin staff, for countless random assists;</w:t>
      </w:r>
    </w:p>
    <w:p>
      <w:pPr>
        <w:numPr>
          <w:ilvl w:val="0"/>
          <w:numId w:val="1001"/>
        </w:numPr>
        <w:pStyle w:val="Compact"/>
      </w:pPr>
      <w:r>
        <w:t xml:space="preserve">Rob Comber, Simon Bowen, Matt Wood and other lecturers who taught me valuable</w:t>
      </w:r>
      <w:r>
        <w:t xml:space="preserve"> </w:t>
      </w:r>
      <w:r>
        <w:rPr>
          <w:iCs/>
          <w:i/>
        </w:rPr>
        <w:t xml:space="preserve">Digital Civics</w:t>
      </w:r>
      <w:r>
        <w:t xml:space="preserve"> </w:t>
      </w:r>
      <w:r>
        <w:t xml:space="preserve">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making thesis development so much easier;</w:t>
      </w:r>
    </w:p>
    <w:p>
      <w:pPr>
        <w:numPr>
          <w:ilvl w:val="0"/>
          <w:numId w:val="1003"/>
        </w:numPr>
        <w:pStyle w:val="Compact"/>
      </w:pPr>
      <w:r>
        <w:t xml:space="preserve">Tom Nappey, Laura Pinzon Cardona and Rosie Daglish for their assistance with graphic design;</w:t>
      </w:r>
    </w:p>
    <w:p>
      <w:pPr>
        <w:numPr>
          <w:ilvl w:val="0"/>
          <w:numId w:val="1003"/>
        </w:numPr>
        <w:pStyle w:val="Compact"/>
      </w:pPr>
      <w:r>
        <w:t xml:space="preserve">Louis Goffe, Debbie Smart, Kat Jackson, Liam Spencer, Ruth McGovern and Kyle Montague for giving their time to help run workshops with participants in the pilot study and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Euijin Hwang, Toby Lowe, James Nicholson, Alan Mitchell, Iain Henderson, StJohn Deakins, Dalia Al-Shahrabi, Anna Scott, Sarah Knowles, and Michael Jelly, all of whom I have had the pleasure to work with, ruminate with or learn from;</w:t>
      </w:r>
    </w:p>
    <w:p>
      <w:pPr>
        <w:numPr>
          <w:ilvl w:val="0"/>
          <w:numId w:val="1003"/>
        </w:numPr>
        <w:pStyle w:val="Compact"/>
      </w:pPr>
      <w:r>
        <w:t xml:space="preserve">Chris Lintott and everyone in the Oxford University/Zooniverse team for giving me the smoothest possible start in postgraduate academia before I joined Open Lab;</w:t>
      </w:r>
    </w:p>
    <w:p>
      <w:pPr>
        <w:numPr>
          <w:ilvl w:val="0"/>
          <w:numId w:val="1003"/>
        </w:numPr>
        <w:pStyle w:val="Compact"/>
      </w:pPr>
      <w:r>
        <w:t xml:space="preserve">Kellie Morrissey, Aare Puussaar, Andy Dow, Anja McCarthy,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tbl>
      <w:tblPr>
        <w:tblStyle w:val="Table"/>
        <w:tblW w:type="pct" w:w="208"/>
        <w:tblLook w:firstRow="0" w:lastRow="0" w:firstColumn="0" w:lastColumn="0" w:noHBand="0" w:noVBand="0" w:val="0000"/>
      </w:tblPr>
      <w:tblGrid>
        <w:gridCol w:w="330"/>
      </w:tblGrid>
      <w:tr>
        <w:tc>
          <w:tcPr/>
          <w:p>
            <w:pPr>
              <w:pStyle w:val="Compact"/>
              <w:jc w:val="left"/>
            </w:pPr>
            <w:r>
              <w:t xml:space="preserve">This PhD was funded by the Engineering and Physical Sciences Research Council (EPSRC)’s Centre for Doctoral Training in Digital Civics at Newcastle University in the UK (EP/L016176/1).</w:t>
            </w:r>
          </w:p>
        </w:tc>
      </w:tr>
      <w:tr>
        <w:tc>
          <w:tcPr/>
          <w:p>
            <w:pPr>
              <w:pStyle w:val="Compact"/>
              <w:jc w:val="left"/>
            </w:pPr>
            <w:r>
              <w:t xml:space="preserve">Lists of Tables, Figures and Inset Boxes {.unnumbered}</w:t>
            </w:r>
            <w:r>
              <w:t xml:space="preserve"> </w:t>
            </w:r>
            <w:r>
              <w:t xml:space="preserve">========================================</w:t>
            </w:r>
          </w:p>
        </w:tc>
      </w:tr>
      <w:tr>
        <w:tc>
          <w:tcPr/>
          <w:p>
            <w:pPr>
              <w:pStyle w:val="Compact"/>
              <w:jc w:val="left"/>
            </w:pPr>
            <w:r>
              <w:t xml:space="preserve">Lists of Tables by Chapter {.unnumbered .unlisted}</w:t>
            </w:r>
          </w:p>
        </w:tc>
      </w:tr>
    </w:tbl>
    <w:bookmarkStart w:id="22" w:name="tables-in-chapter-3"/>
    <w:p>
      <w:pPr>
        <w:pStyle w:val="Heading3"/>
      </w:pPr>
      <w:r>
        <w:t xml:space="preserve">Tables in Chapter 3</w:t>
      </w:r>
    </w:p>
    <w:p>
      <w:pPr>
        <w:numPr>
          <w:ilvl w:val="0"/>
          <w:numId w:val="1004"/>
        </w:numPr>
        <w:pStyle w:val="Compact"/>
      </w:pPr>
      <w:hyperlink w:anchor="table-3.1">
        <w:r>
          <w:rPr>
            <w:rStyle w:val="Hyperlink"/>
          </w:rPr>
          <w:t xml:space="preserve">3.1</w:t>
        </w:r>
      </w:hyperlink>
      <w:r>
        <w:t xml:space="preserve"> </w:t>
      </w:r>
      <w:r>
        <w:t xml:space="preserve">- Context One (Civic Data &amp; Early Help): Participants involved in Research Activities leading into Case Study One.</w:t>
      </w:r>
    </w:p>
    <w:p>
      <w:pPr>
        <w:numPr>
          <w:ilvl w:val="0"/>
          <w:numId w:val="1004"/>
        </w:numPr>
        <w:pStyle w:val="Compact"/>
      </w:pP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2"/>
    <w:bookmarkStart w:id="23" w:name="tables-in-chapter-4"/>
    <w:p>
      <w:pPr>
        <w:pStyle w:val="Heading3"/>
      </w:pPr>
      <w:r>
        <w:t xml:space="preserve">Tables in Chapter 4</w:t>
      </w:r>
    </w:p>
    <w:p>
      <w:pPr>
        <w:numPr>
          <w:ilvl w:val="0"/>
          <w:numId w:val="1005"/>
        </w:numPr>
        <w:pStyle w:val="Compact"/>
      </w:pPr>
      <w:hyperlink w:anchor="table-4.1">
        <w:r>
          <w:rPr>
            <w:rStyle w:val="Hyperlink"/>
          </w:rPr>
          <w:t xml:space="preserve">4.1</w:t>
        </w:r>
      </w:hyperlink>
      <w:r>
        <w:t xml:space="preserve"> </w:t>
      </w:r>
      <w:r>
        <w:t xml:space="preserve">- Case Study One Group Design Workshops</w:t>
      </w:r>
    </w:p>
    <w:p>
      <w:pPr>
        <w:numPr>
          <w:ilvl w:val="0"/>
          <w:numId w:val="1005"/>
        </w:numPr>
        <w:pStyle w:val="Compact"/>
      </w:pPr>
      <w:hyperlink w:anchor="table-4.2">
        <w:r>
          <w:rPr>
            <w:rStyle w:val="Hyperlink"/>
          </w:rPr>
          <w:t xml:space="preserve">4.2</w:t>
        </w:r>
      </w:hyperlink>
      <w:r>
        <w:t xml:space="preserve"> </w:t>
      </w:r>
      <w:r>
        <w:t xml:space="preserve">- Theme 1 - Meaningful Data Interaction for Families: Subthemes &amp; Participant Quotes</w:t>
      </w:r>
    </w:p>
    <w:p>
      <w:pPr>
        <w:numPr>
          <w:ilvl w:val="0"/>
          <w:numId w:val="1005"/>
        </w:numPr>
        <w:pStyle w:val="Compact"/>
      </w:pPr>
      <w:hyperlink w:anchor="table-4.3">
        <w:r>
          <w:rPr>
            <w:rStyle w:val="Hyperlink"/>
          </w:rPr>
          <w:t xml:space="preserve">4.3</w:t>
        </w:r>
      </w:hyperlink>
      <w:r>
        <w:t xml:space="preserve"> </w:t>
      </w:r>
      <w:r>
        <w:t xml:space="preserve">- Theme 2 - Giving a Voice to the Family: Subthemes &amp; Participant Quotes</w:t>
      </w:r>
    </w:p>
    <w:p>
      <w:pPr>
        <w:numPr>
          <w:ilvl w:val="0"/>
          <w:numId w:val="1005"/>
        </w:numPr>
        <w:pStyle w:val="Compact"/>
      </w:pPr>
      <w:hyperlink w:anchor="table-4.4">
        <w:r>
          <w:rPr>
            <w:rStyle w:val="Hyperlink"/>
          </w:rPr>
          <w:t xml:space="preserve">4.4</w:t>
        </w:r>
      </w:hyperlink>
      <w:r>
        <w:t xml:space="preserve"> </w:t>
      </w:r>
      <w:r>
        <w:t xml:space="preserve">- Theme 3 - Earning Families’ Trust Through Transparency: Subthemes &amp; Participant Quotes</w:t>
      </w:r>
    </w:p>
    <w:bookmarkEnd w:id="23"/>
    <w:bookmarkStart w:id="24" w:name="tables-in-chapter-5"/>
    <w:p>
      <w:pPr>
        <w:pStyle w:val="Heading3"/>
      </w:pPr>
      <w:r>
        <w:t xml:space="preserve">Tables in Chapter 5</w:t>
      </w:r>
    </w:p>
    <w:p>
      <w:pPr>
        <w:numPr>
          <w:ilvl w:val="0"/>
          <w:numId w:val="1006"/>
        </w:numPr>
        <w:pStyle w:val="Compact"/>
      </w:pPr>
      <w:hyperlink w:anchor="table-5.1">
        <w:r>
          <w:rPr>
            <w:rStyle w:val="Hyperlink"/>
          </w:rPr>
          <w:t xml:space="preserve">5.1</w:t>
        </w:r>
      </w:hyperlink>
      <w:r>
        <w:t xml:space="preserve"> </w:t>
      </w:r>
      <w:r>
        <w:t xml:space="preserve">- Types of Data Holding Organisation Targeted for GDPR Requests by Study Participants</w:t>
      </w:r>
    </w:p>
    <w:p>
      <w:pPr>
        <w:numPr>
          <w:ilvl w:val="0"/>
          <w:numId w:val="1006"/>
        </w:numPr>
        <w:pStyle w:val="Compact"/>
      </w:pPr>
      <w:hyperlink w:anchor="table-5.2">
        <w:r>
          <w:rPr>
            <w:rStyle w:val="Hyperlink"/>
          </w:rPr>
          <w:t xml:space="preserve">5.2</w:t>
        </w:r>
      </w:hyperlink>
      <w:r>
        <w:t xml:space="preserve"> </w:t>
      </w:r>
      <w:r>
        <w:t xml:space="preserve">- Types of Personal Data Potentially Accessible from Data Holders via GDPR Rights</w:t>
      </w:r>
    </w:p>
    <w:p>
      <w:pPr>
        <w:numPr>
          <w:ilvl w:val="0"/>
          <w:numId w:val="1006"/>
        </w:numPr>
        <w:pStyle w:val="Compact"/>
      </w:pPr>
      <w:hyperlink w:anchor="table-5.3">
        <w:r>
          <w:rPr>
            <w:rStyle w:val="Hyperlink"/>
          </w:rPr>
          <w:t xml:space="preserve">5.3</w:t>
        </w:r>
      </w:hyperlink>
      <w:r>
        <w:t xml:space="preserve"> </w:t>
      </w:r>
      <w:r>
        <w:t xml:space="preserve">- Presence and Quality Assessments of GDPR Responses by Data Type (as Percentages)</w:t>
      </w:r>
    </w:p>
    <w:p>
      <w:pPr>
        <w:numPr>
          <w:ilvl w:val="0"/>
          <w:numId w:val="1006"/>
        </w:numPr>
        <w:pStyle w:val="Compact"/>
      </w:pPr>
      <w:hyperlink w:anchor="table-5.4">
        <w:r>
          <w:rPr>
            <w:rStyle w:val="Hyperlink"/>
          </w:rPr>
          <w:t xml:space="preserve">5.4</w:t>
        </w:r>
      </w:hyperlink>
      <w:r>
        <w:t xml:space="preserve"> </w:t>
      </w:r>
      <w:r>
        <w:t xml:space="preserve">- Participants’ Hopes, Imagined Data Uses and Goals for GDPR, as well as Resultant Outcomes</w:t>
      </w:r>
    </w:p>
    <w:p>
      <w:pPr>
        <w:numPr>
          <w:ilvl w:val="0"/>
          <w:numId w:val="1006"/>
        </w:numPr>
        <w:pStyle w:val="Compact"/>
      </w:pPr>
      <w:hyperlink w:anchor="table-5.5">
        <w:r>
          <w:rPr>
            <w:rStyle w:val="Hyperlink"/>
          </w:rPr>
          <w:t xml:space="preserve">5.5</w:t>
        </w:r>
      </w:hyperlink>
      <w:r>
        <w:t xml:space="preserve"> </w:t>
      </w:r>
      <w:r>
        <w:t xml:space="preserve">- Theme 1 - Insufficient Transparency: Subthemes &amp; Participant Quotes</w:t>
      </w:r>
    </w:p>
    <w:p>
      <w:pPr>
        <w:numPr>
          <w:ilvl w:val="0"/>
          <w:numId w:val="1006"/>
        </w:numPr>
        <w:pStyle w:val="Compact"/>
      </w:pPr>
      <w:hyperlink w:anchor="table-5.6">
        <w:r>
          <w:rPr>
            <w:rStyle w:val="Hyperlink"/>
          </w:rPr>
          <w:t xml:space="preserve">5.6</w:t>
        </w:r>
      </w:hyperlink>
      <w:r>
        <w:t xml:space="preserve"> </w:t>
      </w:r>
      <w:r>
        <w:t xml:space="preserve">- Theme 2 - Confusing &amp; Unuseable Data: Subthemes &amp; Participant Quotes</w:t>
      </w:r>
    </w:p>
    <w:p>
      <w:pPr>
        <w:numPr>
          <w:ilvl w:val="0"/>
          <w:numId w:val="1006"/>
        </w:numPr>
        <w:pStyle w:val="Compact"/>
      </w:pPr>
      <w:hyperlink w:anchor="table-5.7">
        <w:r>
          <w:rPr>
            <w:rStyle w:val="Hyperlink"/>
          </w:rPr>
          <w:t xml:space="preserve">5.7</w:t>
        </w:r>
      </w:hyperlink>
      <w:r>
        <w:t xml:space="preserve"> </w:t>
      </w:r>
      <w:r>
        <w:t xml:space="preserve">- Theme 3 - Fragile Relationships: Subthemes &amp; Participant Quotes</w:t>
      </w:r>
    </w:p>
    <w:bookmarkEnd w:id="24"/>
    <w:bookmarkStart w:id="25" w:name="X368425fcbffee45a90210c92d2f6430c5f05013"/>
    <w:p>
      <w:pPr>
        <w:pStyle w:val="Heading3"/>
      </w:pPr>
      <w:r>
        <w:t xml:space="preserve">Tables in</w:t>
      </w:r>
      <w:r>
        <w:t xml:space="preserve"> </w:t>
      </w:r>
      <w:r>
        <w:t xml:space="preserve">‘</w:t>
      </w:r>
      <w:r>
        <w:t xml:space="preserve">Additional Reference Information</w:t>
      </w:r>
      <w:r>
        <w:t xml:space="preserve">’</w:t>
      </w:r>
    </w:p>
    <w:p>
      <w:pPr>
        <w:numPr>
          <w:ilvl w:val="0"/>
          <w:numId w:val="1007"/>
        </w:numPr>
        <w:pStyle w:val="Compact"/>
      </w:pPr>
      <w:hyperlink w:anchor="table-ari4.1">
        <w:r>
          <w:rPr>
            <w:rStyle w:val="Hyperlink"/>
          </w:rPr>
          <w:t xml:space="preserve">ARI4.1</w:t>
        </w:r>
      </w:hyperlink>
      <w:r>
        <w:t xml:space="preserve"> </w:t>
      </w:r>
      <w:r>
        <w:t xml:space="preserve">- Example Categories of Family Civic Data</w:t>
      </w:r>
    </w:p>
    <w:p>
      <w:pPr>
        <w:numPr>
          <w:ilvl w:val="0"/>
          <w:numId w:val="1007"/>
        </w:numPr>
        <w:pStyle w:val="Compact"/>
      </w:pPr>
      <w:hyperlink w:anchor="table-ari5.1">
        <w:r>
          <w:rPr>
            <w:rStyle w:val="Hyperlink"/>
          </w:rPr>
          <w:t xml:space="preserve">ARI5.1</w:t>
        </w:r>
      </w:hyperlink>
      <w:r>
        <w:t xml:space="preserve"> </w:t>
      </w:r>
      <w:r>
        <w:t xml:space="preserve">- Best and Worst Data Holders for GDPR, according to Participants’ Judgements</w:t>
      </w:r>
    </w:p>
    <w:p>
      <w:pPr>
        <w:numPr>
          <w:ilvl w:val="0"/>
          <w:numId w:val="1007"/>
        </w:numPr>
        <w:pStyle w:val="Compact"/>
      </w:pPr>
      <w:hyperlink w:anchor="table-ari7.1">
        <w:r>
          <w:rPr>
            <w:rStyle w:val="Hyperlink"/>
          </w:rPr>
          <w:t xml:space="preserve">ARI7.1</w:t>
        </w:r>
      </w:hyperlink>
      <w:r>
        <w:t xml:space="preserve"> </w:t>
      </w:r>
      <w:r>
        <w:t xml:space="preserve">- Eight Lenses on Personal Data</w:t>
      </w:r>
    </w:p>
    <w:bookmarkEnd w:id="25"/>
    <w:bookmarkStart w:id="35" w:name="lists-of-figures-by-chapter"/>
    <w:p>
      <w:pPr>
        <w:pStyle w:val="Heading2"/>
      </w:pPr>
      <w:r>
        <w:t xml:space="preserve">Lists of Figures by Chapter</w:t>
      </w:r>
    </w:p>
    <w:bookmarkStart w:id="26" w:name="figures-in-chapter-1"/>
    <w:p>
      <w:pPr>
        <w:pStyle w:val="Heading3"/>
      </w:pPr>
      <w:r>
        <w:t xml:space="preserve">Figures in Chapter 1</w:t>
      </w:r>
    </w:p>
    <w:p>
      <w:pPr>
        <w:numPr>
          <w:ilvl w:val="0"/>
          <w:numId w:val="1008"/>
        </w:numPr>
        <w:pStyle w:val="Compact"/>
      </w:pPr>
      <w:hyperlink w:anchor="figure-1.1">
        <w:r>
          <w:rPr>
            <w:rStyle w:val="Hyperlink"/>
          </w:rPr>
          <w:t xml:space="preserve">1.1</w:t>
        </w:r>
      </w:hyperlink>
      <w:r>
        <w:t xml:space="preserve"> </w:t>
      </w:r>
      <w:r>
        <w:t xml:space="preserve">- Poster Presentation of Case Study One at CHI 2019</w:t>
      </w:r>
    </w:p>
    <w:p>
      <w:pPr>
        <w:numPr>
          <w:ilvl w:val="0"/>
          <w:numId w:val="1008"/>
        </w:numPr>
        <w:pStyle w:val="Compact"/>
      </w:pPr>
      <w:hyperlink w:anchor="figure-1.2">
        <w:r>
          <w:rPr>
            <w:rStyle w:val="Hyperlink"/>
          </w:rPr>
          <w:t xml:space="preserve">1.2</w:t>
        </w:r>
      </w:hyperlink>
      <w:r>
        <w:t xml:space="preserve"> </w:t>
      </w:r>
      <w:r>
        <w:t xml:space="preserve">- The Structure of This Thesis</w:t>
      </w:r>
    </w:p>
    <w:bookmarkEnd w:id="26"/>
    <w:bookmarkStart w:id="27" w:name="figures-in-chapter-2"/>
    <w:p>
      <w:pPr>
        <w:pStyle w:val="Heading3"/>
      </w:pPr>
      <w:r>
        <w:t xml:space="preserve">Figures in Chapter 2</w:t>
      </w:r>
    </w:p>
    <w:p>
      <w:pPr>
        <w:numPr>
          <w:ilvl w:val="0"/>
          <w:numId w:val="1009"/>
        </w:numPr>
        <w:pStyle w:val="Compact"/>
      </w:pPr>
      <w:hyperlink w:anchor="figure-2.1">
        <w:r>
          <w:rPr>
            <w:rStyle w:val="Hyperlink"/>
          </w:rPr>
          <w:t xml:space="preserve">2.1</w:t>
        </w:r>
      </w:hyperlink>
      <w:r>
        <w:t xml:space="preserve"> </w:t>
      </w:r>
      <w:r>
        <w:t xml:space="preserve">- The Wisdom Curve: Making Data into Meaningful Information</w:t>
      </w:r>
    </w:p>
    <w:p>
      <w:pPr>
        <w:numPr>
          <w:ilvl w:val="0"/>
          <w:numId w:val="1009"/>
        </w:numPr>
        <w:pStyle w:val="Compact"/>
      </w:pP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7"/>
    <w:bookmarkStart w:id="28" w:name="figures-in-chapter-3"/>
    <w:p>
      <w:pPr>
        <w:pStyle w:val="Heading3"/>
      </w:pPr>
      <w:r>
        <w:t xml:space="preserve">Figures in Chapter 3</w:t>
      </w:r>
    </w:p>
    <w:p>
      <w:pPr>
        <w:numPr>
          <w:ilvl w:val="0"/>
          <w:numId w:val="1010"/>
        </w:numPr>
        <w:pStyle w:val="Compact"/>
      </w:pPr>
      <w:hyperlink w:anchor="figure-3.1">
        <w:r>
          <w:rPr>
            <w:rStyle w:val="Hyperlink"/>
          </w:rPr>
          <w:t xml:space="preserve">3.1</w:t>
        </w:r>
      </w:hyperlink>
      <w:r>
        <w:t xml:space="preserve"> </w:t>
      </w:r>
      <w:r>
        <w:t xml:space="preserve">- My Action Research Approach</w:t>
      </w:r>
    </w:p>
    <w:p>
      <w:pPr>
        <w:numPr>
          <w:ilvl w:val="0"/>
          <w:numId w:val="1010"/>
        </w:numPr>
        <w:pStyle w:val="Compact"/>
      </w:pPr>
      <w:hyperlink w:anchor="figure-3.2">
        <w:r>
          <w:rPr>
            <w:rStyle w:val="Hyperlink"/>
          </w:rPr>
          <w:t xml:space="preserve">3.2</w:t>
        </w:r>
      </w:hyperlink>
      <w:r>
        <w:t xml:space="preserve"> </w:t>
      </w:r>
      <w:r>
        <w:t xml:space="preserve">- Family Facts — What is Data?</w:t>
      </w:r>
    </w:p>
    <w:p>
      <w:pPr>
        <w:numPr>
          <w:ilvl w:val="0"/>
          <w:numId w:val="1010"/>
        </w:numPr>
        <w:pStyle w:val="Compact"/>
      </w:pPr>
      <w:hyperlink w:anchor="figure-3.3">
        <w:r>
          <w:rPr>
            <w:rStyle w:val="Hyperlink"/>
          </w:rPr>
          <w:t xml:space="preserve">3.3</w:t>
        </w:r>
      </w:hyperlink>
      <w:r>
        <w:t xml:space="preserve"> </w:t>
      </w:r>
      <w:r>
        <w:t xml:space="preserve">- Walls of Data — Sensitising Participants to the World of Commercially-held Data and GDPR</w:t>
      </w:r>
    </w:p>
    <w:p>
      <w:pPr>
        <w:numPr>
          <w:ilvl w:val="0"/>
          <w:numId w:val="1010"/>
        </w:numPr>
        <w:pStyle w:val="Compact"/>
      </w:pPr>
      <w:hyperlink w:anchor="figure-3.4">
        <w:r>
          <w:rPr>
            <w:rStyle w:val="Hyperlink"/>
          </w:rPr>
          <w:t xml:space="preserve">3.4</w:t>
        </w:r>
      </w:hyperlink>
      <w:r>
        <w:t xml:space="preserve"> </w:t>
      </w:r>
      <w:r>
        <w:t xml:space="preserve">- Sentence Ranking — Bringing Support Workers and Families to a Shared Problem Space</w:t>
      </w:r>
    </w:p>
    <w:p>
      <w:pPr>
        <w:numPr>
          <w:ilvl w:val="0"/>
          <w:numId w:val="1010"/>
        </w:numPr>
        <w:pStyle w:val="Compact"/>
      </w:pPr>
      <w:hyperlink w:anchor="figure-3.5">
        <w:r>
          <w:rPr>
            <w:rStyle w:val="Hyperlink"/>
          </w:rPr>
          <w:t xml:space="preserve">3.5</w:t>
        </w:r>
      </w:hyperlink>
      <w:r>
        <w:t xml:space="preserve"> </w:t>
      </w:r>
      <w:r>
        <w:t xml:space="preserve">- Family Civic Data Cards — Things to Think With</w:t>
      </w:r>
    </w:p>
    <w:p>
      <w:pPr>
        <w:numPr>
          <w:ilvl w:val="0"/>
          <w:numId w:val="1010"/>
        </w:numPr>
        <w:pStyle w:val="Compact"/>
      </w:pPr>
      <w:hyperlink w:anchor="figure-3.6">
        <w:r>
          <w:rPr>
            <w:rStyle w:val="Hyperlink"/>
          </w:rPr>
          <w:t xml:space="preserve">3.6</w:t>
        </w:r>
      </w:hyperlink>
      <w:r>
        <w:t xml:space="preserve"> </w:t>
      </w:r>
      <w:r>
        <w:t xml:space="preserve">- Personal Data Examples — Making Data Relatable</w:t>
      </w:r>
    </w:p>
    <w:p>
      <w:pPr>
        <w:numPr>
          <w:ilvl w:val="0"/>
          <w:numId w:val="1010"/>
        </w:numPr>
        <w:pStyle w:val="Compact"/>
      </w:pPr>
      <w:hyperlink w:anchor="figure-3.7">
        <w:r>
          <w:rPr>
            <w:rStyle w:val="Hyperlink"/>
          </w:rPr>
          <w:t xml:space="preserve">3.7</w:t>
        </w:r>
      </w:hyperlink>
      <w:r>
        <w:t xml:space="preserve"> </w:t>
      </w:r>
      <w:r>
        <w:t xml:space="preserve">- Home Interviewing: Card Sorting with a Family in Their Living Room</w:t>
      </w:r>
    </w:p>
    <w:p>
      <w:pPr>
        <w:numPr>
          <w:ilvl w:val="0"/>
          <w:numId w:val="1010"/>
        </w:numPr>
        <w:pStyle w:val="Compact"/>
      </w:pPr>
      <w:hyperlink w:anchor="figure-3.8">
        <w:r>
          <w:rPr>
            <w:rStyle w:val="Hyperlink"/>
          </w:rPr>
          <w:t xml:space="preserve">3.8</w:t>
        </w:r>
      </w:hyperlink>
      <w:r>
        <w:t xml:space="preserve"> </w:t>
      </w:r>
      <w:r>
        <w:t xml:space="preserve">- Ideation Decks — Combining Random Design Ingredients to Generate New Ideas</w:t>
      </w:r>
    </w:p>
    <w:p>
      <w:pPr>
        <w:numPr>
          <w:ilvl w:val="0"/>
          <w:numId w:val="1010"/>
        </w:numPr>
        <w:pStyle w:val="Compact"/>
      </w:pPr>
      <w:hyperlink w:anchor="figure-3.9">
        <w:r>
          <w:rPr>
            <w:rStyle w:val="Hyperlink"/>
          </w:rPr>
          <w:t xml:space="preserve">3.9</w:t>
        </w:r>
      </w:hyperlink>
      <w:r>
        <w:t xml:space="preserve"> </w:t>
      </w:r>
      <w:r>
        <w:t xml:space="preserve">- Group Poster Design — A Participant-designed Poster to Advertise Features of Imagined Data Interface Products</w:t>
      </w:r>
    </w:p>
    <w:p>
      <w:pPr>
        <w:numPr>
          <w:ilvl w:val="0"/>
          <w:numId w:val="1010"/>
        </w:numPr>
        <w:pStyle w:val="Compact"/>
      </w:pP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p>
    <w:p>
      <w:pPr>
        <w:numPr>
          <w:ilvl w:val="0"/>
          <w:numId w:val="1010"/>
        </w:numPr>
        <w:pStyle w:val="Compact"/>
      </w:pPr>
      <w:hyperlink w:anchor="figure-3.11">
        <w:r>
          <w:rPr>
            <w:rStyle w:val="Hyperlink"/>
          </w:rPr>
          <w:t xml:space="preserve">3.11</w:t>
        </w:r>
      </w:hyperlink>
      <w:r>
        <w:t xml:space="preserve"> </w:t>
      </w:r>
      <w:r>
        <w:t xml:space="preserve">- Thematic Analysis of Qualitative Data using</w:t>
      </w:r>
      <w:r>
        <w:t xml:space="preserve"> </w:t>
      </w:r>
      <w:r>
        <w:rPr>
          <w:iCs/>
          <w:i/>
        </w:rPr>
        <w:t xml:space="preserve">Quirkos</w:t>
      </w:r>
      <w:r>
        <w:t xml:space="preserve"> </w:t>
      </w:r>
      <w:r>
        <w:t xml:space="preserve">for Case Study One</w:t>
      </w:r>
    </w:p>
    <w:p>
      <w:pPr>
        <w:numPr>
          <w:ilvl w:val="0"/>
          <w:numId w:val="1010"/>
        </w:numPr>
        <w:pStyle w:val="Compact"/>
      </w:pPr>
      <w:hyperlink w:anchor="figure-3.12">
        <w:r>
          <w:rPr>
            <w:rStyle w:val="Hyperlink"/>
          </w:rPr>
          <w:t xml:space="preserve">3.12</w:t>
        </w:r>
      </w:hyperlink>
      <w:r>
        <w:t xml:space="preserve"> </w:t>
      </w:r>
      <w:r>
        <w:t xml:space="preserve">- Spreadsheet-based Quantitative Analysis of Interview Data for Case Study Two</w:t>
      </w:r>
    </w:p>
    <w:p>
      <w:pPr>
        <w:numPr>
          <w:ilvl w:val="0"/>
          <w:numId w:val="1010"/>
        </w:numPr>
        <w:pStyle w:val="Compact"/>
      </w:pPr>
      <w:hyperlink w:anchor="figure-3.13">
        <w:r>
          <w:rPr>
            <w:rStyle w:val="Hyperlink"/>
          </w:rPr>
          <w:t xml:space="preserve">3.13</w:t>
        </w:r>
      </w:hyperlink>
      <w:r>
        <w:t xml:space="preserve"> </w:t>
      </w:r>
      <w:r>
        <w:t xml:space="preserve">- Pilot Study Recruitment Poster</w:t>
      </w:r>
    </w:p>
    <w:p>
      <w:pPr>
        <w:numPr>
          <w:ilvl w:val="0"/>
          <w:numId w:val="1010"/>
        </w:numPr>
        <w:pStyle w:val="Compact"/>
      </w:pPr>
      <w:hyperlink w:anchor="figure-3.14">
        <w:r>
          <w:rPr>
            <w:rStyle w:val="Hyperlink"/>
          </w:rPr>
          <w:t xml:space="preserve">3.14</w:t>
        </w:r>
      </w:hyperlink>
      <w:r>
        <w:t xml:space="preserve"> </w:t>
      </w:r>
      <w:r>
        <w:t xml:space="preserve">- How the Case Studies and Peripheral Activities Contribute to This Thesis</w:t>
      </w:r>
    </w:p>
    <w:bookmarkEnd w:id="28"/>
    <w:bookmarkStart w:id="29" w:name="figures-in-chapter-4"/>
    <w:p>
      <w:pPr>
        <w:pStyle w:val="Heading3"/>
      </w:pPr>
      <w:r>
        <w:t xml:space="preserve">Figures in Chapter 4</w:t>
      </w:r>
    </w:p>
    <w:p>
      <w:pPr>
        <w:numPr>
          <w:ilvl w:val="0"/>
          <w:numId w:val="1011"/>
        </w:numPr>
        <w:pStyle w:val="Compact"/>
      </w:pPr>
      <w:hyperlink w:anchor="figure-4.1">
        <w:r>
          <w:rPr>
            <w:rStyle w:val="Hyperlink"/>
          </w:rPr>
          <w:t xml:space="preserve">4.1</w:t>
        </w:r>
      </w:hyperlink>
      <w:r>
        <w:t xml:space="preserve"> </w:t>
      </w:r>
      <w:r>
        <w:t xml:space="preserve">- Participants’ Shared Values Deduced from Sentence Rankings Data</w:t>
      </w:r>
    </w:p>
    <w:p>
      <w:pPr>
        <w:numPr>
          <w:ilvl w:val="0"/>
          <w:numId w:val="1011"/>
        </w:numPr>
        <w:pStyle w:val="Compact"/>
      </w:pPr>
      <w:hyperlink w:anchor="figure-4.2">
        <w:r>
          <w:rPr>
            <w:rStyle w:val="Hyperlink"/>
          </w:rPr>
          <w:t xml:space="preserve">4.2</w:t>
        </w:r>
      </w:hyperlink>
      <w:r>
        <w:t xml:space="preserve"> </w:t>
      </w:r>
      <w:r>
        <w:t xml:space="preserve">- Current Model of Data Interaction, and Proposed Model of Shared Data Interaction</w:t>
      </w:r>
    </w:p>
    <w:bookmarkEnd w:id="29"/>
    <w:bookmarkStart w:id="30" w:name="figures-in-chapter-5"/>
    <w:p>
      <w:pPr>
        <w:pStyle w:val="Heading3"/>
      </w:pPr>
      <w:r>
        <w:t xml:space="preserve">Figures in Chapter 5</w:t>
      </w:r>
    </w:p>
    <w:p>
      <w:pPr>
        <w:numPr>
          <w:ilvl w:val="0"/>
          <w:numId w:val="1012"/>
        </w:numPr>
        <w:pStyle w:val="Compact"/>
      </w:pPr>
      <w:hyperlink w:anchor="figure-5.1">
        <w:r>
          <w:rPr>
            <w:rStyle w:val="Hyperlink"/>
          </w:rPr>
          <w:t xml:space="preserve">5.1</w:t>
        </w:r>
      </w:hyperlink>
      <w:r>
        <w:t xml:space="preserve"> </w:t>
      </w:r>
      <w:r>
        <w:t xml:space="preserve">- A Journey Map of Each Participant’s Study Progression</w:t>
      </w:r>
    </w:p>
    <w:p>
      <w:pPr>
        <w:numPr>
          <w:ilvl w:val="0"/>
          <w:numId w:val="1012"/>
        </w:numPr>
        <w:pStyle w:val="Compact"/>
      </w:pPr>
      <w:hyperlink w:anchor="figure-5.2">
        <w:r>
          <w:rPr>
            <w:rStyle w:val="Hyperlink"/>
          </w:rPr>
          <w:t xml:space="preserve">5.2</w:t>
        </w:r>
      </w:hyperlink>
      <w:r>
        <w:t xml:space="preserve"> </w:t>
      </w:r>
      <w:r>
        <w:t xml:space="preserve">- An Example Life Sketch from Interview 1, with Data Handling Companies in Red, Data Types in Blue, and Feelings in Green</w:t>
      </w:r>
    </w:p>
    <w:p>
      <w:pPr>
        <w:numPr>
          <w:ilvl w:val="0"/>
          <w:numId w:val="1012"/>
        </w:numPr>
        <w:pStyle w:val="Compact"/>
      </w:pPr>
      <w:hyperlink w:anchor="figure-5.3">
        <w:r>
          <w:rPr>
            <w:rStyle w:val="Hyperlink"/>
          </w:rPr>
          <w:t xml:space="preserve">5.3</w:t>
        </w:r>
      </w:hyperlink>
      <w:r>
        <w:t xml:space="preserve"> </w:t>
      </w:r>
      <w:r>
        <w:t xml:space="preserve">- Sankey Overview of Participants’ GDPR Requests</w:t>
      </w:r>
    </w:p>
    <w:p>
      <w:pPr>
        <w:numPr>
          <w:ilvl w:val="0"/>
          <w:numId w:val="1012"/>
        </w:numPr>
        <w:pStyle w:val="Compact"/>
      </w:pPr>
      <w:hyperlink w:anchor="figure-5.4">
        <w:r>
          <w:rPr>
            <w:rStyle w:val="Hyperlink"/>
          </w:rPr>
          <w:t xml:space="preserve">5.4</w:t>
        </w:r>
      </w:hyperlink>
      <w:r>
        <w:t xml:space="preserve"> </w:t>
      </w:r>
      <w:r>
        <w:t xml:space="preserve">- Longitudinal Distribution of Net Changes in Participants’ Perceived Power and Trust Scores</w:t>
      </w:r>
    </w:p>
    <w:p>
      <w:pPr>
        <w:numPr>
          <w:ilvl w:val="0"/>
          <w:numId w:val="1012"/>
        </w:numPr>
        <w:pStyle w:val="Compact"/>
      </w:pPr>
      <w:hyperlink w:anchor="figure-5.6">
        <w:r>
          <w:rPr>
            <w:rStyle w:val="Hyperlink"/>
          </w:rPr>
          <w:t xml:space="preserve">5.6</w:t>
        </w:r>
      </w:hyperlink>
      <w:r>
        <w:t xml:space="preserve"> </w:t>
      </w:r>
      <w:r>
        <w:t xml:space="preserve">- Participants’ Perceived Trust in Provider at Different Stages of the GDPR/Study Process</w:t>
      </w:r>
    </w:p>
    <w:bookmarkEnd w:id="30"/>
    <w:bookmarkStart w:id="31" w:name="figures-in-chapter-7"/>
    <w:p>
      <w:pPr>
        <w:pStyle w:val="Heading3"/>
      </w:pPr>
      <w:r>
        <w:t xml:space="preserve">Figures in Chapter 7</w:t>
      </w:r>
    </w:p>
    <w:p>
      <w:pPr>
        <w:numPr>
          <w:ilvl w:val="0"/>
          <w:numId w:val="1013"/>
        </w:numPr>
        <w:pStyle w:val="Compact"/>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p>
    <w:p>
      <w:pPr>
        <w:numPr>
          <w:ilvl w:val="0"/>
          <w:numId w:val="1013"/>
        </w:numPr>
        <w:pStyle w:val="Compact"/>
      </w:pPr>
      <w:hyperlink w:anchor="figure-7.2">
        <w:r>
          <w:rPr>
            <w:rStyle w:val="Hyperlink"/>
          </w:rPr>
          <w:t xml:space="preserve">7.2</w:t>
        </w:r>
      </w:hyperlink>
      <w:r>
        <w:t xml:space="preserve"> </w:t>
      </w:r>
      <w:r>
        <w:t xml:space="preserve">- Mapping the Six Wants into Objectives for the HDR Opportunity Landscape</w:t>
      </w:r>
    </w:p>
    <w:bookmarkEnd w:id="31"/>
    <w:bookmarkStart w:id="32" w:name="figures-in-chapter-8"/>
    <w:p>
      <w:pPr>
        <w:pStyle w:val="Heading3"/>
      </w:pPr>
      <w:r>
        <w:t xml:space="preserve">Figures in Chapter 8</w:t>
      </w:r>
    </w:p>
    <w:p>
      <w:pPr>
        <w:numPr>
          <w:ilvl w:val="0"/>
          <w:numId w:val="1014"/>
        </w:numPr>
        <w:pStyle w:val="Compact"/>
      </w:pPr>
      <w:hyperlink w:anchor="figure-8.1">
        <w:r>
          <w:rPr>
            <w:rStyle w:val="Hyperlink"/>
          </w:rPr>
          <w:t xml:space="preserve">8. 1</w:t>
        </w:r>
      </w:hyperlink>
      <w:r>
        <w:t xml:space="preserve"> </w:t>
      </w:r>
      <w:r>
        <w:t xml:space="preserve">- Obstacles and Resulting Insights in the HDR Opportunity Landscape</w:t>
      </w:r>
    </w:p>
    <w:p>
      <w:pPr>
        <w:numPr>
          <w:ilvl w:val="0"/>
          <w:numId w:val="1014"/>
        </w:numPr>
        <w:pStyle w:val="Compact"/>
      </w:pPr>
      <w:hyperlink w:anchor="figure-8.2">
        <w:r>
          <w:rPr>
            <w:rStyle w:val="Hyperlink"/>
          </w:rPr>
          <w:t xml:space="preserve">8. 2</w:t>
        </w:r>
      </w:hyperlink>
      <w:r>
        <w:t xml:space="preserve"> </w:t>
      </w:r>
      <w:r>
        <w:t xml:space="preserve">- Life Concept Modelling</w:t>
      </w:r>
    </w:p>
    <w:p>
      <w:pPr>
        <w:numPr>
          <w:ilvl w:val="0"/>
          <w:numId w:val="1014"/>
        </w:numPr>
        <w:pStyle w:val="Compact"/>
      </w:pPr>
      <w:hyperlink w:anchor="figure-8.3">
        <w:r>
          <w:rPr>
            <w:rStyle w:val="Hyperlink"/>
          </w:rPr>
          <w:t xml:space="preserve">8. 3</w:t>
        </w:r>
      </w:hyperlink>
      <w:r>
        <w:t xml:space="preserve"> </w:t>
      </w:r>
      <w:r>
        <w:t xml:space="preserve">- Mock-up of a Unified TV Viewing History Interface</w:t>
      </w:r>
    </w:p>
    <w:p>
      <w:pPr>
        <w:numPr>
          <w:ilvl w:val="0"/>
          <w:numId w:val="1014"/>
        </w:numPr>
        <w:pStyle w:val="Compact"/>
      </w:pPr>
      <w:hyperlink w:anchor="figure-8.4">
        <w:r>
          <w:rPr>
            <w:rStyle w:val="Hyperlink"/>
          </w:rPr>
          <w:t xml:space="preserve">8. 4</w:t>
        </w:r>
      </w:hyperlink>
      <w:r>
        <w:t xml:space="preserve"> </w:t>
      </w:r>
      <w:r>
        <w:t xml:space="preserve">- SubsCrab: An Example Application for Ecosystem Detection and Visualisation</w:t>
      </w:r>
    </w:p>
    <w:p>
      <w:pPr>
        <w:numPr>
          <w:ilvl w:val="0"/>
          <w:numId w:val="1014"/>
        </w:numPr>
        <w:pStyle w:val="Compact"/>
      </w:pPr>
      <w:hyperlink w:anchor="figure-8.5">
        <w:r>
          <w:rPr>
            <w:rStyle w:val="Hyperlink"/>
          </w:rPr>
          <w:t xml:space="preserve">8. 5</w:t>
        </w:r>
      </w:hyperlink>
      <w:r>
        <w:t xml:space="preserve"> </w:t>
      </w:r>
      <w:r>
        <w:t xml:space="preserve">- Some of the Many Aspects of Metadata that Might Exist About a Datapoint or Dataset</w:t>
      </w:r>
    </w:p>
    <w:p>
      <w:pPr>
        <w:numPr>
          <w:ilvl w:val="0"/>
          <w:numId w:val="1014"/>
        </w:numPr>
        <w:pStyle w:val="Compact"/>
      </w:pPr>
      <w:hyperlink w:anchor="figure-8.6">
        <w:r>
          <w:rPr>
            <w:rStyle w:val="Hyperlink"/>
          </w:rPr>
          <w:t xml:space="preserve">8. 6</w:t>
        </w:r>
      </w:hyperlink>
      <w:r>
        <w:t xml:space="preserve"> </w:t>
      </w:r>
      <w:r>
        <w:t xml:space="preserve">- The Panopticon Structure of the Illinois State Penitentiary</w:t>
      </w:r>
    </w:p>
    <w:p>
      <w:pPr>
        <w:numPr>
          <w:ilvl w:val="0"/>
          <w:numId w:val="1014"/>
        </w:numPr>
        <w:pStyle w:val="Compact"/>
      </w:pPr>
      <w:hyperlink w:anchor="figure-8.7">
        <w:r>
          <w:rPr>
            <w:rStyle w:val="Hyperlink"/>
          </w:rPr>
          <w:t xml:space="preserve">8. 7</w:t>
        </w:r>
      </w:hyperlink>
      <w:r>
        <w:t xml:space="preserve"> </w:t>
      </w:r>
      <w:r>
        <w:t xml:space="preserve">- Human Values (from BBC R&amp;D research)</w:t>
      </w:r>
    </w:p>
    <w:p>
      <w:pPr>
        <w:numPr>
          <w:ilvl w:val="0"/>
          <w:numId w:val="1014"/>
        </w:numPr>
        <w:pStyle w:val="Compact"/>
      </w:pPr>
      <w:hyperlink w:anchor="figure-8.8">
        <w:r>
          <w:rPr>
            <w:rStyle w:val="Hyperlink"/>
          </w:rPr>
          <w:t xml:space="preserve">8. 8</w:t>
        </w:r>
      </w:hyperlink>
      <w:r>
        <w:t xml:space="preserve"> </w:t>
      </w:r>
      <w:r>
        <w:t xml:space="preserve">- A Contact-and-Calendar-centric PDS Approach</w:t>
      </w:r>
    </w:p>
    <w:p>
      <w:pPr>
        <w:numPr>
          <w:ilvl w:val="0"/>
          <w:numId w:val="1014"/>
        </w:numPr>
        <w:pStyle w:val="Compact"/>
      </w:pPr>
      <w:hyperlink w:anchor="figure-8.9">
        <w:r>
          <w:rPr>
            <w:rStyle w:val="Hyperlink"/>
          </w:rPr>
          <w:t xml:space="preserve">8. 9</w:t>
        </w:r>
      </w:hyperlink>
      <w:r>
        <w:t xml:space="preserve"> </w:t>
      </w:r>
      <w:r>
        <w:t xml:space="preserve">- The Scattered Data Relating to a Vacation</w:t>
      </w:r>
    </w:p>
    <w:p>
      <w:pPr>
        <w:numPr>
          <w:ilvl w:val="0"/>
          <w:numId w:val="1014"/>
        </w:numPr>
        <w:pStyle w:val="Compact"/>
      </w:pPr>
      <w:hyperlink w:anchor="figure-8.10">
        <w:r>
          <w:rPr>
            <w:rStyle w:val="Hyperlink"/>
          </w:rPr>
          <w:t xml:space="preserve">8.10</w:t>
        </w:r>
      </w:hyperlink>
      <w:r>
        <w:t xml:space="preserve"> </w:t>
      </w:r>
      <w:r>
        <w:t xml:space="preserve">- Mock-up of a Unified Interface for a Vacation</w:t>
      </w:r>
    </w:p>
    <w:p>
      <w:pPr>
        <w:numPr>
          <w:ilvl w:val="0"/>
          <w:numId w:val="1014"/>
        </w:numPr>
        <w:pStyle w:val="Compact"/>
      </w:pPr>
      <w:hyperlink w:anchor="figure-8.11">
        <w:r>
          <w:rPr>
            <w:rStyle w:val="Hyperlink"/>
          </w:rPr>
          <w:t xml:space="preserve">8.11</w:t>
        </w:r>
      </w:hyperlink>
      <w:r>
        <w:t xml:space="preserve"> </w:t>
      </w:r>
      <w:r>
        <w:t xml:space="preserve">- Annotating Data with Semantic Context</w:t>
      </w:r>
    </w:p>
    <w:bookmarkEnd w:id="32"/>
    <w:bookmarkStart w:id="33" w:name="figures-in-chapter-9"/>
    <w:p>
      <w:pPr>
        <w:pStyle w:val="Heading3"/>
      </w:pPr>
      <w:r>
        <w:t xml:space="preserve">Figures in Chapter 9</w:t>
      </w:r>
    </w:p>
    <w:p>
      <w:pPr>
        <w:numPr>
          <w:ilvl w:val="0"/>
          <w:numId w:val="1015"/>
        </w:numPr>
        <w:pStyle w:val="Compact"/>
      </w:pPr>
      <w:hyperlink w:anchor="figure-9.1">
        <w:r>
          <w:rPr>
            <w:rStyle w:val="Hyperlink"/>
          </w:rPr>
          <w:t xml:space="preserve">9. 1</w:t>
        </w:r>
      </w:hyperlink>
      <w:r>
        <w:t xml:space="preserve"> </w:t>
      </w:r>
      <w:r>
        <w:t xml:space="preserve">- Theory of Change [ToC]: The Four Dimensions of Change</w:t>
      </w:r>
    </w:p>
    <w:p>
      <w:pPr>
        <w:numPr>
          <w:ilvl w:val="0"/>
          <w:numId w:val="1015"/>
        </w:numPr>
        <w:pStyle w:val="Compact"/>
      </w:pPr>
      <w:hyperlink w:anchor="figure-9.2">
        <w:r>
          <w:rPr>
            <w:rStyle w:val="Hyperlink"/>
          </w:rPr>
          <w:t xml:space="preserve">9. 2</w:t>
        </w:r>
      </w:hyperlink>
      <w:r>
        <w:t xml:space="preserve"> </w:t>
      </w:r>
      <w:r>
        <w:t xml:space="preserve">- HDR Approach 1: Discovery-Driven Activism</w:t>
      </w:r>
    </w:p>
    <w:p>
      <w:pPr>
        <w:numPr>
          <w:ilvl w:val="0"/>
          <w:numId w:val="1015"/>
        </w:numPr>
        <w:pStyle w:val="Compact"/>
      </w:pPr>
      <w:hyperlink w:anchor="figure-9.3">
        <w:r>
          <w:rPr>
            <w:rStyle w:val="Hyperlink"/>
          </w:rPr>
          <w:t xml:space="preserve">9. 3</w:t>
        </w:r>
      </w:hyperlink>
      <w:r>
        <w:t xml:space="preserve"> </w:t>
      </w:r>
      <w:r>
        <w:t xml:space="preserve">- HDR Approach 2: Building the Human-centric Future</w:t>
      </w:r>
    </w:p>
    <w:p>
      <w:pPr>
        <w:numPr>
          <w:ilvl w:val="0"/>
          <w:numId w:val="1015"/>
        </w:numPr>
        <w:pStyle w:val="Compact"/>
      </w:pPr>
      <w:hyperlink w:anchor="figure-9.4">
        <w:r>
          <w:rPr>
            <w:rStyle w:val="Hyperlink"/>
          </w:rPr>
          <w:t xml:space="preserve">9. 4</w:t>
        </w:r>
      </w:hyperlink>
      <w:r>
        <w:t xml:space="preserve"> </w:t>
      </w:r>
      <w:r>
        <w:t xml:space="preserve">- Conceptual Model for a Personal Data Store System</w:t>
      </w:r>
    </w:p>
    <w:p>
      <w:pPr>
        <w:numPr>
          <w:ilvl w:val="0"/>
          <w:numId w:val="1015"/>
        </w:numPr>
        <w:pStyle w:val="Compact"/>
      </w:pPr>
      <w:hyperlink w:anchor="figure-9.5">
        <w:r>
          <w:rPr>
            <w:rStyle w:val="Hyperlink"/>
          </w:rPr>
          <w:t xml:space="preserve">9. 5</w:t>
        </w:r>
      </w:hyperlink>
      <w:r>
        <w:t xml:space="preserve"> </w:t>
      </w:r>
      <w:r>
        <w:t xml:space="preserve">- High Level Data Types</w:t>
      </w:r>
    </w:p>
    <w:p>
      <w:pPr>
        <w:numPr>
          <w:ilvl w:val="0"/>
          <w:numId w:val="1015"/>
        </w:numPr>
        <w:pStyle w:val="Compact"/>
      </w:pPr>
      <w:hyperlink w:anchor="figure-9.6">
        <w:r>
          <w:rPr>
            <w:rStyle w:val="Hyperlink"/>
          </w:rPr>
          <w:t xml:space="preserve">9. 6</w:t>
        </w:r>
      </w:hyperlink>
      <w:r>
        <w:t xml:space="preserve"> </w:t>
      </w:r>
      <w:r>
        <w:t xml:space="preserve">- Life Information Modelled as Happenings</w:t>
      </w:r>
    </w:p>
    <w:p>
      <w:pPr>
        <w:numPr>
          <w:ilvl w:val="0"/>
          <w:numId w:val="1015"/>
        </w:numPr>
        <w:pStyle w:val="Compact"/>
      </w:pPr>
      <w:hyperlink w:anchor="figure-9.7">
        <w:r>
          <w:rPr>
            <w:rStyle w:val="Hyperlink"/>
          </w:rPr>
          <w:t xml:space="preserve">9. 7</w:t>
        </w:r>
      </w:hyperlink>
      <w:r>
        <w:t xml:space="preserve"> </w:t>
      </w:r>
      <w:r>
        <w:t xml:space="preserve">- A Simple PDS Life Information Presentation Model</w:t>
      </w:r>
    </w:p>
    <w:p>
      <w:pPr>
        <w:numPr>
          <w:ilvl w:val="0"/>
          <w:numId w:val="1015"/>
        </w:numPr>
        <w:pStyle w:val="Compact"/>
      </w:pPr>
      <w:hyperlink w:anchor="figure-9.8">
        <w:r>
          <w:rPr>
            <w:rStyle w:val="Hyperlink"/>
          </w:rPr>
          <w:t xml:space="preserve">9. 8</w:t>
        </w:r>
      </w:hyperlink>
      <w:r>
        <w:t xml:space="preserve"> </w:t>
      </w:r>
      <w:r>
        <w:t xml:space="preserve">- Mock-up of Life Information Presented in a PDS Interface</w:t>
      </w:r>
    </w:p>
    <w:p>
      <w:pPr>
        <w:numPr>
          <w:ilvl w:val="0"/>
          <w:numId w:val="1015"/>
        </w:numPr>
        <w:pStyle w:val="Compact"/>
      </w:pPr>
      <w:hyperlink w:anchor="figure-9.9">
        <w:r>
          <w:rPr>
            <w:rStyle w:val="Hyperlink"/>
          </w:rPr>
          <w:t xml:space="preserve">9. 9</w:t>
        </w:r>
      </w:hyperlink>
      <w:r>
        <w:t xml:space="preserve"> </w:t>
      </w:r>
      <w:r>
        <w:t xml:space="preserve">- Life Partitioning Analogy using a Cluedo™ board</w:t>
      </w:r>
    </w:p>
    <w:p>
      <w:pPr>
        <w:numPr>
          <w:ilvl w:val="0"/>
          <w:numId w:val="1015"/>
        </w:numPr>
        <w:pStyle w:val="Compact"/>
      </w:pPr>
      <w:hyperlink w:anchor="figure-9.10">
        <w:r>
          <w:rPr>
            <w:rStyle w:val="Hyperlink"/>
          </w:rPr>
          <w:t xml:space="preserve">9.10</w:t>
        </w:r>
      </w:hyperlink>
      <w:r>
        <w:t xml:space="preserve"> </w:t>
      </w:r>
      <w:r>
        <w:t xml:space="preserve">- Mock-up: Browsing by Areas of Life</w:t>
      </w:r>
    </w:p>
    <w:p>
      <w:pPr>
        <w:numPr>
          <w:ilvl w:val="0"/>
          <w:numId w:val="1015"/>
        </w:numPr>
        <w:pStyle w:val="Compact"/>
      </w:pPr>
      <w:hyperlink w:anchor="figure-9.11">
        <w:r>
          <w:rPr>
            <w:rStyle w:val="Hyperlink"/>
          </w:rPr>
          <w:t xml:space="preserve">9.11</w:t>
        </w:r>
      </w:hyperlink>
      <w:r>
        <w:t xml:space="preserve"> </w:t>
      </w:r>
      <w:r>
        <w:t xml:space="preserve">- Identifying Entity Associations in Data</w:t>
      </w:r>
    </w:p>
    <w:p>
      <w:pPr>
        <w:numPr>
          <w:ilvl w:val="0"/>
          <w:numId w:val="1015"/>
        </w:numPr>
        <w:pStyle w:val="Compact"/>
      </w:pPr>
      <w:hyperlink w:anchor="figure-9.12">
        <w:r>
          <w:rPr>
            <w:rStyle w:val="Hyperlink"/>
          </w:rPr>
          <w:t xml:space="preserve">9.12</w:t>
        </w:r>
      </w:hyperlink>
      <w:r>
        <w:t xml:space="preserve"> </w:t>
      </w:r>
      <w:r>
        <w:t xml:space="preserve">- Facebook’s</w:t>
      </w:r>
      <w:r>
        <w:t xml:space="preserve"> </w:t>
      </w:r>
      <w:r>
        <w:rPr>
          <w:iCs/>
          <w:i/>
        </w:rPr>
        <w:t xml:space="preserve">world2vec</w:t>
      </w:r>
      <w:r>
        <w:t xml:space="preserve"> </w:t>
      </w:r>
      <w:r>
        <w:t xml:space="preserve">Model, Semantically Modelling Human Information from Social Media Posts on Facebook</w:t>
      </w:r>
    </w:p>
    <w:p>
      <w:pPr>
        <w:numPr>
          <w:ilvl w:val="0"/>
          <w:numId w:val="1015"/>
        </w:numPr>
        <w:pStyle w:val="Compact"/>
      </w:pPr>
      <w:hyperlink w:anchor="figure-9.13">
        <w:r>
          <w:rPr>
            <w:rStyle w:val="Hyperlink"/>
          </w:rPr>
          <w:t xml:space="preserve">9.13</w:t>
        </w:r>
      </w:hyperlink>
      <w:r>
        <w:t xml:space="preserve"> </w:t>
      </w:r>
      <w:r>
        <w:t xml:space="preserve">- Identifying the Attributes of Data</w:t>
      </w:r>
    </w:p>
    <w:p>
      <w:pPr>
        <w:numPr>
          <w:ilvl w:val="0"/>
          <w:numId w:val="1015"/>
        </w:numPr>
        <w:pStyle w:val="Compact"/>
      </w:pPr>
      <w:hyperlink w:anchor="figure-9.14">
        <w:r>
          <w:rPr>
            <w:rStyle w:val="Hyperlink"/>
          </w:rPr>
          <w:t xml:space="preserve">9.14</w:t>
        </w:r>
      </w:hyperlink>
      <w:r>
        <w:t xml:space="preserve"> </w:t>
      </w:r>
      <w:r>
        <w:t xml:space="preserve">- Determining the Nature of a Piece of Data</w:t>
      </w:r>
    </w:p>
    <w:p>
      <w:pPr>
        <w:numPr>
          <w:ilvl w:val="0"/>
          <w:numId w:val="1015"/>
        </w:numPr>
        <w:pStyle w:val="Compact"/>
      </w:pPr>
      <w:hyperlink w:anchor="figure-9.15">
        <w:r>
          <w:rPr>
            <w:rStyle w:val="Hyperlink"/>
          </w:rPr>
          <w:t xml:space="preserve">9.15</w:t>
        </w:r>
      </w:hyperlink>
      <w:r>
        <w:t xml:space="preserve"> </w:t>
      </w:r>
      <w:r>
        <w:t xml:space="preserve">- Attributes of Data</w:t>
      </w:r>
    </w:p>
    <w:p>
      <w:pPr>
        <w:numPr>
          <w:ilvl w:val="0"/>
          <w:numId w:val="1015"/>
        </w:numPr>
        <w:pStyle w:val="Compact"/>
      </w:pPr>
      <w:hyperlink w:anchor="figure-9.16">
        <w:r>
          <w:rPr>
            <w:rStyle w:val="Hyperlink"/>
          </w:rPr>
          <w:t xml:space="preserve">9.16</w:t>
        </w:r>
      </w:hyperlink>
      <w:r>
        <w:t xml:space="preserve"> </w:t>
      </w:r>
      <w:r>
        <w:t xml:space="preserve">- Actions One Might Perform on Life Information</w:t>
      </w:r>
    </w:p>
    <w:p>
      <w:pPr>
        <w:numPr>
          <w:ilvl w:val="0"/>
          <w:numId w:val="1015"/>
        </w:numPr>
        <w:pStyle w:val="Compact"/>
      </w:pPr>
      <w:hyperlink w:anchor="figure-9.17">
        <w:r>
          <w:rPr>
            <w:rStyle w:val="Hyperlink"/>
          </w:rPr>
          <w:t xml:space="preserve">9.17</w:t>
        </w:r>
      </w:hyperlink>
      <w:r>
        <w:t xml:space="preserve"> </w:t>
      </w:r>
      <w:r>
        <w:t xml:space="preserve">- Questions One Might Ask of Life Information</w:t>
      </w:r>
    </w:p>
    <w:p>
      <w:pPr>
        <w:numPr>
          <w:ilvl w:val="0"/>
          <w:numId w:val="1015"/>
        </w:numPr>
        <w:pStyle w:val="Compact"/>
      </w:pPr>
      <w:hyperlink w:anchor="figure-9.18">
        <w:r>
          <w:rPr>
            <w:rStyle w:val="Hyperlink"/>
          </w:rPr>
          <w:t xml:space="preserve">9.18</w:t>
        </w:r>
      </w:hyperlink>
      <w:r>
        <w:t xml:space="preserve"> </w:t>
      </w:r>
      <w:r>
        <w:t xml:space="preserve">- Example Taxonomies for Life Information Navigation</w:t>
      </w:r>
    </w:p>
    <w:p>
      <w:pPr>
        <w:numPr>
          <w:ilvl w:val="0"/>
          <w:numId w:val="1015"/>
        </w:numPr>
        <w:pStyle w:val="Compact"/>
      </w:pPr>
      <w:hyperlink w:anchor="figure-9.19">
        <w:r>
          <w:rPr>
            <w:rStyle w:val="Hyperlink"/>
          </w:rPr>
          <w:t xml:space="preserve">9.19</w:t>
        </w:r>
      </w:hyperlink>
      <w:r>
        <w:t xml:space="preserve"> </w:t>
      </w:r>
      <w:r>
        <w:t xml:space="preserve">- HDR Approach 3: Defending User Autonomy and Hacking the Information Landscape</w:t>
      </w:r>
    </w:p>
    <w:p>
      <w:pPr>
        <w:numPr>
          <w:ilvl w:val="0"/>
          <w:numId w:val="1015"/>
        </w:numPr>
        <w:pStyle w:val="Compact"/>
      </w:pPr>
      <w:hyperlink w:anchor="figure-9.20">
        <w:r>
          <w:rPr>
            <w:rStyle w:val="Hyperlink"/>
          </w:rPr>
          <w:t xml:space="preserve">9.20</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numPr>
          <w:ilvl w:val="0"/>
          <w:numId w:val="1015"/>
        </w:numPr>
        <w:pStyle w:val="Compact"/>
      </w:pPr>
      <w:hyperlink w:anchor="figure-9.21">
        <w:r>
          <w:rPr>
            <w:rStyle w:val="Hyperlink"/>
          </w:rPr>
          <w:t xml:space="preserve">9.21</w:t>
        </w:r>
      </w:hyperlink>
      <w:r>
        <w:t xml:space="preserve"> </w:t>
      </w:r>
      <w:r>
        <w:t xml:space="preserve">- HDR Approach 4: Winning Hearts and Minds: Teaching, Championing and Selling the Vision</w:t>
      </w:r>
    </w:p>
    <w:p>
      <w:pPr>
        <w:numPr>
          <w:ilvl w:val="0"/>
          <w:numId w:val="1015"/>
        </w:numPr>
        <w:pStyle w:val="Compact"/>
      </w:pPr>
      <w:hyperlink w:anchor="figure-9.22">
        <w:r>
          <w:rPr>
            <w:rStyle w:val="Hyperlink"/>
          </w:rPr>
          <w:t xml:space="preserve">9.22</w:t>
        </w:r>
      </w:hyperlink>
      <w:r>
        <w:t xml:space="preserve"> </w:t>
      </w:r>
      <w:r>
        <w:t xml:space="preserve">- SILVER Health Data Viewing Interface</w:t>
      </w:r>
    </w:p>
    <w:p>
      <w:pPr>
        <w:numPr>
          <w:ilvl w:val="0"/>
          <w:numId w:val="1015"/>
        </w:numPr>
        <w:pStyle w:val="Compact"/>
      </w:pPr>
      <w:hyperlink w:anchor="figure-9.23">
        <w:r>
          <w:rPr>
            <w:rStyle w:val="Hyperlink"/>
          </w:rPr>
          <w:t xml:space="preserve">9.23</w:t>
        </w:r>
      </w:hyperlink>
      <w:r>
        <w:t xml:space="preserve"> </w:t>
      </w:r>
      <w:r>
        <w:t xml:space="preserve">- Summary of Generalised Change Strategies for Pursuing Better HDR, Using the ToC Model</w:t>
      </w:r>
    </w:p>
    <w:bookmarkEnd w:id="33"/>
    <w:bookmarkStart w:id="34" w:name="X2ff848240aef712d907f9e3487c71611a2c5f27"/>
    <w:p>
      <w:pPr>
        <w:pStyle w:val="Heading3"/>
      </w:pPr>
      <w:r>
        <w:t xml:space="preserve">Figures in</w:t>
      </w:r>
      <w:r>
        <w:t xml:space="preserve"> </w:t>
      </w:r>
      <w:r>
        <w:t xml:space="preserve">‘</w:t>
      </w:r>
      <w:r>
        <w:t xml:space="preserve">Additional Reference Information</w:t>
      </w:r>
      <w:r>
        <w:t xml:space="preserve">’</w:t>
      </w:r>
    </w:p>
    <w:p>
      <w:pPr>
        <w:numPr>
          <w:ilvl w:val="0"/>
          <w:numId w:val="1016"/>
        </w:numPr>
        <w:pStyle w:val="Compact"/>
      </w:pPr>
      <w:hyperlink w:anchor="figure-ari3.1">
        <w:r>
          <w:rPr>
            <w:rStyle w:val="Hyperlink"/>
          </w:rPr>
          <w:t xml:space="preserve">ARI3.1</w:t>
        </w:r>
      </w:hyperlink>
      <w:r>
        <w:t xml:space="preserve"> </w:t>
      </w:r>
      <w:r>
        <w:t xml:space="preserve">- Private Data Viewing Monitor with Viewing Glasses</w:t>
      </w:r>
    </w:p>
    <w:p>
      <w:pPr>
        <w:numPr>
          <w:ilvl w:val="0"/>
          <w:numId w:val="1016"/>
        </w:numPr>
        <w:pStyle w:val="Compact"/>
      </w:pPr>
      <w:hyperlink w:anchor="figure-ari4.1">
        <w:r>
          <w:rPr>
            <w:rStyle w:val="Hyperlink"/>
          </w:rPr>
          <w:t xml:space="preserve">ARI4.1</w:t>
        </w:r>
      </w:hyperlink>
      <w:r>
        <w:t xml:space="preserve"> </w:t>
      </w:r>
      <w:r>
        <w:t xml:space="preserve">- Extract of Sample Scenario Storyboarding Exercise walkthrough</w:t>
      </w:r>
    </w:p>
    <w:p>
      <w:pPr>
        <w:numPr>
          <w:ilvl w:val="0"/>
          <w:numId w:val="1016"/>
        </w:numPr>
        <w:pStyle w:val="Compact"/>
      </w:pPr>
      <w:hyperlink w:anchor="figure-ari4.2">
        <w:r>
          <w:rPr>
            <w:rStyle w:val="Hyperlink"/>
          </w:rPr>
          <w:t xml:space="preserve">ARI4.2</w:t>
        </w:r>
      </w:hyperlink>
      <w:r>
        <w:t xml:space="preserve"> </w:t>
      </w:r>
      <w:r>
        <w:t xml:space="preserve">- Example Backing Mat for Storyboard Decks</w:t>
      </w:r>
    </w:p>
    <w:p>
      <w:pPr>
        <w:numPr>
          <w:ilvl w:val="0"/>
          <w:numId w:val="1016"/>
        </w:numPr>
        <w:pStyle w:val="Compact"/>
      </w:pPr>
      <w:hyperlink w:anchor="figure-ari5.1">
        <w:r>
          <w:rPr>
            <w:rStyle w:val="Hyperlink"/>
          </w:rPr>
          <w:t xml:space="preserve">ARI5.1</w:t>
        </w:r>
      </w:hyperlink>
      <w:r>
        <w:t xml:space="preserve"> </w:t>
      </w:r>
      <w:r>
        <w:t xml:space="preserve">- Screenshot from</w:t>
      </w:r>
      <w:r>
        <w:t xml:space="preserve"> </w:t>
      </w:r>
      <w:r>
        <w:rPr>
          <w:iCs/>
          <w:i/>
        </w:rPr>
        <w:t xml:space="preserve">Quirkos</w:t>
      </w:r>
      <w:r>
        <w:t xml:space="preserve"> </w:t>
      </w:r>
      <w:r>
        <w:t xml:space="preserve">During Coding Process</w:t>
      </w:r>
    </w:p>
    <w:p>
      <w:pPr>
        <w:numPr>
          <w:ilvl w:val="0"/>
          <w:numId w:val="1016"/>
        </w:numPr>
        <w:pStyle w:val="Compact"/>
      </w:pPr>
      <w:hyperlink w:anchor="figure-ari5.2">
        <w:r>
          <w:rPr>
            <w:rStyle w:val="Hyperlink"/>
          </w:rPr>
          <w:t xml:space="preserve">ARI5.2</w:t>
        </w:r>
      </w:hyperlink>
      <w:r>
        <w:t xml:space="preserve"> </w:t>
      </w:r>
      <w:r>
        <w:t xml:space="preserve">- Screenshot from</w:t>
      </w:r>
      <w:r>
        <w:t xml:space="preserve"> </w:t>
      </w:r>
      <w:r>
        <w:rPr>
          <w:iCs/>
          <w:i/>
        </w:rPr>
        <w:t xml:space="preserve">Quirkos</w:t>
      </w:r>
      <w:r>
        <w:t xml:space="preserve"> </w:t>
      </w:r>
      <w:r>
        <w:t xml:space="preserve">at End of Coding Process</w:t>
      </w:r>
    </w:p>
    <w:p>
      <w:pPr>
        <w:numPr>
          <w:ilvl w:val="0"/>
          <w:numId w:val="1016"/>
        </w:numPr>
        <w:pStyle w:val="Compact"/>
      </w:pPr>
      <w:hyperlink w:anchor="figure-ari5.3">
        <w:r>
          <w:rPr>
            <w:rStyle w:val="Hyperlink"/>
          </w:rPr>
          <w:t xml:space="preserve">ARI5.3</w:t>
        </w:r>
      </w:hyperlink>
      <w:r>
        <w:t xml:space="preserve"> </w:t>
      </w:r>
      <w:r>
        <w:t xml:space="preserve">- Screenshot from</w:t>
      </w:r>
      <w:r>
        <w:t xml:space="preserve"> </w:t>
      </w:r>
      <w:r>
        <w:rPr>
          <w:iCs/>
          <w:i/>
        </w:rPr>
        <w:t xml:space="preserve">Workflowy</w:t>
      </w:r>
      <w:r>
        <w:t xml:space="preserve"> </w:t>
      </w:r>
      <w:r>
        <w:t xml:space="preserve">During Theme Construction</w:t>
      </w:r>
    </w:p>
    <w:p>
      <w:pPr>
        <w:numPr>
          <w:ilvl w:val="0"/>
          <w:numId w:val="1016"/>
        </w:numPr>
        <w:pStyle w:val="Compact"/>
      </w:pPr>
      <w:hyperlink w:anchor="figure-ari7.1">
        <w:r>
          <w:rPr>
            <w:rStyle w:val="Hyperlink"/>
          </w:rPr>
          <w:t xml:space="preserve">ARI7.1</w:t>
        </w:r>
      </w:hyperlink>
      <w:r>
        <w:t xml:space="preserve"> </w:t>
      </w:r>
      <w:r>
        <w:t xml:space="preserve">- Screenshot from a Web Augmented version of the</w:t>
      </w:r>
      <w:r>
        <w:t xml:space="preserve"> </w:t>
      </w:r>
      <w:r>
        <w:rPr>
          <w:iCs/>
          <w:i/>
        </w:rPr>
        <w:t xml:space="preserve">Just Eat</w:t>
      </w:r>
      <w:r>
        <w:t xml:space="preserve"> </w:t>
      </w:r>
      <w:r>
        <w:t xml:space="preserve">Website</w:t>
      </w:r>
    </w:p>
    <w:bookmarkEnd w:id="34"/>
    <w:bookmarkEnd w:id="35"/>
    <w:bookmarkStart w:id="39" w:name="inset-boxes"/>
    <w:p>
      <w:pPr>
        <w:pStyle w:val="Heading2"/>
      </w:pPr>
      <w:r>
        <w:t xml:space="preserve">List of Inset Boxes by Chapter</w:t>
      </w:r>
    </w:p>
    <w:bookmarkStart w:id="36" w:name="inset-boxes-c7"/>
    <w:p>
      <w:pPr>
        <w:pStyle w:val="Heading3"/>
      </w:pPr>
      <w:r>
        <w:t xml:space="preserve">Inset Boxes in Chapter 7</w:t>
      </w:r>
    </w:p>
    <w:p>
      <w:pPr>
        <w:numPr>
          <w:ilvl w:val="0"/>
          <w:numId w:val="1017"/>
        </w:numPr>
        <w:pStyle w:val="Compact"/>
      </w:pPr>
      <w:hyperlink w:anchor="hdr-definition">
        <w:r>
          <w:rPr>
            <w:rStyle w:val="Hyperlink"/>
          </w:rPr>
          <w:t xml:space="preserve">Definition</w:t>
        </w:r>
      </w:hyperlink>
      <w:r>
        <w:t xml:space="preserve"> </w:t>
      </w:r>
      <w:r>
        <w:t xml:space="preserve">- A Definition of Human Data Relations (HDR)</w:t>
      </w:r>
    </w:p>
    <w:bookmarkEnd w:id="36"/>
    <w:bookmarkStart w:id="37" w:name="inset-boxes-c8"/>
    <w:p>
      <w:pPr>
        <w:pStyle w:val="Heading3"/>
      </w:pPr>
      <w:r>
        <w:t xml:space="preserve">Inset Boxes in Chapter 8</w:t>
      </w:r>
    </w:p>
    <w:p>
      <w:pPr>
        <w:numPr>
          <w:ilvl w:val="0"/>
          <w:numId w:val="1018"/>
        </w:numPr>
        <w:pStyle w:val="Compact"/>
      </w:pPr>
      <w:hyperlink w:anchor="insight-1">
        <w:r>
          <w:rPr>
            <w:rStyle w:val="Hyperlink"/>
          </w:rPr>
          <w:t xml:space="preserve">Insight 1</w:t>
        </w:r>
      </w:hyperlink>
      <w:r>
        <w:t xml:space="preserve"> </w:t>
      </w:r>
      <w:r>
        <w:t xml:space="preserve">- Life Information Makes Data Relatable.</w:t>
      </w:r>
    </w:p>
    <w:p>
      <w:pPr>
        <w:numPr>
          <w:ilvl w:val="0"/>
          <w:numId w:val="1018"/>
        </w:numPr>
        <w:pStyle w:val="Compact"/>
      </w:pPr>
      <w:hyperlink w:anchor="insight-2">
        <w:r>
          <w:rPr>
            <w:rStyle w:val="Hyperlink"/>
          </w:rPr>
          <w:t xml:space="preserve">Insight 2</w:t>
        </w:r>
      </w:hyperlink>
      <w:r>
        <w:t xml:space="preserve"> </w:t>
      </w:r>
      <w:r>
        <w:t xml:space="preserve">- Data Needs to be United and Unified.</w:t>
      </w:r>
    </w:p>
    <w:p>
      <w:pPr>
        <w:numPr>
          <w:ilvl w:val="0"/>
          <w:numId w:val="1018"/>
        </w:numPr>
        <w:pStyle w:val="Compact"/>
      </w:pPr>
      <w:hyperlink w:anchor="insight-3">
        <w:r>
          <w:rPr>
            <w:rStyle w:val="Hyperlink"/>
          </w:rPr>
          <w:t xml:space="preserve">Insight 3</w:t>
        </w:r>
      </w:hyperlink>
      <w:r>
        <w:t xml:space="preserve"> </w:t>
      </w:r>
      <w:r>
        <w:t xml:space="preserve">- Data Must be Transformed into a Versatile Material.</w:t>
      </w:r>
    </w:p>
    <w:p>
      <w:pPr>
        <w:numPr>
          <w:ilvl w:val="0"/>
          <w:numId w:val="1018"/>
        </w:numPr>
        <w:pStyle w:val="Compact"/>
      </w:pPr>
      <w:hyperlink w:anchor="insight-4">
        <w:r>
          <w:rPr>
            <w:rStyle w:val="Hyperlink"/>
          </w:rPr>
          <w:t xml:space="preserve">Insight 4</w:t>
        </w:r>
      </w:hyperlink>
      <w:r>
        <w:t xml:space="preserve"> </w:t>
      </w:r>
      <w:r>
        <w:t xml:space="preserve">- Ecosystem Information is an Antidote to Digital Life Complexity.</w:t>
      </w:r>
    </w:p>
    <w:p>
      <w:pPr>
        <w:numPr>
          <w:ilvl w:val="0"/>
          <w:numId w:val="1018"/>
        </w:numPr>
        <w:pStyle w:val="Compact"/>
      </w:pPr>
      <w:hyperlink w:anchor="insight-5">
        <w:r>
          <w:rPr>
            <w:rStyle w:val="Hyperlink"/>
          </w:rPr>
          <w:t xml:space="preserve">Insight 5</w:t>
        </w:r>
      </w:hyperlink>
      <w:r>
        <w:t xml:space="preserve"> </w:t>
      </w:r>
      <w:r>
        <w:t xml:space="preserve">- We Must Know Data’s Provenance.</w:t>
      </w:r>
    </w:p>
    <w:p>
      <w:pPr>
        <w:numPr>
          <w:ilvl w:val="0"/>
          <w:numId w:val="1018"/>
        </w:numPr>
        <w:pStyle w:val="Compact"/>
      </w:pPr>
      <w:hyperlink w:anchor="insight-6">
        <w:r>
          <w:rPr>
            <w:rStyle w:val="Hyperlink"/>
          </w:rPr>
          <w:t xml:space="preserve">Insight 6</w:t>
        </w:r>
      </w:hyperlink>
      <w:r>
        <w:t xml:space="preserve"> </w:t>
      </w:r>
      <w:r>
        <w:t xml:space="preserve">- Data Holders use Four Levers of Infrastructural Power.</w:t>
      </w:r>
    </w:p>
    <w:p>
      <w:pPr>
        <w:numPr>
          <w:ilvl w:val="0"/>
          <w:numId w:val="1018"/>
        </w:numPr>
        <w:pStyle w:val="Compact"/>
      </w:pPr>
      <w:hyperlink w:anchor="insight-7">
        <w:r>
          <w:rPr>
            <w:rStyle w:val="Hyperlink"/>
          </w:rPr>
          <w:t xml:space="preserve">Insight 7</w:t>
        </w:r>
      </w:hyperlink>
      <w:r>
        <w:t xml:space="preserve"> </w:t>
      </w:r>
      <w:r>
        <w:t xml:space="preserve">- Human-centred Information Systems Must Serve Human Values, Relieve Pain and Deliver New Life Capabilities.</w:t>
      </w:r>
    </w:p>
    <w:p>
      <w:pPr>
        <w:numPr>
          <w:ilvl w:val="0"/>
          <w:numId w:val="1018"/>
        </w:numPr>
        <w:pStyle w:val="Compact"/>
      </w:pPr>
      <w:hyperlink w:anchor="insight-8">
        <w:r>
          <w:rPr>
            <w:rStyle w:val="Hyperlink"/>
          </w:rPr>
          <w:t xml:space="preserve">Insight 8</w:t>
        </w:r>
      </w:hyperlink>
      <w:r>
        <w:t xml:space="preserve"> </w:t>
      </w:r>
      <w:r>
        <w:t xml:space="preserve">- We Need to Teach Computers to Understand Human Information.</w:t>
      </w:r>
    </w:p>
    <w:bookmarkEnd w:id="37"/>
    <w:bookmarkStart w:id="38" w:name="inset-boxes-c9"/>
    <w:p>
      <w:pPr>
        <w:pStyle w:val="Heading3"/>
      </w:pPr>
      <w:r>
        <w:t xml:space="preserve">Inset Boxes in Chapter 9</w:t>
      </w:r>
    </w:p>
    <w:p>
      <w:pPr>
        <w:numPr>
          <w:ilvl w:val="0"/>
          <w:numId w:val="1019"/>
        </w:numPr>
        <w:pStyle w:val="Compact"/>
      </w:pPr>
      <w:hyperlink w:anchor="insight-9">
        <w:r>
          <w:rPr>
            <w:rStyle w:val="Hyperlink"/>
          </w:rPr>
          <w:t xml:space="preserve">Insight 9</w:t>
        </w:r>
      </w:hyperlink>
      <w:r>
        <w:t xml:space="preserve"> </w:t>
      </w:r>
      <w:r>
        <w:t xml:space="preserve">- Individual GDPR Requests can Compel Companies to Change Data Practices.</w:t>
      </w:r>
    </w:p>
    <w:p>
      <w:pPr>
        <w:numPr>
          <w:ilvl w:val="0"/>
          <w:numId w:val="1019"/>
        </w:numPr>
        <w:pStyle w:val="Compact"/>
      </w:pPr>
      <w:hyperlink w:anchor="insight-10">
        <w:r>
          <w:rPr>
            <w:rStyle w:val="Hyperlink"/>
          </w:rPr>
          <w:t xml:space="preserve">Insight 10</w:t>
        </w:r>
      </w:hyperlink>
      <w:r>
        <w:t xml:space="preserve"> </w:t>
      </w:r>
      <w:r>
        <w:t xml:space="preserve">- Collectives can Compare and Unify their Data and Use it to Demand Change.</w:t>
      </w:r>
    </w:p>
    <w:p>
      <w:pPr>
        <w:numPr>
          <w:ilvl w:val="0"/>
          <w:numId w:val="1019"/>
        </w:numPr>
        <w:pStyle w:val="Compact"/>
      </w:pPr>
      <w:hyperlink w:anchor="insight-11">
        <w:r>
          <w:rPr>
            <w:rStyle w:val="Hyperlink"/>
          </w:rPr>
          <w:t xml:space="preserve">Insight 11</w:t>
        </w:r>
      </w:hyperlink>
      <w:r>
        <w:t xml:space="preserve"> </w:t>
      </w:r>
      <w:r>
        <w:t xml:space="preserve">- Automating the Identification of Entities can enhance Machine Understanding and Unburden Life Interface Users.</w:t>
      </w:r>
    </w:p>
    <w:p>
      <w:pPr>
        <w:numPr>
          <w:ilvl w:val="0"/>
          <w:numId w:val="1019"/>
        </w:numPr>
        <w:pStyle w:val="Compact"/>
      </w:pPr>
      <w:hyperlink w:anchor="insight-12">
        <w:r>
          <w:rPr>
            <w:rStyle w:val="Hyperlink"/>
          </w:rPr>
          <w:t xml:space="preserve">Insight 12</w:t>
        </w:r>
      </w:hyperlink>
      <w:r>
        <w:t xml:space="preserve"> </w:t>
      </w:r>
      <w:r>
        <w:t xml:space="preserve">- The</w:t>
      </w:r>
      <w:r>
        <w:t xml:space="preserve"> </w:t>
      </w:r>
      <w:r>
        <w:t xml:space="preserve">‘</w:t>
      </w:r>
      <w:r>
        <w:t xml:space="preserve">Seams</w:t>
      </w:r>
      <w:r>
        <w:t xml:space="preserve">’</w:t>
      </w:r>
      <w:r>
        <w:t xml:space="preserve"> </w:t>
      </w:r>
      <w:r>
        <w:t xml:space="preserve">of Digital Services need to be identified, exploited and protected.</w:t>
      </w:r>
    </w:p>
    <w:p>
      <w:pPr>
        <w:numPr>
          <w:ilvl w:val="0"/>
          <w:numId w:val="1019"/>
        </w:numPr>
        <w:pStyle w:val="Compact"/>
      </w:pPr>
      <w:hyperlink w:anchor="insight-13">
        <w:r>
          <w:rPr>
            <w:rStyle w:val="Hyperlink"/>
          </w:rPr>
          <w:t xml:space="preserve">Insight 13</w:t>
        </w:r>
      </w:hyperlink>
      <w:r>
        <w:t xml:space="preserve"> </w:t>
      </w:r>
      <w:r>
        <w:t xml:space="preserve">- It is Possible (and Necessary) to Demonstrate Business Benefits of Transparency and Human-centricity.</w:t>
      </w:r>
    </w:p>
    <w:p>
      <w:r>
        <w:pict>
          <v:rect style="width:0;height:1.5pt" o:hralign="center" o:hrstd="t" o:hr="t"/>
        </w:pict>
      </w:r>
    </w:p>
    <w:bookmarkEnd w:id="38"/>
    <w:bookmarkEnd w:id="39"/>
    <w:bookmarkEnd w:id="40"/>
    <w:bookmarkStart w:id="45" w:name="bibliography"/>
    <w:p>
      <w:pPr>
        <w:pStyle w:val="Heading1"/>
      </w:pPr>
      <w:r>
        <w:t xml:space="preserve">Bibliography</w:t>
      </w:r>
    </w:p>
    <w:bookmarkStart w:id="44" w:name="refs"/>
    <w:bookmarkStart w:id="41"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41"/>
    <w:bookmarkStart w:id="43" w:name="ref-marshall2020"/>
    <w:p>
      <w:pPr>
        <w:pStyle w:val="Bibliography"/>
      </w:pPr>
      <w:r>
        <w:t xml:space="preserve">Marshall, M. (2020)</w:t>
      </w:r>
      <w:r>
        <w:t xml:space="preserve"> </w:t>
      </w:r>
      <w:r>
        <w:t xml:space="preserve">‘Markdown thesis’</w:t>
      </w:r>
      <w:r>
        <w:t xml:space="preserve">. available at:</w:t>
      </w:r>
      <w:r>
        <w:t xml:space="preserve"> </w:t>
      </w:r>
      <w:hyperlink r:id="rId42">
        <w:r>
          <w:rPr>
            <w:rStyle w:val="Hyperlink"/>
          </w:rPr>
          <w:t xml:space="preserve">https://gitlab.com/mrshll1001/markdown-thesis</w:t>
        </w:r>
      </w:hyperlink>
      <w:r>
        <w:t xml:space="preserve">.</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42"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2022-08-25T07:36:31Z</dcterms:created>
  <dcterms:modified xsi:type="dcterms:W3CDTF">2022-08-25T07:36:31Z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