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6"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5.2">
        <w:r>
          <w:rPr>
            <w:rStyle w:val="Hyperlink"/>
          </w:rPr>
          <w:t xml:space="preserve">ARI5.2</w:t>
        </w:r>
      </w:hyperlink>
      <w:r>
        <w:t xml:space="preserve"> </w:t>
      </w:r>
      <w:r>
        <w:t xml:space="preserve">- Eight Lenses on Personal Data</w:t>
      </w:r>
    </w:p>
    <w:bookmarkEnd w:id="26"/>
    <w:bookmarkEnd w:id="27"/>
    <w:bookmarkStart w:id="35"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r>
        <w:t xml:space="preserve"> </w:t>
      </w:r>
      <w:hyperlink w:anchor="figure-7.3">
        <w:r>
          <w:rPr>
            <w:rStyle w:val="Hyperlink"/>
          </w:rPr>
          <w:t xml:space="preserve">7.3</w:t>
        </w:r>
      </w:hyperlink>
      <w:r>
        <w:t xml:space="preserve"> </w:t>
      </w:r>
      <w:r>
        <w:t xml:space="preserve">- Obstacles and Resulting Insights in the HDR Opportunity Landscape</w:t>
      </w:r>
      <w:r>
        <w:t xml:space="preserve"> </w:t>
      </w:r>
      <w:hyperlink w:anchor="figure-7.4">
        <w:r>
          <w:rPr>
            <w:rStyle w:val="Hyperlink"/>
          </w:rPr>
          <w:t xml:space="preserve">7.4</w:t>
        </w:r>
      </w:hyperlink>
      <w:r>
        <w:t xml:space="preserve"> </w:t>
      </w:r>
      <w:r>
        <w:t xml:space="preserve">- Life Concept Modelling</w:t>
      </w:r>
      <w:r>
        <w:t xml:space="preserve"> </w:t>
      </w:r>
      <w:hyperlink w:anchor="figure-7.5">
        <w:r>
          <w:rPr>
            <w:rStyle w:val="Hyperlink"/>
          </w:rPr>
          <w:t xml:space="preserve">7.5</w:t>
        </w:r>
      </w:hyperlink>
      <w:r>
        <w:t xml:space="preserve"> </w:t>
      </w:r>
      <w:r>
        <w:t xml:space="preserve">- Mock-up of a Unified TV Viewing History Interface</w:t>
      </w:r>
      <w:r>
        <w:t xml:space="preserve"> </w:t>
      </w:r>
      <w:hyperlink w:anchor="figure-7.6">
        <w:r>
          <w:rPr>
            <w:rStyle w:val="Hyperlink"/>
          </w:rPr>
          <w:t xml:space="preserve">7.6</w:t>
        </w:r>
      </w:hyperlink>
      <w:r>
        <w:t xml:space="preserve"> </w:t>
      </w:r>
      <w:r>
        <w:t xml:space="preserve">- SubsCrab: An Example Application for Ecosystem Detection and Visualisation</w:t>
      </w:r>
      <w:r>
        <w:t xml:space="preserve"> </w:t>
      </w:r>
      <w:hyperlink w:anchor="figure-7.7">
        <w:r>
          <w:rPr>
            <w:rStyle w:val="Hyperlink"/>
          </w:rPr>
          <w:t xml:space="preserve">7.7</w:t>
        </w:r>
      </w:hyperlink>
      <w:r>
        <w:t xml:space="preserve"> </w:t>
      </w:r>
      <w:r>
        <w:t xml:space="preserve">- Some of the Many Aspects of Metadata that Might Exist About a Datapoint or Dataset</w:t>
      </w:r>
      <w:r>
        <w:t xml:space="preserve"> </w:t>
      </w:r>
      <w:hyperlink w:anchor="figure-7.8">
        <w:r>
          <w:rPr>
            <w:rStyle w:val="Hyperlink"/>
          </w:rPr>
          <w:t xml:space="preserve">7.8</w:t>
        </w:r>
      </w:hyperlink>
      <w:r>
        <w:t xml:space="preserve"> </w:t>
      </w:r>
      <w:r>
        <w:t xml:space="preserve">- The Panopticon Structure of the Illinois State Penitentiary</w:t>
      </w:r>
      <w:r>
        <w:t xml:space="preserve"> </w:t>
      </w:r>
      <w:hyperlink w:anchor="figure-7.9">
        <w:r>
          <w:rPr>
            <w:rStyle w:val="Hyperlink"/>
          </w:rPr>
          <w:t xml:space="preserve">7.9</w:t>
        </w:r>
      </w:hyperlink>
      <w:r>
        <w:t xml:space="preserve"> </w:t>
      </w:r>
      <w:r>
        <w:t xml:space="preserve">- Human Values, as Identified in BBC R&amp;D Research Funded by Nesta</w:t>
      </w:r>
      <w:r>
        <w:t xml:space="preserve"> </w:t>
      </w:r>
      <w:hyperlink w:anchor="figure-7.10">
        <w:r>
          <w:rPr>
            <w:rStyle w:val="Hyperlink"/>
          </w:rPr>
          <w:t xml:space="preserve">7.10</w:t>
        </w:r>
      </w:hyperlink>
      <w:r>
        <w:t xml:space="preserve"> </w:t>
      </w:r>
      <w:r>
        <w:t xml:space="preserve">- A Contact-and-Calendar-centric PDS Approach</w:t>
      </w:r>
      <w:r>
        <w:t xml:space="preserve"> </w:t>
      </w:r>
      <w:hyperlink w:anchor="figure-7.11">
        <w:r>
          <w:rPr>
            <w:rStyle w:val="Hyperlink"/>
          </w:rPr>
          <w:t xml:space="preserve">7.11</w:t>
        </w:r>
      </w:hyperlink>
      <w:r>
        <w:t xml:space="preserve"> </w:t>
      </w:r>
      <w:r>
        <w:t xml:space="preserve">- The Scattered Data Relating to a Vacation</w:t>
      </w:r>
      <w:r>
        <w:t xml:space="preserve"> </w:t>
      </w:r>
      <w:hyperlink w:anchor="figure-7.12">
        <w:r>
          <w:rPr>
            <w:rStyle w:val="Hyperlink"/>
          </w:rPr>
          <w:t xml:space="preserve">7.12</w:t>
        </w:r>
      </w:hyperlink>
      <w:r>
        <w:t xml:space="preserve"> </w:t>
      </w:r>
      <w:r>
        <w:t xml:space="preserve">- Mock-up of a Unified Interface for a Vacation</w:t>
      </w:r>
      <w:r>
        <w:t xml:space="preserve"> </w:t>
      </w:r>
      <w:hyperlink w:anchor="figure-7.13">
        <w:r>
          <w:rPr>
            <w:rStyle w:val="Hyperlink"/>
          </w:rPr>
          <w:t xml:space="preserve">7.13</w:t>
        </w:r>
      </w:hyperlink>
      <w:r>
        <w:t xml:space="preserve"> </w:t>
      </w:r>
      <w:r>
        <w:t xml:space="preserve">- Annotating Data with Semantic Context</w:t>
      </w:r>
      <w:r>
        <w:t xml:space="preserve"> </w:t>
      </w:r>
      <w:hyperlink w:anchor="figure-7.14">
        <w:r>
          <w:rPr>
            <w:rStyle w:val="Hyperlink"/>
          </w:rPr>
          <w:t xml:space="preserve">7.14</w:t>
        </w:r>
      </w:hyperlink>
      <w:r>
        <w:t xml:space="preserve"> </w:t>
      </w:r>
      <w:r>
        <w:t xml:space="preserve">- Theory of Change [ToC]: The Four Dimensions of Change</w:t>
      </w:r>
      <w:r>
        <w:t xml:space="preserve"> </w:t>
      </w:r>
      <w:hyperlink w:anchor="figure-7.15">
        <w:r>
          <w:rPr>
            <w:rStyle w:val="Hyperlink"/>
          </w:rPr>
          <w:t xml:space="preserve">7.15</w:t>
        </w:r>
      </w:hyperlink>
      <w:r>
        <w:t xml:space="preserve"> </w:t>
      </w:r>
      <w:r>
        <w:t xml:space="preserve">- HDR Approach 1: Discovery-Driven Activism</w:t>
      </w:r>
      <w:r>
        <w:t xml:space="preserve"> </w:t>
      </w:r>
      <w:hyperlink w:anchor="figure-7.16">
        <w:r>
          <w:rPr>
            <w:rStyle w:val="Hyperlink"/>
          </w:rPr>
          <w:t xml:space="preserve">7.16</w:t>
        </w:r>
      </w:hyperlink>
      <w:r>
        <w:t xml:space="preserve"> </w:t>
      </w:r>
      <w:r>
        <w:t xml:space="preserve">- HDR Approach 2: Building the Human-centric Future</w:t>
      </w:r>
      <w:r>
        <w:t xml:space="preserve"> </w:t>
      </w:r>
      <w:hyperlink w:anchor="figure-7.17">
        <w:r>
          <w:rPr>
            <w:rStyle w:val="Hyperlink"/>
          </w:rPr>
          <w:t xml:space="preserve">7.17</w:t>
        </w:r>
      </w:hyperlink>
      <w:r>
        <w:t xml:space="preserve"> </w:t>
      </w:r>
      <w:r>
        <w:t xml:space="preserve">- Conceptual Model for a Personal Data Store System</w:t>
      </w:r>
      <w:r>
        <w:t xml:space="preserve"> </w:t>
      </w:r>
      <w:hyperlink w:anchor="figure-7.18">
        <w:r>
          <w:rPr>
            <w:rStyle w:val="Hyperlink"/>
          </w:rPr>
          <w:t xml:space="preserve">7.18</w:t>
        </w:r>
      </w:hyperlink>
      <w:r>
        <w:t xml:space="preserve"> </w:t>
      </w:r>
      <w:r>
        <w:t xml:space="preserve">- High Level Data Types</w:t>
      </w:r>
      <w:r>
        <w:t xml:space="preserve"> </w:t>
      </w:r>
      <w:hyperlink w:anchor="figure-7.19">
        <w:r>
          <w:rPr>
            <w:rStyle w:val="Hyperlink"/>
          </w:rPr>
          <w:t xml:space="preserve">7.19</w:t>
        </w:r>
      </w:hyperlink>
      <w:r>
        <w:t xml:space="preserve"> </w:t>
      </w:r>
      <w:r>
        <w:t xml:space="preserve">- Life Information Modelled as Happenings</w:t>
      </w:r>
      <w:r>
        <w:t xml:space="preserve"> </w:t>
      </w:r>
      <w:hyperlink w:anchor="figure-7.20">
        <w:r>
          <w:rPr>
            <w:rStyle w:val="Hyperlink"/>
          </w:rPr>
          <w:t xml:space="preserve">7.20</w:t>
        </w:r>
      </w:hyperlink>
      <w:r>
        <w:t xml:space="preserve"> </w:t>
      </w:r>
      <w:r>
        <w:t xml:space="preserve">- A Simple PDS Life Information Presentation Model</w:t>
      </w:r>
      <w:r>
        <w:t xml:space="preserve"> </w:t>
      </w:r>
      <w:hyperlink w:anchor="figure-7.21">
        <w:r>
          <w:rPr>
            <w:rStyle w:val="Hyperlink"/>
          </w:rPr>
          <w:t xml:space="preserve">7.21</w:t>
        </w:r>
      </w:hyperlink>
      <w:r>
        <w:t xml:space="preserve"> </w:t>
      </w:r>
      <w:r>
        <w:t xml:space="preserve">- Mock-up of Life Information Presented in a PDS Interface</w:t>
      </w:r>
      <w:r>
        <w:t xml:space="preserve"> </w:t>
      </w:r>
      <w:hyperlink w:anchor="figure-7.22">
        <w:r>
          <w:rPr>
            <w:rStyle w:val="Hyperlink"/>
          </w:rPr>
          <w:t xml:space="preserve">7.22</w:t>
        </w:r>
      </w:hyperlink>
      <w:r>
        <w:t xml:space="preserve"> </w:t>
      </w:r>
      <w:r>
        <w:t xml:space="preserve">- Life Partitioning Analogy using a Cluedo™ board</w:t>
      </w:r>
      <w:r>
        <w:t xml:space="preserve"> </w:t>
      </w:r>
      <w:hyperlink w:anchor="figure-7.23">
        <w:r>
          <w:rPr>
            <w:rStyle w:val="Hyperlink"/>
          </w:rPr>
          <w:t xml:space="preserve">7.23</w:t>
        </w:r>
      </w:hyperlink>
      <w:r>
        <w:t xml:space="preserve"> </w:t>
      </w:r>
      <w:r>
        <w:t xml:space="preserve">- Mock-up: Browsing by Areas of Life</w:t>
      </w:r>
      <w:r>
        <w:t xml:space="preserve"> </w:t>
      </w:r>
      <w:hyperlink w:anchor="figure-7.24">
        <w:r>
          <w:rPr>
            <w:rStyle w:val="Hyperlink"/>
          </w:rPr>
          <w:t xml:space="preserve">7.24</w:t>
        </w:r>
      </w:hyperlink>
      <w:r>
        <w:t xml:space="preserve"> </w:t>
      </w:r>
      <w:r>
        <w:t xml:space="preserve">- Identifying Entity Associations in Data</w:t>
      </w:r>
      <w:r>
        <w:t xml:space="preserve"> </w:t>
      </w:r>
      <w:hyperlink w:anchor="figure-7.25">
        <w:r>
          <w:rPr>
            <w:rStyle w:val="Hyperlink"/>
          </w:rPr>
          <w:t xml:space="preserve">7.25</w:t>
        </w:r>
      </w:hyperlink>
      <w:r>
        <w:t xml:space="preserve"> </w:t>
      </w:r>
      <w:r>
        <w:t xml:space="preserve">- Facebook’s World2vec Model, Semantically Modelling Human Information from Social Media Posts on Facebook</w:t>
      </w:r>
      <w:r>
        <w:t xml:space="preserve"> </w:t>
      </w:r>
      <w:hyperlink w:anchor="figure-7.26">
        <w:r>
          <w:rPr>
            <w:rStyle w:val="Hyperlink"/>
          </w:rPr>
          <w:t xml:space="preserve">7.26</w:t>
        </w:r>
      </w:hyperlink>
      <w:r>
        <w:t xml:space="preserve"> </w:t>
      </w:r>
      <w:r>
        <w:t xml:space="preserve">- Identifying the Attributes of Data</w:t>
      </w:r>
      <w:r>
        <w:t xml:space="preserve"> </w:t>
      </w:r>
      <w:hyperlink w:anchor="figure-7.27">
        <w:r>
          <w:rPr>
            <w:rStyle w:val="Hyperlink"/>
          </w:rPr>
          <w:t xml:space="preserve">7.27</w:t>
        </w:r>
      </w:hyperlink>
      <w:r>
        <w:t xml:space="preserve"> </w:t>
      </w:r>
      <w:r>
        <w:t xml:space="preserve">- Determining the Nature of a Piece of Data</w:t>
      </w:r>
      <w:r>
        <w:t xml:space="preserve"> </w:t>
      </w:r>
      <w:hyperlink w:anchor="figure-7.28">
        <w:r>
          <w:rPr>
            <w:rStyle w:val="Hyperlink"/>
          </w:rPr>
          <w:t xml:space="preserve">7.28</w:t>
        </w:r>
      </w:hyperlink>
      <w:r>
        <w:t xml:space="preserve"> </w:t>
      </w:r>
      <w:r>
        <w:t xml:space="preserve">- Attributes of Data</w:t>
      </w:r>
      <w:r>
        <w:t xml:space="preserve"> </w:t>
      </w:r>
      <w:hyperlink w:anchor="figure-7.29">
        <w:r>
          <w:rPr>
            <w:rStyle w:val="Hyperlink"/>
          </w:rPr>
          <w:t xml:space="preserve">7.29</w:t>
        </w:r>
      </w:hyperlink>
      <w:r>
        <w:t xml:space="preserve"> </w:t>
      </w:r>
      <w:r>
        <w:t xml:space="preserve">- Actions One Might Perform on Life Information</w:t>
      </w:r>
      <w:r>
        <w:t xml:space="preserve"> </w:t>
      </w:r>
      <w:hyperlink w:anchor="figure-7.30">
        <w:r>
          <w:rPr>
            <w:rStyle w:val="Hyperlink"/>
          </w:rPr>
          <w:t xml:space="preserve">7.30</w:t>
        </w:r>
      </w:hyperlink>
      <w:r>
        <w:t xml:space="preserve"> </w:t>
      </w:r>
      <w:r>
        <w:t xml:space="preserve">- Questions One Might Ask of Life Information</w:t>
      </w:r>
      <w:r>
        <w:t xml:space="preserve"> </w:t>
      </w:r>
      <w:hyperlink w:anchor="figure-7.31">
        <w:r>
          <w:rPr>
            <w:rStyle w:val="Hyperlink"/>
          </w:rPr>
          <w:t xml:space="preserve">7.31</w:t>
        </w:r>
      </w:hyperlink>
      <w:r>
        <w:t xml:space="preserve"> </w:t>
      </w:r>
      <w:r>
        <w:t xml:space="preserve">- Example Taxonomies for Life Information Navigation</w:t>
      </w:r>
      <w:r>
        <w:t xml:space="preserve"> </w:t>
      </w:r>
      <w:hyperlink w:anchor="figure-7.32">
        <w:r>
          <w:rPr>
            <w:rStyle w:val="Hyperlink"/>
          </w:rPr>
          <w:t xml:space="preserve">7.32</w:t>
        </w:r>
      </w:hyperlink>
      <w:r>
        <w:t xml:space="preserve"> </w:t>
      </w:r>
      <w:r>
        <w:t xml:space="preserve">- HDR Approach 3: Defending User Autonomy and Hacking the Information Landscape</w:t>
      </w:r>
      <w:r>
        <w:t xml:space="preserve"> </w:t>
      </w:r>
      <w:hyperlink w:anchor="figure-7.33">
        <w:r>
          <w:rPr>
            <w:rStyle w:val="Hyperlink"/>
          </w:rPr>
          <w:t xml:space="preserve">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7.34">
        <w:r>
          <w:rPr>
            <w:rStyle w:val="Hyperlink"/>
          </w:rPr>
          <w:t xml:space="preserve">7.34</w:t>
        </w:r>
      </w:hyperlink>
      <w:r>
        <w:t xml:space="preserve"> </w:t>
      </w:r>
      <w:r>
        <w:t xml:space="preserve">- HDR Approach 4: Winning Hearts and Minds: Teaching, Championing and Selling the Vision</w:t>
      </w:r>
      <w:r>
        <w:t xml:space="preserve"> </w:t>
      </w:r>
      <w:hyperlink w:anchor="figure-7.35">
        <w:r>
          <w:rPr>
            <w:rStyle w:val="Hyperlink"/>
          </w:rPr>
          <w:t xml:space="preserve">7.35</w:t>
        </w:r>
      </w:hyperlink>
      <w:r>
        <w:t xml:space="preserve"> </w:t>
      </w:r>
      <w:r>
        <w:t xml:space="preserve">- SILVER Health Data Viewing Interface</w:t>
      </w:r>
      <w:r>
        <w:t xml:space="preserve"> </w:t>
      </w:r>
      <w:hyperlink w:anchor="figure-7.36">
        <w:r>
          <w:rPr>
            <w:rStyle w:val="Hyperlink"/>
          </w:rPr>
          <w:t xml:space="preserve">7.36</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p>
      <w:r>
        <w:pict>
          <v:rect style="width:0;height:1.5pt" o:hralign="center" o:hrstd="t" o:hr="t"/>
        </w:pict>
      </w:r>
    </w:p>
    <w:bookmarkEnd w:id="34"/>
    <w:bookmarkEnd w:id="35"/>
    <w:bookmarkEnd w:id="36"/>
    <w:bookmarkStart w:id="41" w:name="bibliography"/>
    <w:p>
      <w:pPr>
        <w:pStyle w:val="Heading1"/>
      </w:pPr>
      <w:r>
        <w:t xml:space="preserve">Bibliography</w:t>
      </w:r>
    </w:p>
    <w:bookmarkStart w:id="40" w:name="refs"/>
    <w:bookmarkStart w:id="37"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7"/>
    <w:bookmarkStart w:id="39" w:name="ref-marshall2020"/>
    <w:p>
      <w:pPr>
        <w:pStyle w:val="Bibliography"/>
      </w:pPr>
      <w:r>
        <w:t xml:space="preserve">Marshall, M. (2020)</w:t>
      </w:r>
      <w:r>
        <w:t xml:space="preserve"> </w:t>
      </w:r>
      <w:r>
        <w:t xml:space="preserve">‘Markdown thesis’</w:t>
      </w:r>
      <w:r>
        <w:t xml:space="preserve">. Available at:</w:t>
      </w:r>
      <w:r>
        <w:t xml:space="preserve"> </w:t>
      </w:r>
      <w:hyperlink r:id="rId38">
        <w:r>
          <w:rPr>
            <w:rStyle w:val="Hyperlink"/>
          </w:rPr>
          <w:t xml:space="preserve">https://gitlab.com/mrshll1001/markdown-thesis</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8"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2022-08-21T12:00:00Z</dcterms:created>
  <dcterms:modified xsi:type="dcterms:W3CDTF">2022-08-21T12:00:00Z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