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5"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Example Categories of Family Civic Data</w:t>
      </w:r>
    </w:p>
    <w:p>
      <w:pPr>
        <w:pStyle w:val="BodyText"/>
      </w:pPr>
      <w:hyperlink w:anchor="table-4.2">
        <w:r>
          <w:rPr>
            <w:rStyle w:val="Hyperlink"/>
          </w:rPr>
          <w:t xml:space="preserve">Table 4.2</w:t>
        </w:r>
      </w:hyperlink>
      <w:r>
        <w:t xml:space="preserve"> </w:t>
      </w:r>
      <w:r>
        <w:t xml:space="preserve">- Case Study One Group Design Workshops</w:t>
      </w:r>
    </w:p>
    <w:p>
      <w:pPr>
        <w:pStyle w:val="BodyText"/>
      </w:pPr>
      <w:hyperlink w:anchor="table-4.3">
        <w:r>
          <w:rPr>
            <w:rStyle w:val="Hyperlink"/>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rPr>
          <w:t xml:space="preserve">Table 4.4</w:t>
        </w:r>
      </w:hyperlink>
      <w:r>
        <w:t xml:space="preserve"> </w:t>
      </w:r>
      <w:r>
        <w:t xml:space="preserve">- Theme 2 - Giving a Voice to the Family: Subthemes &amp; Participant Quotes</w:t>
      </w:r>
    </w:p>
    <w:p>
      <w:pPr>
        <w:pStyle w:val="BodyText"/>
      </w:pPr>
      <w:hyperlink w:anchor="table-4.5">
        <w:r>
          <w:rPr>
            <w:rStyle w:val="Hyperlink"/>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5">
        <w:r>
          <w:rPr>
            <w:rStyle w:val="Hyperlink"/>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rPr>
          <w:t xml:space="preserve">Table 5.6</w:t>
        </w:r>
      </w:hyperlink>
      <w:r>
        <w:t xml:space="preserve"> </w:t>
      </w:r>
      <w:r>
        <w:t xml:space="preserve">- Theme 1 - Insufficient Transparency: Subthemes &amp; Participant Quotes</w:t>
      </w:r>
    </w:p>
    <w:p>
      <w:pPr>
        <w:pStyle w:val="BodyText"/>
      </w:pPr>
      <w:hyperlink w:anchor="table-5.7">
        <w:r>
          <w:rPr>
            <w:rStyle w:val="Hyperlink"/>
          </w:rPr>
          <w:t xml:space="preserve">Table 5.7</w:t>
        </w:r>
      </w:hyperlink>
      <w:r>
        <w:t xml:space="preserve"> </w:t>
      </w:r>
      <w:r>
        <w:t xml:space="preserve">- Theme 2 - Confusing &amp; Unuseable Data: Subthemes &amp; Participant Quotes</w:t>
      </w:r>
    </w:p>
    <w:p>
      <w:pPr>
        <w:pStyle w:val="BodyText"/>
      </w:pPr>
      <w:hyperlink w:anchor="table-5.8">
        <w:r>
          <w:rPr>
            <w:rStyle w:val="Hyperlink"/>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 Additional Reference Information</w:t>
      </w:r>
    </w:p>
    <w:p>
      <w:pPr>
        <w:pStyle w:val="FirstParagraph"/>
      </w:pPr>
      <w:hyperlink w:anchor="table-ARI.1">
        <w:r>
          <w:rPr>
            <w:rStyle w:val="Hyperlink"/>
          </w:rPr>
          <w:t xml:space="preserve">Table ARI.1</w:t>
        </w:r>
      </w:hyperlink>
      <w:r>
        <w:t xml:space="preserve"> </w:t>
      </w:r>
      <w:r>
        <w:t xml:space="preserve">- Best and Worst Data Holders for GDPR, according to Participants’ Judgements</w:t>
      </w:r>
    </w:p>
    <w:bookmarkEnd w:id="27"/>
    <w:bookmarkEnd w:id="28"/>
    <w:bookmarkStart w:id="44"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43" w:name="X1117dbc5a8a04e46a1fd7d0e9789468571305a2"/>
    <w:p>
      <w:pPr>
        <w:pStyle w:val="Heading3"/>
      </w:pPr>
      <w:r>
        <w:t xml:space="preserve">Tables in Additional Reference Information</w:t>
      </w:r>
    </w:p>
    <w:p>
      <w:pPr>
        <w:pStyle w:val="CaptionedFigure"/>
      </w:pPr>
      <w:bookmarkStart w:id="38" w:name="figure-ARI.1"/>
      <w:r>
        <w:drawing>
          <wp:inline>
            <wp:extent cx="5334000" cy="2371915"/>
            <wp:effectExtent b="0" l="0" r="0" t="0"/>
            <wp:docPr descr="Figure ARI.1: Extract of Sample Scenario Storyboarding Exercise walkthrough" title="" id="36" name="Picture"/>
            <a:graphic>
              <a:graphicData uri="http://schemas.openxmlformats.org/drawingml/2006/picture">
                <pic:pic>
                  <pic:nvPicPr>
                    <pic:cNvPr descr="./src/figs/figARI.1-storyboarding-cards.png" id="37" name="Picture"/>
                    <pic:cNvPicPr>
                      <a:picLocks noChangeArrowheads="1" noChangeAspect="1"/>
                    </pic:cNvPicPr>
                  </pic:nvPicPr>
                  <pic:blipFill>
                    <a:blip r:embed="rId35"/>
                    <a:stretch>
                      <a:fillRect/>
                    </a:stretch>
                  </pic:blipFill>
                  <pic:spPr bwMode="auto">
                    <a:xfrm>
                      <a:off x="0" y="0"/>
                      <a:ext cx="5334000" cy="2371915"/>
                    </a:xfrm>
                    <a:prstGeom prst="rect">
                      <a:avLst/>
                    </a:prstGeom>
                    <a:noFill/>
                    <a:ln w="9525">
                      <a:noFill/>
                      <a:headEnd/>
                      <a:tailEnd/>
                    </a:ln>
                  </pic:spPr>
                </pic:pic>
              </a:graphicData>
            </a:graphic>
          </wp:inline>
        </w:drawing>
      </w:r>
      <w:bookmarkEnd w:id="38"/>
    </w:p>
    <w:p>
      <w:pPr>
        <w:pStyle w:val="ImageCaption"/>
      </w:pPr>
      <w:r>
        <w:t xml:space="preserve">Figure ARI.1: Extract of Sample Scenario Storyboarding Exercise walkthrough</w:t>
      </w:r>
    </w:p>
    <w:p>
      <w:pPr>
        <w:pStyle w:val="CaptionedFigure"/>
      </w:pPr>
      <w:bookmarkStart w:id="42" w:name="figure-ARI.2"/>
      <w:r>
        <w:drawing>
          <wp:inline>
            <wp:extent cx="5334000" cy="3773229"/>
            <wp:effectExtent b="0" l="0" r="0" t="0"/>
            <wp:docPr descr="Figure ARI.2: Example Backing Mat for Storyboard Decks" title="" id="40" name="Picture"/>
            <a:graphic>
              <a:graphicData uri="http://schemas.openxmlformats.org/drawingml/2006/picture">
                <pic:pic>
                  <pic:nvPicPr>
                    <pic:cNvPr descr="./src/figs/figARI.2-backing-mat.png" id="41" name="Picture"/>
                    <pic:cNvPicPr>
                      <a:picLocks noChangeArrowheads="1" noChangeAspect="1"/>
                    </pic:cNvPicPr>
                  </pic:nvPicPr>
                  <pic:blipFill>
                    <a:blip r:embed="rId39"/>
                    <a:stretch>
                      <a:fillRect/>
                    </a:stretch>
                  </pic:blipFill>
                  <pic:spPr bwMode="auto">
                    <a:xfrm>
                      <a:off x="0" y="0"/>
                      <a:ext cx="5334000" cy="3773229"/>
                    </a:xfrm>
                    <a:prstGeom prst="rect">
                      <a:avLst/>
                    </a:prstGeom>
                    <a:noFill/>
                    <a:ln w="9525">
                      <a:noFill/>
                      <a:headEnd/>
                      <a:tailEnd/>
                    </a:ln>
                  </pic:spPr>
                </pic:pic>
              </a:graphicData>
            </a:graphic>
          </wp:inline>
        </w:drawing>
      </w:r>
      <w:bookmarkEnd w:id="42"/>
    </w:p>
    <w:p>
      <w:pPr>
        <w:pStyle w:val="ImageCaption"/>
      </w:pPr>
      <w:r>
        <w:t xml:space="preserve">Figure ARI.2: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43"/>
    <w:bookmarkEnd w:id="44"/>
    <w:bookmarkEnd w:id="45"/>
    <w:bookmarkStart w:id="50" w:name="bibliography"/>
    <w:p>
      <w:pPr>
        <w:pStyle w:val="Heading1"/>
      </w:pPr>
      <w:r>
        <w:t xml:space="preserve">Bibliography</w:t>
      </w:r>
    </w:p>
    <w:bookmarkStart w:id="49" w:name="refs"/>
    <w:bookmarkStart w:id="46"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6"/>
    <w:bookmarkStart w:id="48" w:name="ref-marshall2020"/>
    <w:p>
      <w:pPr>
        <w:pStyle w:val="Bibliography"/>
      </w:pPr>
      <w:r>
        <w:t xml:space="preserve">Marshall, M. (2020)</w:t>
      </w:r>
      <w:r>
        <w:t xml:space="preserve"> </w:t>
      </w:r>
      <w:r>
        <w:t xml:space="preserve">‘Markdown thesis’</w:t>
      </w:r>
      <w:r>
        <w:t xml:space="preserve">. Available at:</w:t>
      </w:r>
      <w:r>
        <w:t xml:space="preserve"> </w:t>
      </w:r>
      <w:hyperlink r:id="rId47">
        <w:r>
          <w:rPr>
            <w:rStyle w:val="Hyperlink"/>
          </w:rPr>
          <w:t xml:space="preserve">https://gitlab.com/mrshll1001/markdown-thesis</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47"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7"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2022-08-19T13:36:42Z</dcterms:created>
  <dcterms:modified xsi:type="dcterms:W3CDTF">2022-08-19T13:36:42Z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