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 and</w:t>
      </w:r>
      <w:r>
        <w:rPr>
          <w:iCs/>
          <w:i/>
        </w:rPr>
        <w:t xml:space="preserve"> </w:t>
      </w:r>
      <w:r>
        <w:rPr>
          <w:bCs/>
          <w:b/>
          <w:iCs/>
          <w:i/>
        </w:rPr>
        <w:t xml:space="preserve">Zach</w:t>
      </w:r>
      <w:r>
        <w:rPr>
          <w:iCs/>
          <w:i/>
        </w:rPr>
        <w:t xml:space="preserve">; my nieces</w:t>
      </w:r>
      <w:r>
        <w:rPr>
          <w:iCs/>
          <w:i/>
        </w:rPr>
        <w:t xml:space="preserve"> </w:t>
      </w:r>
      <w:r>
        <w:rPr>
          <w:bCs/>
          <w:b/>
          <w:iCs/>
          <w:i/>
        </w:rPr>
        <w:t xml:space="preserve">Amy</w:t>
      </w:r>
      <w:r>
        <w:rPr>
          <w:iCs/>
          <w:i/>
        </w:rPr>
        <w:t xml:space="preserve"> </w:t>
      </w:r>
      <w:r>
        <w:rPr>
          <w:iCs/>
          <w:i/>
        </w:rPr>
        <w:t xml:space="preserve">and</w:t>
      </w:r>
      <w:r>
        <w:rPr>
          <w:iCs/>
          <w:i/>
        </w:rPr>
        <w:t xml:space="preserve"> </w:t>
      </w:r>
      <w:r>
        <w:rPr>
          <w:bCs/>
          <w:b/>
          <w:iCs/>
          <w:i/>
        </w:rPr>
        <w:t xml:space="preserve">Lyla</w:t>
      </w:r>
      <w:r>
        <w:rPr>
          <w:iCs/>
          <w:i/>
        </w:rPr>
        <w:t xml:space="preserve">; and my nephew</w:t>
      </w:r>
      <w:r>
        <w:rPr>
          <w:iCs/>
          <w:i/>
        </w:rPr>
        <w:t xml:space="preserve"> </w:t>
      </w:r>
      <w:r>
        <w:rPr>
          <w:bCs/>
          <w:b/>
          <w:iCs/>
          <w:i/>
        </w:rPr>
        <w:t xml:space="preserve">Elliott</w:t>
      </w:r>
      <w:r>
        <w:rPr>
          <w:iCs/>
          <w:i/>
        </w:rPr>
        <w:t xml:space="preserve">, in the hope that you and your generation might soon experience a future where technology can truly help people and empower them to thrive, and where personal data drives human flourishing more than corporate profit.</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go to my wife Joni,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calm, pragmatic and thorough feedback and encouragement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a million random assists;</w:t>
      </w:r>
    </w:p>
    <w:p>
      <w:pPr>
        <w:numPr>
          <w:ilvl w:val="0"/>
          <w:numId w:val="1001"/>
        </w:numPr>
        <w:pStyle w:val="Compact"/>
      </w:pPr>
      <w:r>
        <w:t xml:space="preserve">And also, to Rob Comber, Simon Bowen and all the other lecturers who taught me valuable Digital Civics and research skills during the MRes that helped shape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Seb Prost, Kieran Cutting, James Hodge, Hazel Dixon and all the other Digital Civics PhDs whose company and mutual support I enjoyed during dozens of writing sessions;</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Soheil Human, Jasmine Cox, Peter Wells, Ian Forrester, Rhianne Jones, Tim Broom, Suzanne Clarke, Chris Gameson, Sarah Knowles, Kellie Morrissey, Aare Puussaar, StJohn Deakins, Michael Jelly, Jay Rainey, David Williams, Ben Wright, and all the other lovely people I have had the pleasure to work with, ruminate with or learn from during this PhD;</w:t>
      </w:r>
    </w:p>
    <w:p>
      <w:pPr>
        <w:numPr>
          <w:ilvl w:val="0"/>
          <w:numId w:val="1003"/>
        </w:numPr>
        <w:pStyle w:val="Compact"/>
      </w:pPr>
      <w:r>
        <w:t xml:space="preserve">my parents Jim and Rosi Bowyer and my brother Jon Bowyer for their unquestioning love and support in an ever-changing world; and</w:t>
      </w:r>
    </w:p>
    <w:p>
      <w:pPr>
        <w:numPr>
          <w:ilvl w:val="0"/>
          <w:numId w:val="1003"/>
        </w:numPr>
        <w:pStyle w:val="Compact"/>
      </w:pPr>
      <w:r>
        <w:t xml:space="preserve">the research participants themselves, who shall remain nameless but without which this work could not exist.</w:t>
      </w:r>
    </w:p>
    <w:bookmarkEnd w:id="22"/>
    <w:bookmarkStart w:id="37"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bCs/>
            <w:b/>
          </w:rPr>
          <w:t xml:space="preserve">Table 4.1</w:t>
        </w:r>
      </w:hyperlink>
      <w:r>
        <w:t xml:space="preserve"> </w:t>
      </w:r>
      <w:r>
        <w:t xml:space="preserve">- Example Categories of Family Civic Data</w:t>
      </w:r>
    </w:p>
    <w:p>
      <w:pPr>
        <w:pStyle w:val="BodyText"/>
      </w:pPr>
      <w:hyperlink w:anchor="table-4.2">
        <w:r>
          <w:rPr>
            <w:rStyle w:val="Hyperlink"/>
            <w:bCs/>
            <w:b/>
          </w:rPr>
          <w:t xml:space="preserve">Table 4.2</w:t>
        </w:r>
      </w:hyperlink>
      <w:r>
        <w:t xml:space="preserve"> </w:t>
      </w:r>
      <w:r>
        <w:t xml:space="preserve">- Case Study One Group Design Workshops</w:t>
      </w:r>
    </w:p>
    <w:p>
      <w:pPr>
        <w:pStyle w:val="BodyText"/>
      </w:pPr>
      <w:hyperlink w:anchor="table-4.3">
        <w:r>
          <w:rPr>
            <w:rStyle w:val="Hyperlink"/>
            <w:bCs/>
            <w:b/>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bCs/>
            <w:b/>
          </w:rPr>
          <w:t xml:space="preserve">Table 4.4</w:t>
        </w:r>
      </w:hyperlink>
      <w:r>
        <w:t xml:space="preserve"> </w:t>
      </w:r>
      <w:r>
        <w:t xml:space="preserve">- Theme 2 - Giving a Voice to the Family: Subthemes &amp; Participant Quotes</w:t>
      </w:r>
    </w:p>
    <w:p>
      <w:pPr>
        <w:pStyle w:val="BodyTex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bCs/>
            <w:b/>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bCs/>
            <w:b/>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bCs/>
            <w:b/>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bCs/>
            <w:b/>
          </w:rPr>
          <w:t xml:space="preserve">Table 5.4</w:t>
        </w:r>
      </w:hyperlink>
      <w:r>
        <w:t xml:space="preserve"> </w:t>
      </w:r>
      <w:r>
        <w:t xml:space="preserve">- Best and Worst Data Holders in Different Categories, According to Participants’ Judgements</w:t>
      </w:r>
    </w:p>
    <w:p>
      <w:pPr>
        <w:pStyle w:val="BodyText"/>
      </w:pPr>
      <w:hyperlink w:anchor="table-5.5">
        <w:r>
          <w:rPr>
            <w:rStyle w:val="Hyperlink"/>
            <w:bCs/>
            <w:b/>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bCs/>
            <w:b/>
          </w:rPr>
          <w:t xml:space="preserve">Table 5.6</w:t>
        </w:r>
      </w:hyperlink>
      <w:r>
        <w:t xml:space="preserve"> </w:t>
      </w:r>
      <w:r>
        <w:t xml:space="preserve">- Theme 1 - Insufficient Transparency: Subthemes &amp; Participant Quotes</w:t>
      </w:r>
    </w:p>
    <w:p>
      <w:pPr>
        <w:pStyle w:val="BodyText"/>
      </w:pPr>
      <w:hyperlink w:anchor="table-5.7">
        <w:r>
          <w:rPr>
            <w:rStyle w:val="Hyperlink"/>
            <w:bCs/>
            <w:b/>
          </w:rPr>
          <w:t xml:space="preserve">Table 5.7</w:t>
        </w:r>
      </w:hyperlink>
      <w:r>
        <w:t xml:space="preserve"> </w:t>
      </w:r>
      <w:r>
        <w:t xml:space="preserve">- Theme 2 - Confusing &amp; Unusable Data: Subthemes &amp; Participant Quotes</w:t>
      </w:r>
    </w:p>
    <w:p>
      <w:pPr>
        <w:pStyle w:val="BodyText"/>
      </w:pPr>
      <w:hyperlink w:anchor="table-5.8">
        <w:r>
          <w:rPr>
            <w:rStyle w:val="Hyperlink"/>
            <w:bCs/>
            <w:b/>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bCs/>
            <w:b/>
          </w:rPr>
          <w:t xml:space="preserve">Table 7.1</w:t>
        </w:r>
      </w:hyperlink>
      <w:r>
        <w:t xml:space="preserve"> </w:t>
      </w:r>
      <w:r>
        <w:t xml:space="preserve">- Eight Lenses on Personal Data</w:t>
      </w:r>
    </w:p>
    <w:bookmarkEnd w:id="26"/>
    <w:bookmarkEnd w:id="27"/>
    <w:bookmarkStart w:id="36"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bCs/>
            <w:b/>
          </w:rPr>
          <w:t xml:space="preserve">Figure 1.1</w:t>
        </w:r>
      </w:hyperlink>
      <w:r>
        <w:t xml:space="preserve"> </w:t>
      </w:r>
      <w:r>
        <w:t xml:space="preserve">- Poster Presentation of Case Study One</w:t>
      </w:r>
    </w:p>
    <w:p>
      <w:pPr>
        <w:pStyle w:val="BodyText"/>
      </w:pPr>
      <w:hyperlink w:anchor="figure-1.2">
        <w:r>
          <w:rPr>
            <w:rStyle w:val="Hyperlink"/>
            <w:bCs/>
            <w:b/>
          </w:rPr>
          <w:t xml:space="preserve">Figure 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bCs/>
            <w:b/>
          </w:rPr>
          <w:t xml:space="preserve">Figure 2.1</w:t>
        </w:r>
      </w:hyperlink>
      <w:r>
        <w:t xml:space="preserve"> </w:t>
      </w:r>
      <w:r>
        <w:t xml:space="preserve">- The Wisdom Curve: Making Data into Meaningful Information</w:t>
      </w:r>
    </w:p>
    <w:p>
      <w:pPr>
        <w:pStyle w:val="BodyTex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bCs/>
            <w:b/>
          </w:rPr>
          <w:t xml:space="preserve">Figure 3.1</w:t>
        </w:r>
      </w:hyperlink>
      <w:r>
        <w:t xml:space="preserve"> </w:t>
      </w:r>
      <w:r>
        <w:t xml:space="preserve">- My Action Research Approach</w:t>
      </w:r>
    </w:p>
    <w:p>
      <w:pPr>
        <w:pStyle w:val="BodyTex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bCs/>
            <w:b/>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bCs/>
            <w:b/>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bCs/>
            <w:b/>
          </w:rPr>
          <w:t xml:space="preserve">Figure 3.5</w:t>
        </w:r>
      </w:hyperlink>
      <w:r>
        <w:t xml:space="preserve"> </w:t>
      </w:r>
      <w:r>
        <w:t xml:space="preserve">- Family Civic Data Cards – Things to Think With</w:t>
      </w:r>
    </w:p>
    <w:p>
      <w:pPr>
        <w:pStyle w:val="BodyText"/>
      </w:pPr>
      <w:hyperlink w:anchor="figure-3.6">
        <w:r>
          <w:rPr>
            <w:rStyle w:val="Hyperlink"/>
            <w:bCs/>
            <w:b/>
          </w:rPr>
          <w:t xml:space="preserve">Figure 3.6</w:t>
        </w:r>
      </w:hyperlink>
      <w:r>
        <w:t xml:space="preserve"> </w:t>
      </w:r>
      <w:r>
        <w:t xml:space="preserve">- Personal Data Examples – Making Data Relatable</w:t>
      </w:r>
    </w:p>
    <w:p>
      <w:pPr>
        <w:pStyle w:val="BodyText"/>
      </w:pPr>
      <w:hyperlink w:anchor="figure-3.7">
        <w:r>
          <w:rPr>
            <w:rStyle w:val="Hyperlink"/>
            <w:bCs/>
            <w:b/>
          </w:rPr>
          <w:t xml:space="preserve">Figure 3.7</w:t>
        </w:r>
      </w:hyperlink>
      <w:r>
        <w:t xml:space="preserve"> </w:t>
      </w:r>
      <w:r>
        <w:t xml:space="preserve">- Home Interviewing: Card Sorting with a Family in Their Living Room</w:t>
      </w:r>
    </w:p>
    <w:p>
      <w:pPr>
        <w:pStyle w:val="BodyText"/>
      </w:pPr>
      <w:hyperlink w:anchor="figure-3.8">
        <w:r>
          <w:rPr>
            <w:rStyle w:val="Hyperlink"/>
            <w:bCs/>
            <w:b/>
          </w:rPr>
          <w:t xml:space="preserve">Figure 3.8</w:t>
        </w:r>
      </w:hyperlink>
      <w:r>
        <w:t xml:space="preserve"> </w:t>
      </w:r>
      <w:r>
        <w:t xml:space="preserve">- Ideation Decks – Combining Random Design Ingredients to Generate New Ideas</w:t>
      </w:r>
    </w:p>
    <w:p>
      <w:pPr>
        <w:pStyle w:val="BodyTex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bCs/>
            <w:b/>
          </w:rPr>
          <w:t xml:space="preserve">Figure 3.11</w:t>
        </w:r>
      </w:hyperlink>
      <w:r>
        <w:t xml:space="preserve"> </w:t>
      </w:r>
      <w:r>
        <w:t xml:space="preserve">- Thematic Analysis of Qualitative Data using Quirkos for Case Study One</w:t>
      </w:r>
    </w:p>
    <w:p>
      <w:pPr>
        <w:pStyle w:val="BodyText"/>
      </w:pPr>
      <w:hyperlink w:anchor="figure-3.12">
        <w:r>
          <w:rPr>
            <w:rStyle w:val="Hyperlink"/>
            <w:bCs/>
            <w:b/>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bCs/>
            <w:b/>
          </w:rPr>
          <w:t xml:space="preserve">Figure 3.13</w:t>
        </w:r>
      </w:hyperlink>
      <w:r>
        <w:t xml:space="preserve"> </w:t>
      </w:r>
      <w:r>
        <w:t xml:space="preserve">- Pilot Study Recruitment Poster</w:t>
      </w:r>
    </w:p>
    <w:p>
      <w:pPr>
        <w:pStyle w:val="BodyText"/>
      </w:pPr>
      <w:hyperlink w:anchor="figure-3.14">
        <w:r>
          <w:rPr>
            <w:rStyle w:val="Hyperlink"/>
            <w:bCs/>
            <w:b/>
          </w:rPr>
          <w:t xml:space="preserve">Figure 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bCs/>
            <w:b/>
          </w:rPr>
          <w:t xml:space="preserve">Figure 4.1</w:t>
        </w:r>
      </w:hyperlink>
      <w:r>
        <w:t xml:space="preserve"> </w:t>
      </w:r>
      <w:r>
        <w:t xml:space="preserve">- Participants’ Shared Values Deduced from Sentence Rankings Data</w:t>
      </w:r>
    </w:p>
    <w:p>
      <w:pPr>
        <w:pStyle w:val="BodyText"/>
      </w:pPr>
      <w:hyperlink w:anchor="figure-4.2">
        <w:r>
          <w:rPr>
            <w:rStyle w:val="Hyperlink"/>
            <w:bCs/>
            <w:b/>
          </w:rPr>
          <w:t xml:space="preserve">Figure 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bCs/>
            <w:b/>
          </w:rPr>
          <w:t xml:space="preserve">Figure 5.1</w:t>
        </w:r>
      </w:hyperlink>
      <w:r>
        <w:t xml:space="preserve"> </w:t>
      </w:r>
      <w:r>
        <w:t xml:space="preserve">- A Journey Map of Each Participant’s Study Progression</w:t>
      </w:r>
    </w:p>
    <w:p>
      <w:pPr>
        <w:pStyle w:val="BodyTex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bCs/>
            <w:b/>
          </w:rPr>
          <w:t xml:space="preserve">Figure 5.3</w:t>
        </w:r>
      </w:hyperlink>
      <w:r>
        <w:t xml:space="preserve"> </w:t>
      </w:r>
      <w:r>
        <w:t xml:space="preserve">- Sankey Overview of Participants’ GDPR Requests</w:t>
      </w:r>
    </w:p>
    <w:p>
      <w:pPr>
        <w:pStyle w:val="BodyTex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pStyle w:val="BodyTex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pStyle w:val="BodyTex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bCs/>
            <w:b/>
          </w:rPr>
          <w:t xml:space="preserve">Figure 7.2</w:t>
        </w:r>
      </w:hyperlink>
      <w:r>
        <w:t xml:space="preserve"> </w:t>
      </w:r>
      <w:r>
        <w:t xml:space="preserve">- Mapping the Six Wants into Objectives for the HDR Opportunity Landscape</w:t>
      </w:r>
    </w:p>
    <w:p>
      <w:pPr>
        <w:pStyle w:val="BodyText"/>
      </w:pPr>
      <w:hyperlink w:anchor="figure-7.3">
        <w:r>
          <w:rPr>
            <w:rStyle w:val="Hyperlink"/>
            <w:bCs/>
            <w:b/>
          </w:rPr>
          <w:t xml:space="preserve">Figure 7.3</w:t>
        </w:r>
      </w:hyperlink>
      <w:r>
        <w:t xml:space="preserve"> </w:t>
      </w:r>
      <w:r>
        <w:t xml:space="preserve">- Obstacles and Resulting Insights in the HDR Opportunity Landscape</w:t>
      </w:r>
    </w:p>
    <w:p>
      <w:pPr>
        <w:pStyle w:val="BodyText"/>
      </w:pPr>
      <w:hyperlink w:anchor="figure-7.4">
        <w:r>
          <w:rPr>
            <w:rStyle w:val="Hyperlink"/>
            <w:bCs/>
            <w:b/>
          </w:rPr>
          <w:t xml:space="preserve">Figure 7.4</w:t>
        </w:r>
      </w:hyperlink>
      <w:r>
        <w:t xml:space="preserve"> </w:t>
      </w:r>
      <w:r>
        <w:t xml:space="preserve">- Life Concept Modelling</w:t>
      </w:r>
    </w:p>
    <w:p>
      <w:pPr>
        <w:pStyle w:val="BodyText"/>
      </w:pPr>
      <w:hyperlink w:anchor="figure-7.5">
        <w:r>
          <w:rPr>
            <w:rStyle w:val="Hyperlink"/>
            <w:bCs/>
            <w:b/>
          </w:rPr>
          <w:t xml:space="preserve">Figure 7.5</w:t>
        </w:r>
      </w:hyperlink>
      <w:r>
        <w:t xml:space="preserve"> </w:t>
      </w:r>
      <w:r>
        <w:t xml:space="preserve">- Mock-up of a Unified TV Viewing History Interface</w:t>
      </w:r>
    </w:p>
    <w:p>
      <w:pPr>
        <w:pStyle w:val="BodyText"/>
      </w:pPr>
      <w:hyperlink w:anchor="figure-7.6">
        <w:r>
          <w:rPr>
            <w:rStyle w:val="Hyperlink"/>
            <w:bCs/>
            <w:b/>
          </w:rPr>
          <w:t xml:space="preserve">Figure 7.6</w:t>
        </w:r>
      </w:hyperlink>
      <w:r>
        <w:t xml:space="preserve"> </w:t>
      </w:r>
      <w:r>
        <w:t xml:space="preserve">- SubsCrab: An Example Application for Ecosystem Detection and Visualisation</w:t>
      </w:r>
    </w:p>
    <w:p>
      <w:pPr>
        <w:pStyle w:val="BodyText"/>
      </w:pPr>
      <w:hyperlink w:anchor="figure-7.7">
        <w:r>
          <w:rPr>
            <w:rStyle w:val="Hyperlink"/>
            <w:bCs/>
            <w:b/>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bCs/>
            <w:b/>
          </w:rPr>
          <w:t xml:space="preserve">Figure 7.8</w:t>
        </w:r>
      </w:hyperlink>
      <w:r>
        <w:t xml:space="preserve"> </w:t>
      </w:r>
      <w:r>
        <w:t xml:space="preserve">- The Panopticon Structure of the Illinois State Penitentiary</w:t>
      </w:r>
    </w:p>
    <w:p>
      <w:pPr>
        <w:pStyle w:val="BodyText"/>
      </w:pPr>
      <w:hyperlink w:anchor="figure-7.9">
        <w:r>
          <w:rPr>
            <w:rStyle w:val="Hyperlink"/>
            <w:bCs/>
            <w:b/>
          </w:rPr>
          <w:t xml:space="preserve">Figure 7.9</w:t>
        </w:r>
      </w:hyperlink>
      <w:r>
        <w:t xml:space="preserve"> </w:t>
      </w:r>
      <w:r>
        <w:t xml:space="preserve">- Human Values, as Identified in BBC R&amp;D Research Funded by Nesta</w:t>
      </w:r>
    </w:p>
    <w:p>
      <w:pPr>
        <w:pStyle w:val="BodyText"/>
      </w:pPr>
      <w:hyperlink w:anchor="figure-7.10">
        <w:r>
          <w:rPr>
            <w:rStyle w:val="Hyperlink"/>
            <w:bCs/>
            <w:b/>
          </w:rPr>
          <w:t xml:space="preserve">Figure 7.10</w:t>
        </w:r>
      </w:hyperlink>
      <w:r>
        <w:t xml:space="preserve"> </w:t>
      </w:r>
      <w:r>
        <w:t xml:space="preserve">- A Contact-and-Calendar-centric PDS Approach</w:t>
      </w:r>
    </w:p>
    <w:p>
      <w:pPr>
        <w:pStyle w:val="BodyText"/>
      </w:pPr>
      <w:hyperlink w:anchor="figure-7.11">
        <w:r>
          <w:rPr>
            <w:rStyle w:val="Hyperlink"/>
            <w:bCs/>
            <w:b/>
          </w:rPr>
          <w:t xml:space="preserve">Figure 7.11</w:t>
        </w:r>
      </w:hyperlink>
      <w:r>
        <w:t xml:space="preserve"> </w:t>
      </w:r>
      <w:r>
        <w:t xml:space="preserve">- The Scattered Data Relating to a Vacation</w:t>
      </w:r>
    </w:p>
    <w:p>
      <w:pPr>
        <w:pStyle w:val="BodyText"/>
      </w:pPr>
      <w:hyperlink w:anchor="figure-7.12">
        <w:r>
          <w:rPr>
            <w:rStyle w:val="Hyperlink"/>
            <w:bCs/>
            <w:b/>
          </w:rPr>
          <w:t xml:space="preserve">Figure 7.12</w:t>
        </w:r>
      </w:hyperlink>
      <w:r>
        <w:t xml:space="preserve"> </w:t>
      </w:r>
      <w:r>
        <w:t xml:space="preserve">- Mock-up of a Unified Interface for a Vacation</w:t>
      </w:r>
    </w:p>
    <w:p>
      <w:pPr>
        <w:pStyle w:val="BodyText"/>
      </w:pPr>
      <w:hyperlink w:anchor="figure-7.13">
        <w:r>
          <w:rPr>
            <w:rStyle w:val="Hyperlink"/>
            <w:bCs/>
            <w:b/>
          </w:rPr>
          <w:t xml:space="preserve">Figure 7.13</w:t>
        </w:r>
      </w:hyperlink>
      <w:r>
        <w:t xml:space="preserve"> </w:t>
      </w:r>
      <w:r>
        <w:t xml:space="preserve">- Annotating Data with Semantic Context</w:t>
      </w:r>
    </w:p>
    <w:p>
      <w:pPr>
        <w:pStyle w:val="BodyText"/>
      </w:pPr>
      <w:hyperlink w:anchor="figure-7.14">
        <w:r>
          <w:rPr>
            <w:rStyle w:val="Hyperlink"/>
            <w:bCs/>
            <w:b/>
          </w:rPr>
          <w:t xml:space="preserve">Figure 7.14</w:t>
        </w:r>
      </w:hyperlink>
      <w:r>
        <w:t xml:space="preserve"> </w:t>
      </w:r>
      <w:r>
        <w:t xml:space="preserve">- Theory of Change [ToC]: The Four Dimensions of Change</w:t>
      </w:r>
    </w:p>
    <w:p>
      <w:pPr>
        <w:pStyle w:val="BodyText"/>
      </w:pPr>
      <w:hyperlink w:anchor="figure-7.15">
        <w:r>
          <w:rPr>
            <w:rStyle w:val="Hyperlink"/>
            <w:bCs/>
            <w:b/>
          </w:rPr>
          <w:t xml:space="preserve">Figure 7.15</w:t>
        </w:r>
      </w:hyperlink>
      <w:r>
        <w:t xml:space="preserve"> </w:t>
      </w:r>
      <w:r>
        <w:t xml:space="preserve">- HDR Approach 1: Discovery-Driven Activism</w:t>
      </w:r>
    </w:p>
    <w:p>
      <w:pPr>
        <w:pStyle w:val="BodyText"/>
      </w:pPr>
      <w:hyperlink w:anchor="figure-7.16">
        <w:r>
          <w:rPr>
            <w:rStyle w:val="Hyperlink"/>
            <w:bCs/>
            <w:b/>
          </w:rPr>
          <w:t xml:space="preserve">Figure 7.16</w:t>
        </w:r>
      </w:hyperlink>
      <w:r>
        <w:t xml:space="preserve"> </w:t>
      </w:r>
      <w:r>
        <w:t xml:space="preserve">- HDR Approach 2: Building the Human-centric Future</w:t>
      </w:r>
    </w:p>
    <w:p>
      <w:pPr>
        <w:pStyle w:val="BodyText"/>
      </w:pPr>
      <w:hyperlink w:anchor="figure-7.17">
        <w:r>
          <w:rPr>
            <w:rStyle w:val="Hyperlink"/>
            <w:bCs/>
            <w:b/>
          </w:rPr>
          <w:t xml:space="preserve">Figure 7.17</w:t>
        </w:r>
      </w:hyperlink>
      <w:r>
        <w:t xml:space="preserve"> </w:t>
      </w:r>
      <w:r>
        <w:t xml:space="preserve">- Conceptual Model for a Personal Data Store System</w:t>
      </w:r>
    </w:p>
    <w:p>
      <w:pPr>
        <w:pStyle w:val="BodyText"/>
      </w:pPr>
      <w:hyperlink w:anchor="figure-7.18">
        <w:r>
          <w:rPr>
            <w:rStyle w:val="Hyperlink"/>
            <w:bCs/>
            <w:b/>
          </w:rPr>
          <w:t xml:space="preserve">Figure 7.18</w:t>
        </w:r>
      </w:hyperlink>
      <w:r>
        <w:t xml:space="preserve"> </w:t>
      </w:r>
      <w:r>
        <w:t xml:space="preserve">- High Level Data Types</w:t>
      </w:r>
    </w:p>
    <w:p>
      <w:pPr>
        <w:pStyle w:val="BodyText"/>
      </w:pPr>
      <w:hyperlink w:anchor="figure-7.19">
        <w:r>
          <w:rPr>
            <w:rStyle w:val="Hyperlink"/>
            <w:bCs/>
            <w:b/>
          </w:rPr>
          <w:t xml:space="preserve">Figure 7.19</w:t>
        </w:r>
      </w:hyperlink>
      <w:r>
        <w:t xml:space="preserve"> </w:t>
      </w:r>
      <w:r>
        <w:t xml:space="preserve">- Life Information Modelled as Happenings</w:t>
      </w:r>
    </w:p>
    <w:p>
      <w:pPr>
        <w:pStyle w:val="BodyText"/>
      </w:pPr>
      <w:hyperlink w:anchor="figure-7.20">
        <w:r>
          <w:rPr>
            <w:rStyle w:val="Hyperlink"/>
            <w:bCs/>
            <w:b/>
          </w:rPr>
          <w:t xml:space="preserve">Figure 7.20</w:t>
        </w:r>
      </w:hyperlink>
      <w:r>
        <w:t xml:space="preserve"> </w:t>
      </w:r>
      <w:r>
        <w:t xml:space="preserve">- A Simple PDS Life Information Presentation Model</w:t>
      </w:r>
    </w:p>
    <w:p>
      <w:pPr>
        <w:pStyle w:val="BodyText"/>
      </w:pPr>
      <w:hyperlink w:anchor="figure-7.21">
        <w:r>
          <w:rPr>
            <w:rStyle w:val="Hyperlink"/>
            <w:bCs/>
            <w:b/>
          </w:rPr>
          <w:t xml:space="preserve">Figure 7.21</w:t>
        </w:r>
      </w:hyperlink>
      <w:r>
        <w:t xml:space="preserve"> </w:t>
      </w:r>
      <w:r>
        <w:t xml:space="preserve">- Mock-up of Life Information Presented in a PDS Interface</w:t>
      </w:r>
    </w:p>
    <w:p>
      <w:pPr>
        <w:pStyle w:val="BodyText"/>
      </w:pPr>
      <w:hyperlink w:anchor="figure-7.22">
        <w:r>
          <w:rPr>
            <w:rStyle w:val="Hyperlink"/>
            <w:bCs/>
            <w:b/>
          </w:rPr>
          <w:t xml:space="preserve">Figure 7.22</w:t>
        </w:r>
      </w:hyperlink>
      <w:r>
        <w:t xml:space="preserve"> </w:t>
      </w:r>
      <w:r>
        <w:t xml:space="preserve">- Life Partitioning Analogy using a Cluedo™ board</w:t>
      </w:r>
    </w:p>
    <w:p>
      <w:pPr>
        <w:pStyle w:val="BodyText"/>
      </w:pPr>
      <w:hyperlink w:anchor="figure-7.23">
        <w:r>
          <w:rPr>
            <w:rStyle w:val="Hyperlink"/>
            <w:bCs/>
            <w:b/>
          </w:rPr>
          <w:t xml:space="preserve">Figure 7.23</w:t>
        </w:r>
      </w:hyperlink>
      <w:r>
        <w:t xml:space="preserve"> </w:t>
      </w:r>
      <w:r>
        <w:t xml:space="preserve">- Mock-up: Browsing by Areas of Life</w:t>
      </w:r>
    </w:p>
    <w:p>
      <w:pPr>
        <w:pStyle w:val="BodyText"/>
      </w:pPr>
      <w:hyperlink w:anchor="figure-7.24">
        <w:r>
          <w:rPr>
            <w:rStyle w:val="Hyperlink"/>
            <w:bCs/>
            <w:b/>
          </w:rPr>
          <w:t xml:space="preserve">Figure 7.24</w:t>
        </w:r>
      </w:hyperlink>
      <w:r>
        <w:t xml:space="preserve"> </w:t>
      </w:r>
      <w:r>
        <w:t xml:space="preserve">- Identifying Entity Associations in Data</w:t>
      </w:r>
    </w:p>
    <w:p>
      <w:pPr>
        <w:pStyle w:val="BodyTex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bCs/>
            <w:b/>
          </w:rPr>
          <w:t xml:space="preserve">Figure 7.26</w:t>
        </w:r>
      </w:hyperlink>
      <w:r>
        <w:t xml:space="preserve"> </w:t>
      </w:r>
      <w:r>
        <w:t xml:space="preserve">- Identifying the Attributes of Data</w:t>
      </w:r>
    </w:p>
    <w:p>
      <w:pPr>
        <w:pStyle w:val="BodyText"/>
      </w:pPr>
      <w:hyperlink w:anchor="figure-7.27">
        <w:r>
          <w:rPr>
            <w:rStyle w:val="Hyperlink"/>
            <w:bCs/>
            <w:b/>
          </w:rPr>
          <w:t xml:space="preserve">Figure 7.27</w:t>
        </w:r>
      </w:hyperlink>
      <w:r>
        <w:t xml:space="preserve"> </w:t>
      </w:r>
      <w:r>
        <w:t xml:space="preserve">- Determining the Nature of a Piece of Data</w:t>
      </w:r>
    </w:p>
    <w:p>
      <w:pPr>
        <w:pStyle w:val="BodyText"/>
      </w:pPr>
      <w:hyperlink w:anchor="figure-7.28">
        <w:r>
          <w:rPr>
            <w:rStyle w:val="Hyperlink"/>
            <w:bCs/>
            <w:b/>
          </w:rPr>
          <w:t xml:space="preserve">Figure 7.28</w:t>
        </w:r>
      </w:hyperlink>
      <w:r>
        <w:t xml:space="preserve"> </w:t>
      </w:r>
      <w:r>
        <w:t xml:space="preserve">- Attributes of Data</w:t>
      </w:r>
    </w:p>
    <w:p>
      <w:pPr>
        <w:pStyle w:val="BodyText"/>
      </w:pPr>
      <w:hyperlink w:anchor="figure-7.29">
        <w:r>
          <w:rPr>
            <w:rStyle w:val="Hyperlink"/>
            <w:bCs/>
            <w:b/>
          </w:rPr>
          <w:t xml:space="preserve">Figure 7.29</w:t>
        </w:r>
      </w:hyperlink>
      <w:r>
        <w:t xml:space="preserve"> </w:t>
      </w:r>
      <w:r>
        <w:t xml:space="preserve">- Actions One Might Perform on Life Information</w:t>
      </w:r>
    </w:p>
    <w:p>
      <w:pPr>
        <w:pStyle w:val="BodyText"/>
      </w:pPr>
      <w:hyperlink w:anchor="figure-7.30">
        <w:r>
          <w:rPr>
            <w:rStyle w:val="Hyperlink"/>
            <w:bCs/>
            <w:b/>
          </w:rPr>
          <w:t xml:space="preserve">Figure 7.30</w:t>
        </w:r>
      </w:hyperlink>
      <w:r>
        <w:t xml:space="preserve"> </w:t>
      </w:r>
      <w:r>
        <w:t xml:space="preserve">- Questions One Might Ask of Life Information</w:t>
      </w:r>
    </w:p>
    <w:p>
      <w:pPr>
        <w:pStyle w:val="BodyText"/>
      </w:pPr>
      <w:hyperlink w:anchor="figure-7.31">
        <w:r>
          <w:rPr>
            <w:rStyle w:val="Hyperlink"/>
            <w:bCs/>
            <w:b/>
          </w:rPr>
          <w:t xml:space="preserve">Figure 7.31</w:t>
        </w:r>
      </w:hyperlink>
      <w:r>
        <w:t xml:space="preserve"> </w:t>
      </w:r>
      <w:r>
        <w:t xml:space="preserve">- Example Taxonomies for Life Information Navigation</w:t>
      </w:r>
    </w:p>
    <w:p>
      <w:pPr>
        <w:pStyle w:val="BodyText"/>
      </w:pPr>
      <w:hyperlink w:anchor="figure-7.32">
        <w:r>
          <w:rPr>
            <w:rStyle w:val="Hyperlink"/>
            <w:bCs/>
            <w:b/>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bCs/>
            <w:b/>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bCs/>
            <w:b/>
          </w:rPr>
          <w:t xml:space="preserve">Figure 7.35</w:t>
        </w:r>
      </w:hyperlink>
      <w:r>
        <w:t xml:space="preserve"> </w:t>
      </w:r>
      <w:r>
        <w:t xml:space="preserve">- SILVER Health Data Viewing Interface</w:t>
      </w:r>
    </w:p>
    <w:p>
      <w:pPr>
        <w:pStyle w:val="BodyTex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3"/>
    <w:bookmarkStart w:id="34" w:name="figures-in-appendix-c"/>
    <w:p>
      <w:pPr>
        <w:pStyle w:val="Heading3"/>
      </w:pPr>
      <w:r>
        <w:t xml:space="preserve">Figures in Appendix C</w:t>
      </w:r>
    </w:p>
    <w:p>
      <w:pPr>
        <w:pStyle w:val="FirstParagraph"/>
      </w:pPr>
      <w:hyperlink w:anchor="figure-C.1">
        <w:r>
          <w:rPr>
            <w:rStyle w:val="Hyperlink"/>
            <w:bCs/>
            <w:b/>
          </w:rPr>
          <w:t xml:space="preserve">Figure C.1</w:t>
        </w:r>
      </w:hyperlink>
      <w:r>
        <w:t xml:space="preserve"> </w:t>
      </w:r>
      <w:r>
        <w:t xml:space="preserve">- Screenshot from Quirkos During Coding Process</w:t>
      </w:r>
    </w:p>
    <w:p>
      <w:pPr>
        <w:pStyle w:val="BodyText"/>
      </w:pPr>
      <w:hyperlink w:anchor="figure-C.2">
        <w:r>
          <w:rPr>
            <w:rStyle w:val="Hyperlink"/>
            <w:bCs/>
            <w:b/>
          </w:rPr>
          <w:t xml:space="preserve">Figure C.2</w:t>
        </w:r>
      </w:hyperlink>
      <w:r>
        <w:t xml:space="preserve"> </w:t>
      </w:r>
      <w:r>
        <w:t xml:space="preserve">- Screenshot from Quirkos at End of Coding Process</w:t>
      </w:r>
    </w:p>
    <w:p>
      <w:pPr>
        <w:pStyle w:val="BodyText"/>
      </w:pPr>
      <w:hyperlink w:anchor="figure-C.3">
        <w:r>
          <w:rPr>
            <w:rStyle w:val="Hyperlink"/>
            <w:bCs/>
            <w:b/>
          </w:rPr>
          <w:t xml:space="preserve">Figure C.3</w:t>
        </w:r>
      </w:hyperlink>
      <w:r>
        <w:t xml:space="preserve"> </w:t>
      </w:r>
      <w:r>
        <w:t xml:space="preserve">- Screenshot from Workflowy During Theme Construction</w:t>
      </w:r>
    </w:p>
    <w:bookmarkEnd w:id="34"/>
    <w:bookmarkStart w:id="35" w:name="figures-in-appendix-f"/>
    <w:p>
      <w:pPr>
        <w:pStyle w:val="Heading3"/>
      </w:pPr>
      <w:r>
        <w:t xml:space="preserve">Figures in Appendix F</w:t>
      </w:r>
    </w:p>
    <w:p>
      <w:pPr>
        <w:pStyle w:val="FirstParagraph"/>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0" w:name="bibliography"/>
    <w:p>
      <w:pPr>
        <w:pStyle w:val="Heading1"/>
      </w:pPr>
      <w:r>
        <w:t xml:space="preserve">Bibliography</w:t>
      </w:r>
    </w:p>
    <w:bookmarkStart w:id="39"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2022-08-15T18:33:53Z</dcterms:created>
  <dcterms:modified xsi:type="dcterms:W3CDTF">2022-08-15T18:33:53Z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