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7"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rPr>
          <w:t xml:space="preserve">Table 5.4</w:t>
        </w:r>
      </w:hyperlink>
      <w:r>
        <w:t xml:space="preserve"> </w:t>
      </w:r>
      <w:r>
        <w:t xml:space="preserve">- Participants’ Hopes, Imagined Data Uses and Goals for GDPR, as well as Resultant Outcomes</w:t>
      </w:r>
    </w:p>
    <w:p>
      <w:pPr>
        <w:pStyle w:val="BodyText"/>
      </w:pPr>
      <w:hyperlink w:anchor="table-5.5">
        <w:r>
          <w:rPr>
            <w:rStyle w:val="Hyperlink"/>
          </w:rPr>
          <w:t xml:space="preserve">Table 5.5</w:t>
        </w:r>
      </w:hyperlink>
      <w:r>
        <w:t xml:space="preserve"> </w:t>
      </w:r>
      <w:r>
        <w:t xml:space="preserve">- Theme 1 - Insufficient Transparency: Subthemes &amp; Participant Quotes</w:t>
      </w:r>
    </w:p>
    <w:p>
      <w:pPr>
        <w:pStyle w:val="BodyText"/>
      </w:pPr>
      <w:hyperlink w:anchor="table-5.6">
        <w:r>
          <w:rPr>
            <w:rStyle w:val="Hyperlink"/>
          </w:rPr>
          <w:t xml:space="preserve">Table 5.6</w:t>
        </w:r>
      </w:hyperlink>
      <w:r>
        <w:t xml:space="preserve"> </w:t>
      </w:r>
      <w:r>
        <w:t xml:space="preserve">- Theme 2 - Confusing &amp; Unuseable Data: Subthemes &amp; Participant Quotes</w:t>
      </w:r>
    </w:p>
    <w:p>
      <w:pPr>
        <w:pStyle w:val="BodyText"/>
      </w:pPr>
      <w:hyperlink w:anchor="table-5.7">
        <w:r>
          <w:rPr>
            <w:rStyle w:val="Hyperlink"/>
          </w:rPr>
          <w:t xml:space="preserve">Table 5.7</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36"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35"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1">
        <w:r>
          <w:rPr>
            <w:rStyle w:val="Hyperlink"/>
          </w:rPr>
          <w:t xml:space="preserve">Figure ARI.1</w:t>
        </w:r>
      </w:hyperlink>
      <w:r>
        <w:t xml:space="preserve"> </w:t>
      </w:r>
      <w:r>
        <w:t xml:space="preserve">- Extract of Sample Scenario Storyboarding Exercise walkthrough</w:t>
      </w:r>
    </w:p>
    <w:p>
      <w:pPr>
        <w:pStyle w:val="BodyText"/>
      </w:pPr>
      <w:hyperlink w:anchor="figure-ARI.2">
        <w:r>
          <w:rPr>
            <w:rStyle w:val="Hyperlink"/>
          </w:rPr>
          <w:t xml:space="preserve">Figure ARI.2</w:t>
        </w:r>
      </w:hyperlink>
      <w:r>
        <w:t xml:space="preserve"> </w:t>
      </w:r>
      <w:r>
        <w:t xml:space="preserve">-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2022-08-19T22:45:35Z</dcterms:created>
  <dcterms:modified xsi:type="dcterms:W3CDTF">2022-08-19T22:45:35Z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