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4.png" ContentType="image/png"/>
  <Override PartName="/word/media/rId38.png" ContentType="image/png"/>
  <Override PartName="/word/media/rId42.png" ContentType="image/png"/>
  <Override PartName="/word/media/rId51.jpg" ContentType="image/jpe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4" w:name="ari-1"/>
    <w:p>
      <w:pPr>
        <w:pStyle w:val="Heading1"/>
      </w:pPr>
      <w:r>
        <w:t xml:space="preserve">Additional: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1">
        <w:r>
          <w:rPr>
            <w:rStyle w:val="Hyperlink"/>
          </w:rPr>
          <w:t xml:space="preserve">Table ARI.1</w:t>
        </w:r>
      </w:hyperlink>
      <w:r>
        <w:t xml:space="preserve"> </w:t>
      </w:r>
      <w:r>
        <w:t xml:space="preserve">below.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22" name="Picture"/>
            <a:graphic>
              <a:graphicData uri="http://schemas.openxmlformats.org/drawingml/2006/picture">
                <pic:pic>
                  <pic:nvPicPr>
                    <pic:cNvPr descr="./src/figs/table11-best-worst-companies.png" id="23" name="Picture"/>
                    <pic:cNvPicPr>
                      <a:picLocks noChangeArrowheads="1" noChangeAspect="1"/>
                    </pic:cNvPicPr>
                  </pic:nvPicPr>
                  <pic:blipFill>
                    <a:blip r:embed="rId2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ARI.1 - Best and Worst Data Holders for GDPR, according to Participants’ Judgements</w:t>
      </w:r>
      <w:r>
        <w:t xml:space="preserve">a</w:t>
      </w:r>
    </w:p>
    <w:bookmarkEnd w:id="24"/>
    <w:bookmarkStart w:id="33" w:name="ari-2"/>
    <w:p>
      <w:pPr>
        <w:pStyle w:val="Heading1"/>
      </w:pPr>
      <w:r>
        <w:t xml:space="preserve">Additional: Storyboarding Action Cards (Case Study One)</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28" w:name="figure-ARI.1"/>
      <w:r>
        <w:drawing>
          <wp:inline>
            <wp:extent cx="5334000" cy="2371915"/>
            <wp:effectExtent b="0" l="0" r="0" t="0"/>
            <wp:docPr descr="Figure ARI.1: Extract of Sample Scenario Storyboarding Exercise walkthrough" title="" id="26" name="Picture"/>
            <a:graphic>
              <a:graphicData uri="http://schemas.openxmlformats.org/drawingml/2006/picture">
                <pic:pic>
                  <pic:nvPicPr>
                    <pic:cNvPr descr="./src/figs/figARI.1-storyboarding-cards.png" id="27" name="Picture"/>
                    <pic:cNvPicPr>
                      <a:picLocks noChangeArrowheads="1" noChangeAspect="1"/>
                    </pic:cNvPicPr>
                  </pic:nvPicPr>
                  <pic:blipFill>
                    <a:blip r:embed="rId25"/>
                    <a:stretch>
                      <a:fillRect/>
                    </a:stretch>
                  </pic:blipFill>
                  <pic:spPr bwMode="auto">
                    <a:xfrm>
                      <a:off x="0" y="0"/>
                      <a:ext cx="5334000" cy="2371915"/>
                    </a:xfrm>
                    <a:prstGeom prst="rect">
                      <a:avLst/>
                    </a:prstGeom>
                    <a:noFill/>
                    <a:ln w="9525">
                      <a:noFill/>
                      <a:headEnd/>
                      <a:tailEnd/>
                    </a:ln>
                  </pic:spPr>
                </pic:pic>
              </a:graphicData>
            </a:graphic>
          </wp:inline>
        </w:drawing>
      </w:r>
      <w:bookmarkEnd w:id="28"/>
    </w:p>
    <w:p>
      <w:pPr>
        <w:pStyle w:val="ImageCaption"/>
      </w:pPr>
      <w:r>
        <w:t xml:space="preserve">Figure ARI.1: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1"/>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1"/>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1"/>
        </w:numPr>
        <w:pStyle w:val="Compact"/>
      </w:pPr>
      <w:r>
        <w:rPr>
          <w:bCs/>
          <w:b/>
        </w:rPr>
        <w:t xml:space="preserve">Data Access Cards</w:t>
      </w:r>
      <w:r>
        <w:t xml:space="preserve"> </w:t>
      </w:r>
      <w:r>
        <w:t xml:space="preserve">– representing the searching, browsing, reading, requesting and storing of information;</w:t>
      </w:r>
    </w:p>
    <w:p>
      <w:pPr>
        <w:numPr>
          <w:ilvl w:val="0"/>
          <w:numId w:val="1001"/>
        </w:numPr>
        <w:pStyle w:val="Compact"/>
      </w:pPr>
      <w:r>
        <w:rPr>
          <w:bCs/>
          <w:b/>
        </w:rPr>
        <w:t xml:space="preserve">Motivation Cards</w:t>
      </w:r>
      <w:r>
        <w:t xml:space="preserve"> </w:t>
      </w:r>
      <w:r>
        <w:t xml:space="preserve">– for representing the internal wishes of either family member or support worker;</w:t>
      </w:r>
    </w:p>
    <w:p>
      <w:pPr>
        <w:numPr>
          <w:ilvl w:val="0"/>
          <w:numId w:val="1001"/>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1"/>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1"/>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1"/>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1">
        <w:r>
          <w:rPr>
            <w:rStyle w:val="Hyperlink"/>
          </w:rPr>
          <w:t xml:space="preserve">Figure ARI.1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2" w:name="figure-ARI.2"/>
      <w:r>
        <w:drawing>
          <wp:inline>
            <wp:extent cx="5334000" cy="3773229"/>
            <wp:effectExtent b="0" l="0" r="0" t="0"/>
            <wp:docPr descr="Figure ARI.2: Example Backing Mat for Storyboard Decks (pictured here: backing mat for all three ‘problem’ card decks" title="" id="30" name="Picture"/>
            <a:graphic>
              <a:graphicData uri="http://schemas.openxmlformats.org/drawingml/2006/picture">
                <pic:pic>
                  <pic:nvPicPr>
                    <pic:cNvPr descr="./src/figs/figARI.2-backing-mat.png" id="31" name="Picture"/>
                    <pic:cNvPicPr>
                      <a:picLocks noChangeArrowheads="1" noChangeAspect="1"/>
                    </pic:cNvPicPr>
                  </pic:nvPicPr>
                  <pic:blipFill>
                    <a:blip r:embed="rId29"/>
                    <a:stretch>
                      <a:fillRect/>
                    </a:stretch>
                  </pic:blipFill>
                  <pic:spPr bwMode="auto">
                    <a:xfrm>
                      <a:off x="0" y="0"/>
                      <a:ext cx="5334000" cy="3773229"/>
                    </a:xfrm>
                    <a:prstGeom prst="rect">
                      <a:avLst/>
                    </a:prstGeom>
                    <a:noFill/>
                    <a:ln w="9525">
                      <a:noFill/>
                      <a:headEnd/>
                      <a:tailEnd/>
                    </a:ln>
                  </pic:spPr>
                </pic:pic>
              </a:graphicData>
            </a:graphic>
          </wp:inline>
        </w:drawing>
      </w:r>
      <w:bookmarkEnd w:id="32"/>
    </w:p>
    <w:p>
      <w:pPr>
        <w:pStyle w:val="ImageCaption"/>
      </w:pPr>
      <w:r>
        <w:t xml:space="preserve">Figure ARI.2: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card included a summary of the available action cards of this type, and a prompt question. An example of a backing card, in this case for Problem Cards, is shown in</w:t>
      </w:r>
      <w:r>
        <w:t xml:space="preserve"> </w:t>
      </w:r>
      <w:hyperlink w:anchor="figure-ARI.2">
        <w:r>
          <w:rPr>
            <w:rStyle w:val="Hyperlink"/>
          </w:rPr>
          <w:t xml:space="preserve">Figure ARI.2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3"/>
    <w:bookmarkStart w:id="46" w:name="ari-3"/>
    <w:p>
      <w:pPr>
        <w:pStyle w:val="Heading1"/>
      </w:pPr>
      <w:r>
        <w:t xml:space="preserve">Additional: Data Analysis Approach (Case Study Two)</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2"/>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2"/>
        </w:numPr>
        <w:pStyle w:val="Compact"/>
      </w:pPr>
      <w:r>
        <w:rPr>
          <w:bCs/>
          <w:b/>
        </w:rPr>
        <w:t xml:space="preserve">TEXT FILE PROCESSING</w:t>
      </w:r>
      <w:r>
        <w:t xml:space="preserve">: Splitting, organising, anonymising and some cleaning of auto-transcribed and time-coded text files.</w:t>
      </w:r>
    </w:p>
    <w:p>
      <w:pPr>
        <w:numPr>
          <w:ilvl w:val="0"/>
          <w:numId w:val="1002"/>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2"/>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2"/>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2"/>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3"/>
        </w:numPr>
        <w:pStyle w:val="Compact"/>
      </w:pPr>
      <w:r>
        <w:t xml:space="preserve">Company Response Timelines</w:t>
      </w:r>
    </w:p>
    <w:p>
      <w:pPr>
        <w:numPr>
          <w:ilvl w:val="0"/>
          <w:numId w:val="1003"/>
        </w:numPr>
        <w:pStyle w:val="Compact"/>
      </w:pPr>
      <w:r>
        <w:t xml:space="preserve">Power Scores</w:t>
      </w:r>
    </w:p>
    <w:p>
      <w:pPr>
        <w:numPr>
          <w:ilvl w:val="0"/>
          <w:numId w:val="1003"/>
        </w:numPr>
        <w:pStyle w:val="Compact"/>
      </w:pPr>
      <w:r>
        <w:t xml:space="preserve">Trust Scores</w:t>
      </w:r>
    </w:p>
    <w:p>
      <w:pPr>
        <w:numPr>
          <w:ilvl w:val="0"/>
          <w:numId w:val="1003"/>
        </w:numPr>
        <w:pStyle w:val="Compact"/>
      </w:pPr>
      <w:r>
        <w:t xml:space="preserve">Hopes, Goals and Imagined Uses</w:t>
      </w:r>
    </w:p>
    <w:p>
      <w:pPr>
        <w:numPr>
          <w:ilvl w:val="0"/>
          <w:numId w:val="1003"/>
        </w:numPr>
        <w:pStyle w:val="Compact"/>
      </w:pPr>
      <w:r>
        <w:t xml:space="preserve">Term Definitions</w:t>
      </w:r>
    </w:p>
    <w:p>
      <w:pPr>
        <w:numPr>
          <w:ilvl w:val="0"/>
          <w:numId w:val="1003"/>
        </w:numPr>
        <w:pStyle w:val="Compact"/>
      </w:pPr>
      <w:r>
        <w:t xml:space="preserve">For each participant + target company + data type (+ subtype in some cases):</w:t>
      </w:r>
    </w:p>
    <w:p>
      <w:pPr>
        <w:numPr>
          <w:ilvl w:val="0"/>
          <w:numId w:val="1003"/>
        </w:numPr>
        <w:pStyle w:val="Compact"/>
      </w:pPr>
      <w:r>
        <w:t xml:space="preserve">Provided or Not?</w:t>
      </w:r>
    </w:p>
    <w:p>
      <w:pPr>
        <w:numPr>
          <w:ilvl w:val="0"/>
          <w:numId w:val="1003"/>
        </w:numPr>
        <w:pStyle w:val="Compact"/>
      </w:pPr>
      <w:r>
        <w:t xml:space="preserve">Perceived Value</w:t>
      </w:r>
    </w:p>
    <w:p>
      <w:pPr>
        <w:numPr>
          <w:ilvl w:val="0"/>
          <w:numId w:val="1003"/>
        </w:numPr>
        <w:pStyle w:val="Compact"/>
      </w:pPr>
      <w:r>
        <w:t xml:space="preserve">Completeness</w:t>
      </w:r>
    </w:p>
    <w:p>
      <w:pPr>
        <w:numPr>
          <w:ilvl w:val="0"/>
          <w:numId w:val="1003"/>
        </w:numPr>
        <w:pStyle w:val="Compact"/>
      </w:pPr>
      <w:r>
        <w:t xml:space="preserve">Understandability</w:t>
      </w:r>
    </w:p>
    <w:p>
      <w:pPr>
        <w:numPr>
          <w:ilvl w:val="0"/>
          <w:numId w:val="1003"/>
        </w:numPr>
        <w:pStyle w:val="Compact"/>
      </w:pPr>
      <w:r>
        <w:t xml:space="preserve">Accuracy</w:t>
      </w:r>
    </w:p>
    <w:p>
      <w:pPr>
        <w:numPr>
          <w:ilvl w:val="0"/>
          <w:numId w:val="1003"/>
        </w:numPr>
        <w:pStyle w:val="Compact"/>
      </w:pPr>
      <w:r>
        <w:t xml:space="preserve">Useability</w:t>
      </w:r>
    </w:p>
    <w:p>
      <w:pPr>
        <w:numPr>
          <w:ilvl w:val="0"/>
          <w:numId w:val="1003"/>
        </w:numPr>
        <w:pStyle w:val="Compact"/>
      </w:pPr>
      <w:r>
        <w:t xml:space="preserve">Usefulness</w:t>
      </w:r>
    </w:p>
    <w:p>
      <w:pPr>
        <w:numPr>
          <w:ilvl w:val="0"/>
          <w:numId w:val="1003"/>
        </w:numPr>
        <w:pStyle w:val="Compact"/>
      </w:pPr>
      <w:r>
        <w:t xml:space="preserve">Meaningfulness</w:t>
      </w:r>
    </w:p>
    <w:p>
      <w:pPr>
        <w:numPr>
          <w:ilvl w:val="0"/>
          <w:numId w:val="1003"/>
        </w:numPr>
        <w:pStyle w:val="Compact"/>
      </w:pPr>
      <w:r>
        <w:t xml:space="preserve">Feelings about data (general, and company-specific)</w:t>
      </w:r>
    </w:p>
    <w:p>
      <w:pPr>
        <w:numPr>
          <w:ilvl w:val="0"/>
          <w:numId w:val="1003"/>
        </w:numPr>
        <w:pStyle w:val="Compact"/>
      </w:pPr>
      <w:r>
        <w:t xml:space="preserve">General questions (general, and company-specific)</w:t>
      </w:r>
    </w:p>
    <w:p>
      <w:pPr>
        <w:numPr>
          <w:ilvl w:val="0"/>
          <w:numId w:val="1003"/>
        </w:numPr>
        <w:pStyle w:val="Compact"/>
      </w:pPr>
      <w:r>
        <w:t xml:space="preserve">Best and Worst Companies (taking into account provided, completeness, understandability, accuracy, usability, usefulness)</w:t>
      </w:r>
    </w:p>
    <w:p>
      <w:pPr>
        <w:numPr>
          <w:ilvl w:val="0"/>
          <w:numId w:val="1003"/>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4"/>
        </w:numPr>
        <w:pStyle w:val="Compact"/>
      </w:pPr>
      <w:r>
        <w:rPr>
          <w:bCs/>
          <w:b/>
        </w:rPr>
        <w:t xml:space="preserve">POWER</w:t>
      </w:r>
      <w:r>
        <w:t xml:space="preserve"> </w:t>
      </w:r>
      <w:r>
        <w:t xml:space="preserve">– discussions and scoring around the power of data holding companies</w:t>
      </w:r>
    </w:p>
    <w:p>
      <w:pPr>
        <w:numPr>
          <w:ilvl w:val="0"/>
          <w:numId w:val="1004"/>
        </w:numPr>
        <w:pStyle w:val="Compact"/>
      </w:pPr>
      <w:r>
        <w:rPr>
          <w:bCs/>
          <w:b/>
        </w:rPr>
        <w:t xml:space="preserve">TRUST</w:t>
      </w:r>
      <w:r>
        <w:t xml:space="preserve"> </w:t>
      </w:r>
      <w:r>
        <w:t xml:space="preserve">– discussions and scoring around participants’ subjective trust in data holding companies</w:t>
      </w:r>
    </w:p>
    <w:p>
      <w:pPr>
        <w:numPr>
          <w:ilvl w:val="0"/>
          <w:numId w:val="1004"/>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4"/>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4"/>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4"/>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37" w:name="figure-ARI.3"/>
      <w:r>
        <w:drawing>
          <wp:inline>
            <wp:extent cx="5334000" cy="3379904"/>
            <wp:effectExtent b="0" l="0" r="0" t="0"/>
            <wp:docPr descr="Figure ARI.3: Screenshot from Quirkos During Coding Process" title="" id="35" name="Picture"/>
            <a:graphic>
              <a:graphicData uri="http://schemas.openxmlformats.org/drawingml/2006/picture">
                <pic:pic>
                  <pic:nvPicPr>
                    <pic:cNvPr descr="./src/figs/figARI.3-quirkos-coding.png" id="36" name="Picture"/>
                    <pic:cNvPicPr>
                      <a:picLocks noChangeArrowheads="1" noChangeAspect="1"/>
                    </pic:cNvPicPr>
                  </pic:nvPicPr>
                  <pic:blipFill>
                    <a:blip r:embed="rId34"/>
                    <a:stretch>
                      <a:fillRect/>
                    </a:stretch>
                  </pic:blipFill>
                  <pic:spPr bwMode="auto">
                    <a:xfrm>
                      <a:off x="0" y="0"/>
                      <a:ext cx="5334000" cy="3379904"/>
                    </a:xfrm>
                    <a:prstGeom prst="rect">
                      <a:avLst/>
                    </a:prstGeom>
                    <a:noFill/>
                    <a:ln w="9525">
                      <a:noFill/>
                      <a:headEnd/>
                      <a:tailEnd/>
                    </a:ln>
                  </pic:spPr>
                </pic:pic>
              </a:graphicData>
            </a:graphic>
          </wp:inline>
        </w:drawing>
      </w:r>
      <w:bookmarkEnd w:id="37"/>
    </w:p>
    <w:p>
      <w:pPr>
        <w:pStyle w:val="ImageCaption"/>
      </w:pPr>
      <w:r>
        <w:t xml:space="preserve">Figure ARI.3: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41" w:name="figure-ARI.4"/>
      <w:r>
        <w:drawing>
          <wp:inline>
            <wp:extent cx="5334000" cy="3266293"/>
            <wp:effectExtent b="0" l="0" r="0" t="0"/>
            <wp:docPr descr="Figure ARI.4: Screenshot from Quirkos at End of Coding Process" title="" id="39" name="Picture"/>
            <a:graphic>
              <a:graphicData uri="http://schemas.openxmlformats.org/drawingml/2006/picture">
                <pic:pic>
                  <pic:nvPicPr>
                    <pic:cNvPr descr="./src/figs/figARI.4-quirkos-coding-at-end.png" id="40" name="Picture"/>
                    <pic:cNvPicPr>
                      <a:picLocks noChangeArrowheads="1" noChangeAspect="1"/>
                    </pic:cNvPicPr>
                  </pic:nvPicPr>
                  <pic:blipFill>
                    <a:blip r:embed="rId38"/>
                    <a:stretch>
                      <a:fillRect/>
                    </a:stretch>
                  </pic:blipFill>
                  <pic:spPr bwMode="auto">
                    <a:xfrm>
                      <a:off x="0" y="0"/>
                      <a:ext cx="5334000" cy="3266293"/>
                    </a:xfrm>
                    <a:prstGeom prst="rect">
                      <a:avLst/>
                    </a:prstGeom>
                    <a:noFill/>
                    <a:ln w="9525">
                      <a:noFill/>
                      <a:headEnd/>
                      <a:tailEnd/>
                    </a:ln>
                  </pic:spPr>
                </pic:pic>
              </a:graphicData>
            </a:graphic>
          </wp:inline>
        </w:drawing>
      </w:r>
      <w:bookmarkEnd w:id="41"/>
    </w:p>
    <w:p>
      <w:pPr>
        <w:pStyle w:val="ImageCaption"/>
      </w:pPr>
      <w:r>
        <w:t xml:space="preserve">Figure ARI.4: Screenshot from Quirkos at End of Coding Process</w:t>
      </w:r>
    </w:p>
    <w:p>
      <w:pPr>
        <w:pStyle w:val="BodyText"/>
      </w:pPr>
      <w:r>
        <w:t xml:space="preserve">The above-pictured structure of the coded corpus at the end of the Quirkos Cloud phase was as follows:</w:t>
      </w:r>
    </w:p>
    <w:p>
      <w:pPr>
        <w:numPr>
          <w:ilvl w:val="0"/>
          <w:numId w:val="1005"/>
        </w:numPr>
        <w:pStyle w:val="Compact"/>
      </w:pPr>
      <w:r>
        <w:t xml:space="preserve">A (129 codes): What do people/need want from their data and how do they feel about data?</w:t>
      </w:r>
    </w:p>
    <w:p>
      <w:pPr>
        <w:numPr>
          <w:ilvl w:val="1"/>
          <w:numId w:val="1006"/>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6"/>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5"/>
        </w:numPr>
        <w:pStyle w:val="Compact"/>
      </w:pPr>
      <w:r>
        <w:t xml:space="preserve">B (279 codes): What do people feel about the data-centric world?</w:t>
      </w:r>
    </w:p>
    <w:p>
      <w:pPr>
        <w:numPr>
          <w:ilvl w:val="1"/>
          <w:numId w:val="1007"/>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7"/>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7"/>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7"/>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5"/>
        </w:numPr>
        <w:pStyle w:val="Compact"/>
      </w:pPr>
      <w:r>
        <w:t xml:space="preserve">C (35 codes): What do people think about GDPR?</w:t>
      </w:r>
    </w:p>
    <w:p>
      <w:pPr>
        <w:numPr>
          <w:ilvl w:val="0"/>
          <w:numId w:val="1005"/>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5"/>
        </w:numPr>
        <w:pStyle w:val="Compact"/>
      </w:pPr>
      <w:r>
        <w:t xml:space="preserve">D: What is the experience of GDPR as a means to gain awareness of and access to useable and understandable data?</w:t>
      </w:r>
    </w:p>
    <w:p>
      <w:pPr>
        <w:numPr>
          <w:ilvl w:val="0"/>
          <w:numId w:val="1005"/>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5"/>
        </w:numPr>
        <w:pStyle w:val="Compact"/>
      </w:pPr>
      <w:r>
        <w:t xml:space="preserve">E: What is the experience of GDPR as a means to gain influence and achieve goals with data/What is the practical impact of GDPR?</w:t>
      </w:r>
    </w:p>
    <w:p>
      <w:pPr>
        <w:numPr>
          <w:ilvl w:val="0"/>
          <w:numId w:val="1005"/>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5"/>
        </w:numPr>
        <w:pStyle w:val="Compact"/>
      </w:pPr>
      <w:r>
        <w:t xml:space="preserve">F: How should the world change or be different?</w:t>
      </w:r>
    </w:p>
    <w:p>
      <w:pPr>
        <w:numPr>
          <w:ilvl w:val="0"/>
          <w:numId w:val="1005"/>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5"/>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45" w:name="figure-ARI.5"/>
      <w:r>
        <w:drawing>
          <wp:inline>
            <wp:extent cx="5334000" cy="3857067"/>
            <wp:effectExtent b="0" l="0" r="0" t="0"/>
            <wp:docPr descr="Figure ARI.5: Screenshot from Workflowy During Theme Construction" title="" id="43" name="Picture"/>
            <a:graphic>
              <a:graphicData uri="http://schemas.openxmlformats.org/drawingml/2006/picture">
                <pic:pic>
                  <pic:nvPicPr>
                    <pic:cNvPr descr="./src/figs/figARI.5-workflowy-theme-construction.png" id="44" name="Picture"/>
                    <pic:cNvPicPr>
                      <a:picLocks noChangeArrowheads="1" noChangeAspect="1"/>
                    </pic:cNvPicPr>
                  </pic:nvPicPr>
                  <pic:blipFill>
                    <a:blip r:embed="rId42"/>
                    <a:stretch>
                      <a:fillRect/>
                    </a:stretch>
                  </pic:blipFill>
                  <pic:spPr bwMode="auto">
                    <a:xfrm>
                      <a:off x="0" y="0"/>
                      <a:ext cx="5334000" cy="3857067"/>
                    </a:xfrm>
                    <a:prstGeom prst="rect">
                      <a:avLst/>
                    </a:prstGeom>
                    <a:noFill/>
                    <a:ln w="9525">
                      <a:noFill/>
                      <a:headEnd/>
                      <a:tailEnd/>
                    </a:ln>
                  </pic:spPr>
                </pic:pic>
              </a:graphicData>
            </a:graphic>
          </wp:inline>
        </w:drawing>
      </w:r>
      <w:bookmarkEnd w:id="45"/>
    </w:p>
    <w:p>
      <w:pPr>
        <w:pStyle w:val="ImageCaption"/>
      </w:pPr>
      <w:r>
        <w:t xml:space="preserve">Figure ARI.5: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8"/>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8"/>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8"/>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9"/>
        </w:numPr>
        <w:pStyle w:val="Compact"/>
      </w:pPr>
      <w:r>
        <w:rPr>
          <w:rStyle w:val="VerbatimChar"/>
        </w:rPr>
        <w:t xml:space="preserve">Comp</w:t>
      </w:r>
      <w:r>
        <w:t xml:space="preserve"> </w:t>
      </w:r>
      <w:r>
        <w:t xml:space="preserve">- list of companies</w:t>
      </w:r>
    </w:p>
    <w:p>
      <w:pPr>
        <w:numPr>
          <w:ilvl w:val="0"/>
          <w:numId w:val="1009"/>
        </w:numPr>
        <w:pStyle w:val="Compact"/>
      </w:pPr>
      <w:r>
        <w:rPr>
          <w:rStyle w:val="VerbatimChar"/>
        </w:rPr>
        <w:t xml:space="preserve">Type</w:t>
      </w:r>
      <w:r>
        <w:t xml:space="preserve"> </w:t>
      </w:r>
      <w:r>
        <w:t xml:space="preserve">- types of data</w:t>
      </w:r>
    </w:p>
    <w:p>
      <w:pPr>
        <w:numPr>
          <w:ilvl w:val="0"/>
          <w:numId w:val="1009"/>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9"/>
        </w:numPr>
        <w:pStyle w:val="Compact"/>
      </w:pPr>
      <w:r>
        <w:rPr>
          <w:rStyle w:val="VerbatimChar"/>
        </w:rPr>
        <w:t xml:space="preserve">GDPR</w:t>
      </w:r>
      <w:r>
        <w:t xml:space="preserve"> </w:t>
      </w:r>
      <w:r>
        <w:t xml:space="preserve">- GDPR</w:t>
      </w:r>
    </w:p>
    <w:p>
      <w:pPr>
        <w:numPr>
          <w:ilvl w:val="0"/>
          <w:numId w:val="1009"/>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0"/>
        </w:numPr>
        <w:pStyle w:val="Compact"/>
      </w:pPr>
      <w:r>
        <w:rPr>
          <w:rStyle w:val="VerbatimChar"/>
        </w:rPr>
        <w:t xml:space="preserve">SktR</w:t>
      </w:r>
      <w:r>
        <w:t xml:space="preserve"> </w:t>
      </w:r>
      <w:r>
        <w:t xml:space="preserve">- review of previous sketch interview from prior study [p11 only]</w:t>
      </w:r>
    </w:p>
    <w:p>
      <w:pPr>
        <w:numPr>
          <w:ilvl w:val="0"/>
          <w:numId w:val="1010"/>
        </w:numPr>
        <w:pStyle w:val="Compact"/>
      </w:pPr>
      <w:r>
        <w:rPr>
          <w:rStyle w:val="VerbatimChar"/>
        </w:rPr>
        <w:t xml:space="preserve">DPer</w:t>
      </w:r>
      <w:r>
        <w:t xml:space="preserve"> </w:t>
      </w:r>
      <w:r>
        <w:t xml:space="preserve">- definition of personal data</w:t>
      </w:r>
    </w:p>
    <w:p>
      <w:pPr>
        <w:numPr>
          <w:ilvl w:val="0"/>
          <w:numId w:val="1010"/>
        </w:numPr>
        <w:pStyle w:val="Compact"/>
      </w:pPr>
      <w:r>
        <w:rPr>
          <w:rStyle w:val="VerbatimChar"/>
        </w:rPr>
        <w:t xml:space="preserve">DAcc</w:t>
      </w:r>
      <w:r>
        <w:t xml:space="preserve"> </w:t>
      </w:r>
      <w:r>
        <w:t xml:space="preserve">- definition of access to data</w:t>
      </w:r>
    </w:p>
    <w:p>
      <w:pPr>
        <w:numPr>
          <w:ilvl w:val="0"/>
          <w:numId w:val="1010"/>
        </w:numPr>
        <w:pStyle w:val="Compact"/>
      </w:pPr>
      <w:r>
        <w:rPr>
          <w:rStyle w:val="VerbatimChar"/>
        </w:rPr>
        <w:t xml:space="preserve">DCon</w:t>
      </w:r>
      <w:r>
        <w:t xml:space="preserve"> </w:t>
      </w:r>
      <w:r>
        <w:t xml:space="preserve">- definition of control of data</w:t>
      </w:r>
    </w:p>
    <w:p>
      <w:pPr>
        <w:numPr>
          <w:ilvl w:val="0"/>
          <w:numId w:val="1010"/>
        </w:numPr>
        <w:pStyle w:val="Compact"/>
      </w:pPr>
      <w:r>
        <w:rPr>
          <w:rStyle w:val="VerbatimChar"/>
        </w:rPr>
        <w:t xml:space="preserve">DPow</w:t>
      </w:r>
      <w:r>
        <w:t xml:space="preserve"> </w:t>
      </w:r>
      <w:r>
        <w:t xml:space="preserve">- definition of power</w:t>
      </w:r>
    </w:p>
    <w:p>
      <w:pPr>
        <w:numPr>
          <w:ilvl w:val="0"/>
          <w:numId w:val="1010"/>
        </w:numPr>
        <w:pStyle w:val="Compact"/>
      </w:pPr>
      <w:r>
        <w:rPr>
          <w:rStyle w:val="VerbatimChar"/>
        </w:rPr>
        <w:t xml:space="preserve">Sket</w:t>
      </w:r>
      <w:r>
        <w:t xml:space="preserve"> </w:t>
      </w:r>
      <w:r>
        <w:t xml:space="preserve">- sketching</w:t>
      </w:r>
    </w:p>
    <w:p>
      <w:pPr>
        <w:numPr>
          <w:ilvl w:val="0"/>
          <w:numId w:val="1010"/>
        </w:numPr>
        <w:pStyle w:val="Compact"/>
      </w:pPr>
      <w:r>
        <w:rPr>
          <w:rStyle w:val="VerbatimChar"/>
        </w:rPr>
        <w:t xml:space="preserve">Anno</w:t>
      </w:r>
      <w:r>
        <w:t xml:space="preserve"> </w:t>
      </w:r>
      <w:r>
        <w:t xml:space="preserve">- annotation</w:t>
      </w:r>
    </w:p>
    <w:p>
      <w:pPr>
        <w:numPr>
          <w:ilvl w:val="0"/>
          <w:numId w:val="1010"/>
        </w:numPr>
        <w:pStyle w:val="Compact"/>
      </w:pPr>
      <w:r>
        <w:rPr>
          <w:rStyle w:val="VerbatimChar"/>
        </w:rPr>
        <w:t xml:space="preserve">SelC</w:t>
      </w:r>
      <w:r>
        <w:t xml:space="preserve"> </w:t>
      </w:r>
      <w:r>
        <w:t xml:space="preserve">- company selection</w:t>
      </w:r>
    </w:p>
    <w:p>
      <w:pPr>
        <w:numPr>
          <w:ilvl w:val="0"/>
          <w:numId w:val="1010"/>
        </w:numPr>
        <w:pStyle w:val="Compact"/>
      </w:pPr>
      <w:r>
        <w:rPr>
          <w:rStyle w:val="VerbatimChar"/>
        </w:rPr>
        <w:t xml:space="preserve">XXXX</w:t>
      </w:r>
      <w:r>
        <w:t xml:space="preserve"> </w:t>
      </w:r>
      <w:r>
        <w:t xml:space="preserve">- per company [use first four letters of company]</w:t>
      </w:r>
    </w:p>
    <w:p>
      <w:pPr>
        <w:numPr>
          <w:ilvl w:val="0"/>
          <w:numId w:val="1010"/>
        </w:numPr>
        <w:pStyle w:val="Compact"/>
      </w:pPr>
      <w:r>
        <w:rPr>
          <w:rStyle w:val="VerbatimChar"/>
        </w:rPr>
        <w:t xml:space="preserve">Powr</w:t>
      </w:r>
      <w:r>
        <w:t xml:space="preserve"> </w:t>
      </w:r>
      <w:r>
        <w:t xml:space="preserve">- power</w:t>
      </w:r>
    </w:p>
    <w:p>
      <w:pPr>
        <w:numPr>
          <w:ilvl w:val="0"/>
          <w:numId w:val="1010"/>
        </w:numPr>
        <w:pStyle w:val="Compact"/>
      </w:pPr>
      <w:r>
        <w:rPr>
          <w:rStyle w:val="VerbatimChar"/>
        </w:rPr>
        <w:t xml:space="preserve">Hope</w:t>
      </w:r>
      <w:r>
        <w:t xml:space="preserve"> </w:t>
      </w:r>
      <w:r>
        <w:t xml:space="preserve">– hopes</w:t>
      </w:r>
    </w:p>
    <w:p>
      <w:pPr>
        <w:numPr>
          <w:ilvl w:val="0"/>
          <w:numId w:val="1010"/>
        </w:numPr>
        <w:pStyle w:val="Compact"/>
      </w:pPr>
      <w:r>
        <w:rPr>
          <w:rStyle w:val="VerbatimChar"/>
        </w:rPr>
        <w:t xml:space="preserve">Uses</w:t>
      </w:r>
      <w:r>
        <w:t xml:space="preserve"> </w:t>
      </w:r>
      <w:r>
        <w:t xml:space="preserve">– uses</w:t>
      </w:r>
    </w:p>
    <w:p>
      <w:pPr>
        <w:numPr>
          <w:ilvl w:val="0"/>
          <w:numId w:val="1010"/>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1"/>
        </w:numPr>
        <w:pStyle w:val="Compact"/>
      </w:pPr>
      <w:r>
        <w:rPr>
          <w:rStyle w:val="VerbatimChar"/>
        </w:rPr>
        <w:t xml:space="preserve">XXXX</w:t>
      </w:r>
      <w:r>
        <w:t xml:space="preserve"> </w:t>
      </w:r>
      <w:r>
        <w:t xml:space="preserve">- per company [use first four letters of company name]</w:t>
      </w:r>
    </w:p>
    <w:p>
      <w:pPr>
        <w:numPr>
          <w:ilvl w:val="1"/>
          <w:numId w:val="1012"/>
        </w:numPr>
        <w:pStyle w:val="Compact"/>
      </w:pPr>
      <w:r>
        <w:rPr>
          <w:rStyle w:val="VerbatimChar"/>
        </w:rPr>
        <w:t xml:space="preserve">Priv</w:t>
      </w:r>
      <w:r>
        <w:t xml:space="preserve"> </w:t>
      </w:r>
      <w:r>
        <w:t xml:space="preserve">- viewing privacy policy</w:t>
      </w:r>
    </w:p>
    <w:p>
      <w:pPr>
        <w:numPr>
          <w:ilvl w:val="1"/>
          <w:numId w:val="1012"/>
        </w:numPr>
        <w:pStyle w:val="Compact"/>
      </w:pPr>
      <w:r>
        <w:rPr>
          <w:rStyle w:val="VerbatimChar"/>
        </w:rPr>
        <w:t xml:space="preserve">Powr</w:t>
      </w:r>
      <w:r>
        <w:t xml:space="preserve"> </w:t>
      </w:r>
      <w:r>
        <w:t xml:space="preserve">- power</w:t>
      </w:r>
    </w:p>
    <w:p>
      <w:pPr>
        <w:numPr>
          <w:ilvl w:val="1"/>
          <w:numId w:val="1012"/>
        </w:numPr>
        <w:pStyle w:val="Compact"/>
      </w:pPr>
      <w:r>
        <w:rPr>
          <w:rStyle w:val="VerbatimChar"/>
        </w:rPr>
        <w:t xml:space="preserve">HopU</w:t>
      </w:r>
      <w:r>
        <w:t xml:space="preserve"> </w:t>
      </w:r>
      <w:r>
        <w:t xml:space="preserve">- hopes &amp; uses</w:t>
      </w:r>
    </w:p>
    <w:p>
      <w:pPr>
        <w:numPr>
          <w:ilvl w:val="1"/>
          <w:numId w:val="1012"/>
        </w:numPr>
        <w:pStyle w:val="Compact"/>
      </w:pPr>
      <w:r>
        <w:rPr>
          <w:rStyle w:val="VerbatimChar"/>
        </w:rPr>
        <w:t xml:space="preserve">Trst</w:t>
      </w:r>
      <w:r>
        <w:t xml:space="preserve"> </w:t>
      </w:r>
      <w:r>
        <w:t xml:space="preserve">- trust [p10 &amp; p11]</w:t>
      </w:r>
    </w:p>
    <w:p>
      <w:pPr>
        <w:numPr>
          <w:ilvl w:val="1"/>
          <w:numId w:val="1012"/>
        </w:numPr>
        <w:pStyle w:val="Compact"/>
      </w:pPr>
      <w:r>
        <w:rPr>
          <w:rStyle w:val="VerbatimChar"/>
        </w:rPr>
        <w:t xml:space="preserve">Pow2</w:t>
      </w:r>
      <w:r>
        <w:t xml:space="preserve"> </w:t>
      </w:r>
      <w:r>
        <w:t xml:space="preserve">- end power</w:t>
      </w:r>
    </w:p>
    <w:p>
      <w:pPr>
        <w:numPr>
          <w:ilvl w:val="1"/>
          <w:numId w:val="1012"/>
        </w:numPr>
        <w:pStyle w:val="Compact"/>
      </w:pPr>
      <w:r>
        <w:rPr>
          <w:rStyle w:val="VerbatimChar"/>
        </w:rPr>
        <w:t xml:space="preserve">Trs2</w:t>
      </w:r>
      <w:r>
        <w:t xml:space="preserve"> </w:t>
      </w:r>
      <w:r>
        <w:t xml:space="preserve">- end trust</w:t>
      </w:r>
    </w:p>
    <w:p>
      <w:pPr>
        <w:numPr>
          <w:ilvl w:val="1"/>
          <w:numId w:val="1012"/>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3"/>
        </w:numPr>
        <w:pStyle w:val="Compact"/>
      </w:pPr>
      <w:r>
        <w:t xml:space="preserve">[intro &amp; consent] - no need to transcribe/code</w:t>
      </w:r>
    </w:p>
    <w:p>
      <w:pPr>
        <w:numPr>
          <w:ilvl w:val="0"/>
          <w:numId w:val="1013"/>
        </w:numPr>
        <w:pStyle w:val="Compact"/>
      </w:pPr>
      <w:r>
        <w:rPr>
          <w:rStyle w:val="VerbatimChar"/>
        </w:rPr>
        <w:t xml:space="preserve">XXXX</w:t>
      </w:r>
      <w:r>
        <w:t xml:space="preserve"> </w:t>
      </w:r>
      <w:r>
        <w:t xml:space="preserve">- per company [use first four letters of company name]</w:t>
      </w:r>
    </w:p>
    <w:p>
      <w:pPr>
        <w:numPr>
          <w:ilvl w:val="1"/>
          <w:numId w:val="1014"/>
        </w:numPr>
        <w:pStyle w:val="Compact"/>
      </w:pPr>
      <w:r>
        <w:rPr>
          <w:rStyle w:val="VerbatimChar"/>
        </w:rPr>
        <w:t xml:space="preserve">Powr</w:t>
      </w:r>
      <w:r>
        <w:t xml:space="preserve"> </w:t>
      </w:r>
      <w:r>
        <w:t xml:space="preserve">- power rating</w:t>
      </w:r>
    </w:p>
    <w:p>
      <w:pPr>
        <w:numPr>
          <w:ilvl w:val="1"/>
          <w:numId w:val="1014"/>
        </w:numPr>
        <w:pStyle w:val="Compact"/>
      </w:pPr>
      <w:r>
        <w:rPr>
          <w:rStyle w:val="VerbatimChar"/>
        </w:rPr>
        <w:t xml:space="preserve">Trst</w:t>
      </w:r>
      <w:r>
        <w:t xml:space="preserve"> </w:t>
      </w:r>
      <w:r>
        <w:t xml:space="preserve">- trust rating</w:t>
      </w:r>
    </w:p>
    <w:p>
      <w:pPr>
        <w:numPr>
          <w:ilvl w:val="1"/>
          <w:numId w:val="1014"/>
        </w:numPr>
        <w:pStyle w:val="Compact"/>
      </w:pPr>
      <w:r>
        <w:rPr>
          <w:rStyle w:val="VerbatimChar"/>
        </w:rPr>
        <w:t xml:space="preserve">RPow</w:t>
      </w:r>
      <w:r>
        <w:t xml:space="preserve"> </w:t>
      </w:r>
      <w:r>
        <w:t xml:space="preserve">- retro power</w:t>
      </w:r>
    </w:p>
    <w:p>
      <w:pPr>
        <w:numPr>
          <w:ilvl w:val="1"/>
          <w:numId w:val="1014"/>
        </w:numPr>
        <w:pStyle w:val="Compact"/>
      </w:pPr>
      <w:r>
        <w:rPr>
          <w:rStyle w:val="VerbatimChar"/>
        </w:rPr>
        <w:t xml:space="preserve">RTrs</w:t>
      </w:r>
      <w:r>
        <w:t xml:space="preserve"> </w:t>
      </w:r>
      <w:r>
        <w:t xml:space="preserve">- retro trust</w:t>
      </w:r>
    </w:p>
    <w:p>
      <w:pPr>
        <w:numPr>
          <w:ilvl w:val="1"/>
          <w:numId w:val="1014"/>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4"/>
        </w:numPr>
        <w:pStyle w:val="Compact"/>
      </w:pPr>
      <w:r>
        <w:rPr>
          <w:rStyle w:val="VerbatimChar"/>
        </w:rPr>
        <w:t xml:space="preserve">Data</w:t>
      </w:r>
      <w:r>
        <w:t xml:space="preserve"> </w:t>
      </w:r>
      <w:r>
        <w:t xml:space="preserve">- Overall data overview</w:t>
      </w:r>
    </w:p>
    <w:p>
      <w:pPr>
        <w:numPr>
          <w:ilvl w:val="1"/>
          <w:numId w:val="1014"/>
        </w:numPr>
        <w:pStyle w:val="Compact"/>
      </w:pPr>
      <w:r>
        <w:rPr>
          <w:rStyle w:val="VerbatimChar"/>
        </w:rPr>
        <w:t xml:space="preserve">Prov</w:t>
      </w:r>
      <w:r>
        <w:t xml:space="preserve"> </w:t>
      </w:r>
      <w:r>
        <w:t xml:space="preserve">- Data provided by you</w:t>
      </w:r>
    </w:p>
    <w:p>
      <w:pPr>
        <w:numPr>
          <w:ilvl w:val="1"/>
          <w:numId w:val="1014"/>
        </w:numPr>
        <w:pStyle w:val="Compact"/>
      </w:pPr>
      <w:r>
        <w:rPr>
          <w:rStyle w:val="VerbatimChar"/>
        </w:rPr>
        <w:t xml:space="preserve">Indr</w:t>
      </w:r>
      <w:r>
        <w:t xml:space="preserve"> </w:t>
      </w:r>
      <w:r>
        <w:t xml:space="preserve">- Data indirectly / automatically collected</w:t>
      </w:r>
    </w:p>
    <w:p>
      <w:pPr>
        <w:numPr>
          <w:ilvl w:val="1"/>
          <w:numId w:val="1014"/>
        </w:numPr>
        <w:pStyle w:val="Compact"/>
      </w:pPr>
      <w:r>
        <w:rPr>
          <w:rStyle w:val="VerbatimChar"/>
        </w:rPr>
        <w:t xml:space="preserve">Derv</w:t>
      </w:r>
      <w:r>
        <w:t xml:space="preserve"> </w:t>
      </w:r>
      <w:r>
        <w:t xml:space="preserve">- Data derived about you</w:t>
      </w:r>
    </w:p>
    <w:p>
      <w:pPr>
        <w:numPr>
          <w:ilvl w:val="1"/>
          <w:numId w:val="1014"/>
        </w:numPr>
        <w:pStyle w:val="Compact"/>
      </w:pPr>
      <w:r>
        <w:rPr>
          <w:rStyle w:val="VerbatimChar"/>
        </w:rPr>
        <w:t xml:space="preserve">Othr</w:t>
      </w:r>
      <w:r>
        <w:t xml:space="preserve"> </w:t>
      </w:r>
      <w:r>
        <w:t xml:space="preserve">- Data from other sources</w:t>
      </w:r>
    </w:p>
    <w:p>
      <w:pPr>
        <w:numPr>
          <w:ilvl w:val="1"/>
          <w:numId w:val="1014"/>
        </w:numPr>
        <w:pStyle w:val="Compact"/>
      </w:pPr>
      <w:r>
        <w:rPr>
          <w:rStyle w:val="VerbatimChar"/>
        </w:rPr>
        <w:t xml:space="preserve">Meta</w:t>
      </w:r>
      <w:r>
        <w:t xml:space="preserve"> </w:t>
      </w:r>
      <w:r>
        <w:t xml:space="preserve">– Metadata</w:t>
      </w:r>
    </w:p>
    <w:p>
      <w:pPr>
        <w:numPr>
          <w:ilvl w:val="1"/>
          <w:numId w:val="1014"/>
        </w:numPr>
        <w:pStyle w:val="Compact"/>
      </w:pPr>
      <w:r>
        <w:rPr>
          <w:rStyle w:val="VerbatimChar"/>
        </w:rPr>
        <w:t xml:space="preserve">GenQ</w:t>
      </w:r>
      <w:r>
        <w:t xml:space="preserve"> </w:t>
      </w:r>
      <w:r>
        <w:t xml:space="preserve">- general questions about this company</w:t>
      </w:r>
    </w:p>
    <w:p>
      <w:pPr>
        <w:numPr>
          <w:ilvl w:val="1"/>
          <w:numId w:val="1014"/>
        </w:numPr>
        <w:pStyle w:val="Compact"/>
      </w:pPr>
      <w:r>
        <w:rPr>
          <w:rStyle w:val="VerbatimChar"/>
        </w:rPr>
        <w:t xml:space="preserve">Pow2</w:t>
      </w:r>
      <w:r>
        <w:t xml:space="preserve"> </w:t>
      </w:r>
      <w:r>
        <w:t xml:space="preserve">- end power</w:t>
      </w:r>
    </w:p>
    <w:p>
      <w:pPr>
        <w:numPr>
          <w:ilvl w:val="1"/>
          <w:numId w:val="1014"/>
        </w:numPr>
        <w:pStyle w:val="Compact"/>
      </w:pPr>
      <w:r>
        <w:rPr>
          <w:rStyle w:val="VerbatimChar"/>
        </w:rPr>
        <w:t xml:space="preserve">Trs2</w:t>
      </w:r>
      <w:r>
        <w:t xml:space="preserve"> </w:t>
      </w:r>
      <w:r>
        <w:t xml:space="preserve">- end trust</w:t>
      </w:r>
    </w:p>
    <w:p>
      <w:pPr>
        <w:numPr>
          <w:ilvl w:val="1"/>
          <w:numId w:val="1014"/>
        </w:numPr>
        <w:pStyle w:val="Compact"/>
      </w:pPr>
      <w:r>
        <w:rPr>
          <w:rStyle w:val="VerbatimChar"/>
        </w:rPr>
        <w:t xml:space="preserve">Next</w:t>
      </w:r>
      <w:r>
        <w:t xml:space="preserve"> </w:t>
      </w:r>
      <w:r>
        <w:t xml:space="preserve">- what next for this company specifically</w:t>
      </w:r>
    </w:p>
    <w:p>
      <w:pPr>
        <w:numPr>
          <w:ilvl w:val="1"/>
          <w:numId w:val="1014"/>
        </w:numPr>
        <w:pStyle w:val="Compact"/>
      </w:pPr>
      <w:r>
        <w:rPr>
          <w:rStyle w:val="VerbatimChar"/>
        </w:rPr>
        <w:t xml:space="preserve">Genr</w:t>
      </w:r>
      <w:r>
        <w:t xml:space="preserve"> </w:t>
      </w:r>
      <w:r>
        <w:t xml:space="preserve">- General topics</w:t>
      </w:r>
    </w:p>
    <w:p>
      <w:pPr>
        <w:numPr>
          <w:ilvl w:val="1"/>
          <w:numId w:val="1014"/>
        </w:numPr>
        <w:pStyle w:val="Compact"/>
      </w:pPr>
      <w:r>
        <w:rPr>
          <w:rStyle w:val="VerbatimChar"/>
        </w:rPr>
        <w:t xml:space="preserve">Hope</w:t>
      </w:r>
      <w:r>
        <w:t xml:space="preserve"> </w:t>
      </w:r>
      <w:r>
        <w:t xml:space="preserve">- Hope (general)</w:t>
      </w:r>
    </w:p>
    <w:p>
      <w:pPr>
        <w:numPr>
          <w:ilvl w:val="1"/>
          <w:numId w:val="1014"/>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46"/>
    <w:bookmarkStart w:id="47" w:name="ari-4"/>
    <w:p>
      <w:pPr>
        <w:pStyle w:val="Heading1"/>
      </w:pPr>
      <w:r>
        <w:t xml:space="preserve">Additional: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w:t>
      </w:r>
      <w:r>
        <w:t xml:space="preserve">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15"/>
        </w:numPr>
        <w:pStyle w:val="Compact"/>
      </w:pPr>
      <w:r>
        <w:t xml:space="preserve">https://www.bbc.co.uk/rd/blog/2021-09-personal-data-store-research</w:t>
      </w:r>
    </w:p>
    <w:p>
      <w:pPr>
        <w:numPr>
          <w:ilvl w:val="0"/>
          <w:numId w:val="1015"/>
        </w:numPr>
        <w:pStyle w:val="Compact"/>
      </w:pPr>
      <w:r>
        <w:t xml:space="preserve">https://paper.dropbox.com/doc/Building-trusted-data-services-and-capabilities-Us49Ek0nex7yClKughPN4</w:t>
      </w:r>
    </w:p>
    <w:p>
      <w:pPr>
        <w:numPr>
          <w:ilvl w:val="0"/>
          <w:numId w:val="1015"/>
        </w:numPr>
        <w:pStyle w:val="Compact"/>
      </w:pPr>
      <w:r>
        <w:t xml:space="preserve">https://www.wired.co.uk/article/bbc-data-personalisation</w:t>
      </w:r>
    </w:p>
    <w:p>
      <w:pPr>
        <w:numPr>
          <w:ilvl w:val="0"/>
          <w:numId w:val="1015"/>
        </w:numPr>
        <w:pStyle w:val="Compact"/>
      </w:pPr>
      <w:r>
        <w:t xml:space="preserve">https://www.theregister.com/2021/10/04/column_data_privacy/</w:t>
      </w:r>
    </w:p>
    <w:p>
      <w:pPr>
        <w:numPr>
          <w:ilvl w:val="0"/>
          <w:numId w:val="1015"/>
        </w:numPr>
        <w:pStyle w:val="Compact"/>
      </w:pPr>
      <w:r>
        <w:t xml:space="preserve">https://www.thetimes.co.uk/article/bbc-and-sir-tim-berners-lee-app-mines-netflix-data-to-find-shows-viewers-like-lxp002gg8</w:t>
      </w:r>
    </w:p>
    <w:p>
      <w:pPr>
        <w:numPr>
          <w:ilvl w:val="0"/>
          <w:numId w:val="1015"/>
        </w:numPr>
        <w:pStyle w:val="Compact"/>
      </w:pPr>
      <w:r>
        <w:t xml:space="preserve">https://www.ibc.org/download?ac=18659</w:t>
      </w:r>
    </w:p>
    <w:p>
      <w:pPr>
        <w:numPr>
          <w:ilvl w:val="0"/>
          <w:numId w:val="1015"/>
        </w:numPr>
        <w:pStyle w:val="Compact"/>
      </w:pPr>
      <w:r>
        <w:t xml:space="preserve">https://www.telegraph.co.uk/business/2022/06/09/bbc-wages-war-online-echo-chambers-unbiased-tech/</w:t>
      </w:r>
    </w:p>
    <w:p>
      <w:pPr>
        <w:numPr>
          <w:ilvl w:val="0"/>
          <w:numId w:val="1015"/>
        </w:numPr>
        <w:pStyle w:val="Compact"/>
      </w:pPr>
      <w:r>
        <w:t xml:space="preserve">https://parliamentlive.tv/event/index/7d249bcf-78e9-447b-907c-81df72b87542?in=15:01:35</w:t>
      </w:r>
    </w:p>
    <w:bookmarkEnd w:id="47"/>
    <w:bookmarkStart w:id="48" w:name="ari-5"/>
    <w:p>
      <w:pPr>
        <w:pStyle w:val="Heading1"/>
      </w:pPr>
      <w:r>
        <w:t xml:space="preserve">Additional: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16"/>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16"/>
        </w:numPr>
        <w:pStyle w:val="Compact"/>
      </w:pPr>
      <w:r>
        <w:t xml:space="preserve">Two technical research reports by Hestia.ai:</w:t>
      </w:r>
    </w:p>
    <w:p>
      <w:pPr>
        <w:numPr>
          <w:ilvl w:val="1"/>
          <w:numId w:val="1017"/>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17"/>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 BBC internship [</w:t>
      </w:r>
      <w:hyperlink w:anchor="d.1">
        <w:r>
          <w:rPr>
            <w:rStyle w:val="Hyperlink"/>
          </w:rPr>
          <w:t xml:space="preserve">D.1</w:t>
        </w:r>
      </w:hyperlink>
      <w:r>
        <w:t xml:space="preserve">] 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48"/>
    <w:bookmarkStart w:id="49" w:name="ari-6"/>
    <w:p>
      <w:pPr>
        <w:pStyle w:val="Heading1"/>
      </w:pPr>
      <w:r>
        <w:t xml:space="preserve">Additional: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49"/>
    <w:bookmarkStart w:id="50" w:name="ari-7"/>
    <w:p>
      <w:pPr>
        <w:pStyle w:val="Heading1"/>
      </w:pPr>
      <w:r>
        <w:t xml:space="preserve">Additional: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18"/>
        </w:numPr>
        <w:pStyle w:val="Compact"/>
      </w:pPr>
      <w:r>
        <w:t xml:space="preserve">Jasmine Cox, Suzanne Clarke, Tim Broom, Rhianne Jones, Alex Ballantyne and others at BBC R&amp;D;</w:t>
      </w:r>
    </w:p>
    <w:p>
      <w:pPr>
        <w:numPr>
          <w:ilvl w:val="0"/>
          <w:numId w:val="1018"/>
        </w:numPr>
        <w:pStyle w:val="Compact"/>
      </w:pPr>
      <w:r>
        <w:t xml:space="preserve">Paul-Olivier Dehaye, Jessica Pidoux, Francois Quellec at Hestia.ai;</w:t>
      </w:r>
    </w:p>
    <w:p>
      <w:pPr>
        <w:numPr>
          <w:ilvl w:val="0"/>
          <w:numId w:val="1018"/>
        </w:numPr>
        <w:pStyle w:val="Compact"/>
      </w:pPr>
      <w:r>
        <w:t xml:space="preserve">Stuart Wheater of Arjuna Technologies and Kyle Montague of Open Lab during the SILVER project;</w:t>
      </w:r>
    </w:p>
    <w:p>
      <w:pPr>
        <w:numPr>
          <w:ilvl w:val="0"/>
          <w:numId w:val="1018"/>
        </w:numPr>
        <w:pStyle w:val="Compact"/>
      </w:pPr>
      <w:r>
        <w:t xml:space="preserve">Louis Goffe of Open Lab on the DERC Healthy Eating project;</w:t>
      </w:r>
    </w:p>
    <w:p>
      <w:pPr>
        <w:numPr>
          <w:ilvl w:val="0"/>
          <w:numId w:val="1018"/>
        </w:numPr>
        <w:pStyle w:val="Compact"/>
      </w:pPr>
      <w:r>
        <w:t xml:space="preserve">earlier innovation work with Alistair Croll at Rednod, Montréal, Canada (circa 2011); and</w:t>
      </w:r>
    </w:p>
    <w:p>
      <w:pPr>
        <w:numPr>
          <w:ilvl w:val="0"/>
          <w:numId w:val="1018"/>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50"/>
    <w:bookmarkStart w:id="55" w:name="ari-8"/>
    <w:p>
      <w:pPr>
        <w:pStyle w:val="Heading1"/>
      </w:pPr>
      <w:r>
        <w:t xml:space="preserve">Additional: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54" w:name="figure-ARI.x"/>
      <w:r>
        <w:drawing>
          <wp:inline>
            <wp:extent cx="5334000" cy="5124097"/>
            <wp:effectExtent b="0" l="0" r="0" t="0"/>
            <wp:docPr descr="Figure ARI.X: Private Data Viewing Monitor with Viewing Glasses" title="" id="52" name="Picture"/>
            <a:graphic>
              <a:graphicData uri="http://schemas.openxmlformats.org/drawingml/2006/picture">
                <pic:pic>
                  <pic:nvPicPr>
                    <pic:cNvPr descr="./src/figs/figF.1-private-viewing-monitor.jpg" id="53" name="Picture"/>
                    <pic:cNvPicPr>
                      <a:picLocks noChangeArrowheads="1" noChangeAspect="1"/>
                    </pic:cNvPicPr>
                  </pic:nvPicPr>
                  <pic:blipFill>
                    <a:blip r:embed="rId51"/>
                    <a:stretch>
                      <a:fillRect/>
                    </a:stretch>
                  </pic:blipFill>
                  <pic:spPr bwMode="auto">
                    <a:xfrm>
                      <a:off x="0" y="0"/>
                      <a:ext cx="5334000" cy="5124097"/>
                    </a:xfrm>
                    <a:prstGeom prst="rect">
                      <a:avLst/>
                    </a:prstGeom>
                    <a:noFill/>
                    <a:ln w="9525">
                      <a:noFill/>
                      <a:headEnd/>
                      <a:tailEnd/>
                    </a:ln>
                  </pic:spPr>
                </pic:pic>
              </a:graphicData>
            </a:graphic>
          </wp:inline>
        </w:drawing>
      </w:r>
      <w:bookmarkEnd w:id="54"/>
    </w:p>
    <w:p>
      <w:pPr>
        <w:pStyle w:val="ImageCaption"/>
      </w:pPr>
      <w:r>
        <w:t xml:space="preserve">Figure ARI.X: Private Data Viewing Monitor with Viewing Glasses</w:t>
      </w:r>
    </w:p>
    <w:bookmarkEnd w:id="55"/>
    <w:bookmarkStart w:id="56" w:name="ari-9"/>
    <w:p>
      <w:pPr>
        <w:pStyle w:val="Heading1"/>
      </w:pPr>
      <w:r>
        <w:t xml:space="preserve">Additional: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19"/>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19"/>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19"/>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19"/>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19"/>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19"/>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19"/>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 Case Study Two](#chapter-5),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iCs/>
          <w:i/>
        </w:rPr>
        <w:t xml:space="preserve">individuals</w:t>
      </w:r>
      <w:r>
        <w:t xml:space="preserve"> </w:t>
      </w:r>
      <w:r>
        <w:t xml:space="preserve">and both data controllers and data processors as</w:t>
      </w:r>
      <w:r>
        <w:t xml:space="preserve"> </w:t>
      </w:r>
      <w:r>
        <w:rPr>
          <w:bCs/>
          <w:b/>
          <w:iCs/>
          <w:i/>
        </w:rPr>
        <w:t xml:space="preserve">data holders</w:t>
      </w:r>
      <w:r>
        <w:t xml:space="preserve">, because for this thesis, focusing as it does on the individual perspective, there is no need to draw a distinction.</w:t>
      </w:r>
    </w:p>
    <w:bookmarkEnd w:id="56"/>
    <w:bookmarkStart w:id="105" w:name="bibliography"/>
    <w:p>
      <w:pPr>
        <w:pStyle w:val="Heading1"/>
      </w:pPr>
      <w:r>
        <w:t xml:space="preserve">Bibliography</w:t>
      </w:r>
    </w:p>
    <w:bookmarkStart w:id="104" w:name="refs"/>
    <w:bookmarkStart w:id="5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7">
        <w:r>
          <w:rPr>
            <w:rStyle w:val="Hyperlink"/>
          </w:rPr>
          <w:t xml:space="preserve">10.1145/2670528</w:t>
        </w:r>
      </w:hyperlink>
      <w:r>
        <w:t xml:space="preserve">.</w:t>
      </w:r>
    </w:p>
    <w:bookmarkEnd w:id="58"/>
    <w:bookmarkStart w:id="6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9">
        <w:r>
          <w:rPr>
            <w:rStyle w:val="Hyperlink"/>
          </w:rPr>
          <w:t xml:space="preserve">https://inrupt.com/solid/</w:t>
        </w:r>
      </w:hyperlink>
      <w:r>
        <w:t xml:space="preserve">.</w:t>
      </w:r>
    </w:p>
    <w:bookmarkEnd w:id="60"/>
    <w:bookmarkStart w:id="6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61">
        <w:r>
          <w:rPr>
            <w:rStyle w:val="Hyperlink"/>
          </w:rPr>
          <w:t xml:space="preserve">https://eprints.ncl.ac.uk/273825</w:t>
        </w:r>
      </w:hyperlink>
      <w:r>
        <w:t xml:space="preserve">.</w:t>
      </w:r>
    </w:p>
    <w:bookmarkEnd w:id="62"/>
    <w:bookmarkStart w:id="6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3">
        <w:r>
          <w:rPr>
            <w:rStyle w:val="Hyperlink"/>
          </w:rPr>
          <w:t xml:space="preserve">10.1145/3173574.3173710</w:t>
        </w:r>
      </w:hyperlink>
      <w:r>
        <w:t xml:space="preserve">.</w:t>
      </w:r>
    </w:p>
    <w:bookmarkEnd w:id="64"/>
    <w:bookmarkStart w:id="6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5">
        <w:r>
          <w:rPr>
            <w:rStyle w:val="Hyperlink"/>
          </w:rPr>
          <w:t xml:space="preserve">https://bit.ly/bbc-pds-research-bowyer</w:t>
        </w:r>
      </w:hyperlink>
      <w:r>
        <w:t xml:space="preserve">.</w:t>
      </w:r>
    </w:p>
    <w:bookmarkEnd w:id="66"/>
    <w:bookmarkStart w:id="6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67">
        <w:r>
          <w:rPr>
            <w:rStyle w:val="Hyperlink"/>
          </w:rPr>
          <w:t xml:space="preserve">https://bit.ly/bbc-internship-alex-bowyer</w:t>
        </w:r>
      </w:hyperlink>
      <w:r>
        <w:t xml:space="preserve"> </w:t>
      </w:r>
      <w:r>
        <w:t xml:space="preserve">(Accessed: 18 August 2022).</w:t>
      </w:r>
    </w:p>
    <w:bookmarkEnd w:id="68"/>
    <w:bookmarkStart w:id="7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9">
        <w:r>
          <w:rPr>
            <w:rStyle w:val="Hyperlink"/>
          </w:rPr>
          <w:t xml:space="preserve">10.5281/zenodo.6554177</w:t>
        </w:r>
      </w:hyperlink>
      <w:r>
        <w:t xml:space="preserve">.</w:t>
      </w:r>
    </w:p>
    <w:bookmarkEnd w:id="70"/>
    <w:bookmarkStart w:id="7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1"/>
    <w:bookmarkStart w:id="7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72">
        <w:r>
          <w:rPr>
            <w:rStyle w:val="Hyperlink"/>
          </w:rPr>
          <w:t xml:space="preserve">10.1191/1478088706qp063oa</w:t>
        </w:r>
      </w:hyperlink>
      <w:r>
        <w:t xml:space="preserve">.</w:t>
      </w:r>
    </w:p>
    <w:bookmarkEnd w:id="73"/>
    <w:bookmarkStart w:id="75" w:name="ref-bbc1997rd"/>
    <w:p>
      <w:pPr>
        <w:pStyle w:val="Bibliography"/>
      </w:pPr>
      <w:r>
        <w:t xml:space="preserve">British Broadcasting Corporation (1997)</w:t>
      </w:r>
      <w:r>
        <w:t xml:space="preserve"> </w:t>
      </w:r>
      <w:r>
        <w:t xml:space="preserve">‘Our purpose’</w:t>
      </w:r>
      <w:r>
        <w:t xml:space="preserve">. Available at:</w:t>
      </w:r>
      <w:r>
        <w:t xml:space="preserve"> </w:t>
      </w:r>
      <w:hyperlink r:id="rId74">
        <w:r>
          <w:rPr>
            <w:rStyle w:val="Hyperlink"/>
          </w:rPr>
          <w:t xml:space="preserve">https://www.bbc.co.uk/rd/about/our-purpose</w:t>
        </w:r>
      </w:hyperlink>
      <w:r>
        <w:t xml:space="preserve"> </w:t>
      </w:r>
      <w:r>
        <w:t xml:space="preserve">(Accessed: 18 August 2022).</w:t>
      </w:r>
    </w:p>
    <w:bookmarkEnd w:id="75"/>
    <w:bookmarkStart w:id="77" w:name="ref-quirkos2013"/>
    <w:p>
      <w:pPr>
        <w:pStyle w:val="Bibliography"/>
      </w:pPr>
      <w:r>
        <w:t xml:space="preserve">Daniel Turner (2014)</w:t>
      </w:r>
      <w:r>
        <w:t xml:space="preserve"> </w:t>
      </w:r>
      <w:r>
        <w:t xml:space="preserve">‘Quirkos cloud’</w:t>
      </w:r>
      <w:r>
        <w:t xml:space="preserve">. Available at:</w:t>
      </w:r>
      <w:r>
        <w:t xml:space="preserve"> </w:t>
      </w:r>
      <w:hyperlink r:id="rId76">
        <w:r>
          <w:rPr>
            <w:rStyle w:val="Hyperlink"/>
          </w:rPr>
          <w:t xml:space="preserve">https://www.quirkos.com/learn-qualitative/features.html</w:t>
        </w:r>
      </w:hyperlink>
      <w:r>
        <w:t xml:space="preserve">.</w:t>
      </w:r>
    </w:p>
    <w:bookmarkEnd w:id="77"/>
    <w:bookmarkStart w:id="79" w:name="ref-dehaye2019"/>
    <w:p>
      <w:pPr>
        <w:pStyle w:val="Bibliography"/>
      </w:pPr>
      <w:r>
        <w:t xml:space="preserve">Dehaye, P.-O. (2019)</w:t>
      </w:r>
      <w:r>
        <w:t xml:space="preserve"> </w:t>
      </w:r>
      <w:r>
        <w:t xml:space="preserve">‘Hestia.ai: About us’</w:t>
      </w:r>
      <w:r>
        <w:t xml:space="preserve">. Available at:</w:t>
      </w:r>
      <w:r>
        <w:t xml:space="preserve"> </w:t>
      </w:r>
      <w:hyperlink r:id="rId78">
        <w:r>
          <w:rPr>
            <w:rStyle w:val="Hyperlink"/>
          </w:rPr>
          <w:t xml:space="preserve">https://hestia.ai/en/about/</w:t>
        </w:r>
      </w:hyperlink>
      <w:r>
        <w:t xml:space="preserve">.</w:t>
      </w:r>
    </w:p>
    <w:bookmarkEnd w:id="79"/>
    <w:bookmarkStart w:id="8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0"/>
    <w:bookmarkStart w:id="8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1"/>
    <w:bookmarkStart w:id="8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82">
        <w:r>
          <w:rPr>
            <w:rStyle w:val="Hyperlink"/>
          </w:rPr>
          <w:t xml:space="preserve">https://www.sitra.fi/en/publications/tracking-digipower/</w:t>
        </w:r>
      </w:hyperlink>
      <w:r>
        <w:t xml:space="preserve">.</w:t>
      </w:r>
    </w:p>
    <w:bookmarkEnd w:id="83"/>
    <w:bookmarkStart w:id="85" w:name="ref-härkönen2022project"/>
    <w:p>
      <w:pPr>
        <w:pStyle w:val="Bibliography"/>
      </w:pPr>
      <w:r>
        <w:t xml:space="preserve">Härkönen, T. and Vänskä, R. (2021). Sitra. Available at:</w:t>
      </w:r>
      <w:r>
        <w:t xml:space="preserve"> </w:t>
      </w:r>
      <w:hyperlink r:id="rId84">
        <w:r>
          <w:rPr>
            <w:rStyle w:val="Hyperlink"/>
          </w:rPr>
          <w:t xml:space="preserve">https://www.sitra.fi/en/projects/digipower-investigation/#what-is-it-about</w:t>
        </w:r>
      </w:hyperlink>
      <w:r>
        <w:t xml:space="preserve">.</w:t>
      </w:r>
    </w:p>
    <w:bookmarkEnd w:id="85"/>
    <w:bookmarkStart w:id="8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86">
        <w:r>
          <w:rPr>
            <w:rStyle w:val="Hyperlink"/>
          </w:rPr>
          <w:t xml:space="preserve">10.1080/13600834.2019.1573501</w:t>
        </w:r>
      </w:hyperlink>
      <w:r>
        <w:t xml:space="preserve">.</w:t>
      </w:r>
    </w:p>
    <w:bookmarkEnd w:id="87"/>
    <w:bookmarkStart w:id="8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88"/>
    <w:bookmarkStart w:id="9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89">
        <w:r>
          <w:rPr>
            <w:rStyle w:val="Hyperlink"/>
          </w:rPr>
          <w:t xml:space="preserve">https://ico.org.uk/for-organisations/guide-to-data-protection/introduction-to-data-protection/some-basic-concepts/</w:t>
        </w:r>
      </w:hyperlink>
      <w:r>
        <w:t xml:space="preserve">.</w:t>
      </w:r>
    </w:p>
    <w:bookmarkEnd w:id="90"/>
    <w:bookmarkStart w:id="9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91">
        <w:r>
          <w:rPr>
            <w:rStyle w:val="Hyperlink"/>
          </w:rPr>
          <w:t xml:space="preserve">10.1145/1240624.1240832</w:t>
        </w:r>
      </w:hyperlink>
      <w:r>
        <w:t xml:space="preserve">.</w:t>
      </w:r>
    </w:p>
    <w:bookmarkEnd w:id="92"/>
    <w:bookmarkStart w:id="9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93">
        <w:r>
          <w:rPr>
            <w:rStyle w:val="Hyperlink"/>
          </w:rPr>
          <w:t xml:space="preserve">10.5281/zenodo.6554155</w:t>
        </w:r>
      </w:hyperlink>
      <w:r>
        <w:t xml:space="preserve">.</w:t>
      </w:r>
    </w:p>
    <w:bookmarkEnd w:id="94"/>
    <w:bookmarkStart w:id="96" w:name="ref-sitra1967"/>
    <w:p>
      <w:pPr>
        <w:pStyle w:val="Bibliography"/>
      </w:pPr>
      <w:r>
        <w:t xml:space="preserve">Sitra (1967). Available at:</w:t>
      </w:r>
      <w:r>
        <w:t xml:space="preserve"> </w:t>
      </w:r>
      <w:hyperlink r:id="rId95">
        <w:r>
          <w:rPr>
            <w:rStyle w:val="Hyperlink"/>
          </w:rPr>
          <w:t xml:space="preserve">https://www.sitra.fi/en/topics/strategy-2/#what-is-sitra</w:t>
        </w:r>
      </w:hyperlink>
      <w:r>
        <w:t xml:space="preserve"> </w:t>
      </w:r>
      <w:r>
        <w:t xml:space="preserve">(Accessed: 18 August 2022).</w:t>
      </w:r>
    </w:p>
    <w:bookmarkEnd w:id="96"/>
    <w:bookmarkStart w:id="9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97">
        <w:r>
          <w:rPr>
            <w:rStyle w:val="Hyperlink"/>
          </w:rPr>
          <w:t xml:space="preserve">https://www.sitra.fi/en/themes/fair-data-economy/#what-is-it-about</w:t>
        </w:r>
      </w:hyperlink>
      <w:r>
        <w:t xml:space="preserve"> </w:t>
      </w:r>
      <w:r>
        <w:t xml:space="preserve">(Accessed: 18 August 2022).</w:t>
      </w:r>
    </w:p>
    <w:bookmarkEnd w:id="98"/>
    <w:bookmarkStart w:id="9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99"/>
    <w:bookmarkStart w:id="10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00">
        <w:r>
          <w:rPr>
            <w:rStyle w:val="Hyperlink"/>
          </w:rPr>
          <w:t xml:space="preserve">https://eur-lex.europa.eu/legal-content/EN/TXT/?uri=CELEX:32016R0679 https://eur-lex.europa.eu/legal-content/EN/TXT/PDF/?uri=CELEX:32016R0679&amp;from=ES</w:t>
        </w:r>
      </w:hyperlink>
      <w:r>
        <w:t xml:space="preserve">.</w:t>
      </w:r>
    </w:p>
    <w:bookmarkEnd w:id="101"/>
    <w:bookmarkStart w:id="103" w:name="ref-workflowy2010"/>
    <w:p>
      <w:pPr>
        <w:pStyle w:val="Bibliography"/>
      </w:pPr>
      <w:r>
        <w:t xml:space="preserve">Turitzin, M. and Patel, J. (2010)</w:t>
      </w:r>
      <w:r>
        <w:t xml:space="preserve"> </w:t>
      </w:r>
      <w:r>
        <w:t xml:space="preserve">‘Workflowy’</w:t>
      </w:r>
      <w:r>
        <w:t xml:space="preserve">. Available at:</w:t>
      </w:r>
      <w:r>
        <w:t xml:space="preserve"> </w:t>
      </w:r>
      <w:hyperlink r:id="rId102">
        <w:r>
          <w:rPr>
            <w:rStyle w:val="Hyperlink"/>
          </w:rPr>
          <w:t xml:space="preserve">https://www.workflowy.com/features/</w:t>
        </w:r>
      </w:hyperlink>
      <w:r>
        <w:t xml:space="preserve">.</w:t>
      </w:r>
    </w:p>
    <w:bookmarkEnd w:id="103"/>
    <w:bookmarkEnd w:id="104"/>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1" Target="media/rId51.jpg" /><Relationship Type="http://schemas.openxmlformats.org/officeDocument/2006/relationships/image" Id="rId21" Target="media/rId21.png" /><Relationship Type="http://schemas.openxmlformats.org/officeDocument/2006/relationships/hyperlink" Id="rId67" Target="https://bit.ly/bbc-internship-alex-bowyer" TargetMode="External" /><Relationship Type="http://schemas.openxmlformats.org/officeDocument/2006/relationships/hyperlink" Id="rId65" Target="https://bit.ly/bbc-pds-research-bowyer" TargetMode="External" /><Relationship Type="http://schemas.openxmlformats.org/officeDocument/2006/relationships/hyperlink" Id="rId86" Target="https://doi.org/10.1080/13600834.2019.1573501" TargetMode="External" /><Relationship Type="http://schemas.openxmlformats.org/officeDocument/2006/relationships/hyperlink" Id="rId91" Target="https://doi.org/10.1145/1240624.1240832" TargetMode="External" /><Relationship Type="http://schemas.openxmlformats.org/officeDocument/2006/relationships/hyperlink" Id="rId57" Target="https://doi.org/10.1145/2670528" TargetMode="External" /><Relationship Type="http://schemas.openxmlformats.org/officeDocument/2006/relationships/hyperlink" Id="rId63" Target="https://doi.org/10.1145/3173574.3173710" TargetMode="External" /><Relationship Type="http://schemas.openxmlformats.org/officeDocument/2006/relationships/hyperlink" Id="rId72" Target="https://doi.org/10.1191/1478088706qp063oa" TargetMode="External" /><Relationship Type="http://schemas.openxmlformats.org/officeDocument/2006/relationships/hyperlink" Id="rId93" Target="https://doi.org/10.5281/zenodo.6554155" TargetMode="External" /><Relationship Type="http://schemas.openxmlformats.org/officeDocument/2006/relationships/hyperlink" Id="rId69" Target="https://doi.org/10.5281/zenodo.6554177" TargetMode="External" /><Relationship Type="http://schemas.openxmlformats.org/officeDocument/2006/relationships/hyperlink" Id="rId61" Target="https://eprints.ncl.ac.uk/273825" TargetMode="External" /><Relationship Type="http://schemas.openxmlformats.org/officeDocument/2006/relationships/hyperlink" Id="rId100" Target="https://eur-lex.europa.eu/legal-content/EN/TXT/?uri=CELEX:32016R0679 https://eur-lex.europa.eu/legal-content/EN/TXT/PDF/?uri=CELEX:32016R0679&amp;from=ES" TargetMode="External" /><Relationship Type="http://schemas.openxmlformats.org/officeDocument/2006/relationships/hyperlink" Id="rId78" Target="https://hestia.ai/en/about/" TargetMode="External" /><Relationship Type="http://schemas.openxmlformats.org/officeDocument/2006/relationships/hyperlink" Id="rId89" Target="https://ico.org.uk/for-organisations/guide-to-data-protection/introduction-to-data-protection/some-basic-concepts/" TargetMode="External" /><Relationship Type="http://schemas.openxmlformats.org/officeDocument/2006/relationships/hyperlink" Id="rId59" Target="https://inrupt.com/solid/" TargetMode="External" /><Relationship Type="http://schemas.openxmlformats.org/officeDocument/2006/relationships/hyperlink" Id="rId74" Target="https://www.bbc.co.uk/rd/about/our-purpose" TargetMode="External" /><Relationship Type="http://schemas.openxmlformats.org/officeDocument/2006/relationships/hyperlink" Id="rId76" Target="https://www.quirkos.com/learn-qualitative/features.html" TargetMode="External" /><Relationship Type="http://schemas.openxmlformats.org/officeDocument/2006/relationships/hyperlink" Id="rId84" Target="https://www.sitra.fi/en/projects/digipower-investigation/#what-is-it-about" TargetMode="External" /><Relationship Type="http://schemas.openxmlformats.org/officeDocument/2006/relationships/hyperlink" Id="rId82" Target="https://www.sitra.fi/en/publications/tracking-digipower/" TargetMode="External" /><Relationship Type="http://schemas.openxmlformats.org/officeDocument/2006/relationships/hyperlink" Id="rId97" Target="https://www.sitra.fi/en/themes/fair-data-economy/#what-is-it-about" TargetMode="External" /><Relationship Type="http://schemas.openxmlformats.org/officeDocument/2006/relationships/hyperlink" Id="rId95" Target="https://www.sitra.fi/en/topics/strategy-2/#what-is-sitra" TargetMode="External" /><Relationship Type="http://schemas.openxmlformats.org/officeDocument/2006/relationships/hyperlink" Id="rId10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7" Target="https://bit.ly/bbc-internship-alex-bowyer" TargetMode="External" /><Relationship Type="http://schemas.openxmlformats.org/officeDocument/2006/relationships/hyperlink" Id="rId65" Target="https://bit.ly/bbc-pds-research-bowyer" TargetMode="External" /><Relationship Type="http://schemas.openxmlformats.org/officeDocument/2006/relationships/hyperlink" Id="rId86" Target="https://doi.org/10.1080/13600834.2019.1573501" TargetMode="External" /><Relationship Type="http://schemas.openxmlformats.org/officeDocument/2006/relationships/hyperlink" Id="rId91" Target="https://doi.org/10.1145/1240624.1240832" TargetMode="External" /><Relationship Type="http://schemas.openxmlformats.org/officeDocument/2006/relationships/hyperlink" Id="rId57" Target="https://doi.org/10.1145/2670528" TargetMode="External" /><Relationship Type="http://schemas.openxmlformats.org/officeDocument/2006/relationships/hyperlink" Id="rId63" Target="https://doi.org/10.1145/3173574.3173710" TargetMode="External" /><Relationship Type="http://schemas.openxmlformats.org/officeDocument/2006/relationships/hyperlink" Id="rId72" Target="https://doi.org/10.1191/1478088706qp063oa" TargetMode="External" /><Relationship Type="http://schemas.openxmlformats.org/officeDocument/2006/relationships/hyperlink" Id="rId93" Target="https://doi.org/10.5281/zenodo.6554155" TargetMode="External" /><Relationship Type="http://schemas.openxmlformats.org/officeDocument/2006/relationships/hyperlink" Id="rId69" Target="https://doi.org/10.5281/zenodo.6554177" TargetMode="External" /><Relationship Type="http://schemas.openxmlformats.org/officeDocument/2006/relationships/hyperlink" Id="rId61" Target="https://eprints.ncl.ac.uk/273825" TargetMode="External" /><Relationship Type="http://schemas.openxmlformats.org/officeDocument/2006/relationships/hyperlink" Id="rId100" Target="https://eur-lex.europa.eu/legal-content/EN/TXT/?uri=CELEX:32016R0679 https://eur-lex.europa.eu/legal-content/EN/TXT/PDF/?uri=CELEX:32016R0679&amp;from=ES" TargetMode="External" /><Relationship Type="http://schemas.openxmlformats.org/officeDocument/2006/relationships/hyperlink" Id="rId78" Target="https://hestia.ai/en/about/" TargetMode="External" /><Relationship Type="http://schemas.openxmlformats.org/officeDocument/2006/relationships/hyperlink" Id="rId89" Target="https://ico.org.uk/for-organisations/guide-to-data-protection/introduction-to-data-protection/some-basic-concepts/" TargetMode="External" /><Relationship Type="http://schemas.openxmlformats.org/officeDocument/2006/relationships/hyperlink" Id="rId59" Target="https://inrupt.com/solid/" TargetMode="External" /><Relationship Type="http://schemas.openxmlformats.org/officeDocument/2006/relationships/hyperlink" Id="rId74" Target="https://www.bbc.co.uk/rd/about/our-purpose" TargetMode="External" /><Relationship Type="http://schemas.openxmlformats.org/officeDocument/2006/relationships/hyperlink" Id="rId76" Target="https://www.quirkos.com/learn-qualitative/features.html" TargetMode="External" /><Relationship Type="http://schemas.openxmlformats.org/officeDocument/2006/relationships/hyperlink" Id="rId84" Target="https://www.sitra.fi/en/projects/digipower-investigation/#what-is-it-about" TargetMode="External" /><Relationship Type="http://schemas.openxmlformats.org/officeDocument/2006/relationships/hyperlink" Id="rId82" Target="https://www.sitra.fi/en/publications/tracking-digipower/" TargetMode="External" /><Relationship Type="http://schemas.openxmlformats.org/officeDocument/2006/relationships/hyperlink" Id="rId97" Target="https://www.sitra.fi/en/themes/fair-data-economy/#what-is-it-about" TargetMode="External" /><Relationship Type="http://schemas.openxmlformats.org/officeDocument/2006/relationships/hyperlink" Id="rId95" Target="https://www.sitra.fi/en/topics/strategy-2/#what-is-sitra" TargetMode="External" /><Relationship Type="http://schemas.openxmlformats.org/officeDocument/2006/relationships/hyperlink" Id="rId10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2022-08-19T13:36:42Z</dcterms:created>
  <dcterms:modified xsi:type="dcterms:W3CDTF">2022-08-19T13:36:42Z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