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3.png" ContentType="image/png"/>
  <Override PartName="/word/media/rId47.png" ContentType="image/png"/>
  <Override PartName="/word/media/rId5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bCs/>
          <w:b/>
        </w:rPr>
        <w:t xml:space="preserve">individuals</w:t>
      </w:r>
      <w:r>
        <w:t xml:space="preserve"> </w:t>
      </w:r>
      <w:r>
        <w:t xml:space="preserve">and both data controllers and data processors as</w:t>
      </w:r>
      <w:r>
        <w:t xml:space="preserve"> </w:t>
      </w:r>
      <w:r>
        <w:rPr>
          <w:bCs/>
          <w:b/>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2"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ARI.1 - Example Categories of Family Civic Data.</w:t>
      </w:r>
    </w:p>
    <w:tbl>
      <w:tblPr>
        <w:tblStyle w:val="Table"/>
        <w:tblW w:type="pct" w:w="5000"/>
        <w:tblLook w:firstRow="1" w:lastRow="0" w:firstColumn="0" w:lastColumn="0" w:noHBand="0" w:noVBand="0" w:val="0020"/>
        <w:tblCaption w:val="Table ARI.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40"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9" w:name="figure-ari4.2"/>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bookmarkEnd w:id="39"/>
    </w:p>
    <w:p>
      <w:pPr>
        <w:pStyle w:val="ImageCaption"/>
      </w:pPr>
      <w:r>
        <w:t xml:space="preserve">Figure ARI4.2: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40"/>
    <w:bookmarkStart w:id="41"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which can be used to look up the referenced quote in [TODO INSERT REF TO APPENDIX SECTION HERE].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bookmarkEnd w:id="41"/>
    <w:bookmarkEnd w:id="42"/>
    <w:bookmarkStart w:id="60" w:name="ari-chapter-5"/>
    <w:p>
      <w:pPr>
        <w:pStyle w:val="Heading1"/>
      </w:pPr>
      <w:r>
        <w:t xml:space="preserve">ARI5 Additional Reference Information for Chapter 5</w:t>
      </w:r>
    </w:p>
    <w:bookmarkStart w:id="55"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6" w:name="figure-ari5.1"/>
      <w:r>
        <w:drawing>
          <wp:inline>
            <wp:extent cx="5334000" cy="3379904"/>
            <wp:effectExtent b="0" l="0" r="0" t="0"/>
            <wp:docPr descr="Figure ARI5.1: Screenshot from Quirkos During Coding Process" title="" id="44" name="Picture"/>
            <a:graphic>
              <a:graphicData uri="http://schemas.openxmlformats.org/drawingml/2006/picture">
                <pic:pic>
                  <pic:nvPicPr>
                    <pic:cNvPr descr="./src/figs/figARI5.1-quirkos-coding.png" id="45" name="Picture"/>
                    <pic:cNvPicPr>
                      <a:picLocks noChangeArrowheads="1" noChangeAspect="1"/>
                    </pic:cNvPicPr>
                  </pic:nvPicPr>
                  <pic:blipFill>
                    <a:blip r:embed="rId43"/>
                    <a:stretch>
                      <a:fillRect/>
                    </a:stretch>
                  </pic:blipFill>
                  <pic:spPr bwMode="auto">
                    <a:xfrm>
                      <a:off x="0" y="0"/>
                      <a:ext cx="5334000" cy="3379904"/>
                    </a:xfrm>
                    <a:prstGeom prst="rect">
                      <a:avLst/>
                    </a:prstGeom>
                    <a:noFill/>
                    <a:ln w="9525">
                      <a:noFill/>
                      <a:headEnd/>
                      <a:tailEnd/>
                    </a:ln>
                  </pic:spPr>
                </pic:pic>
              </a:graphicData>
            </a:graphic>
          </wp:inline>
        </w:drawing>
      </w:r>
      <w:bookmarkEnd w:id="46"/>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0" w:name="figure-ari5.2"/>
      <w:r>
        <w:drawing>
          <wp:inline>
            <wp:extent cx="5334000" cy="3266293"/>
            <wp:effectExtent b="0" l="0" r="0" t="0"/>
            <wp:docPr descr="Figure ARI5.2: Screenshot from Quirkos at End of Coding Process" title="" id="48" name="Picture"/>
            <a:graphic>
              <a:graphicData uri="http://schemas.openxmlformats.org/drawingml/2006/picture">
                <pic:pic>
                  <pic:nvPicPr>
                    <pic:cNvPr descr="./src/figs/figARI5.2-quirkos-coding-at-end.png" id="49" name="Picture"/>
                    <pic:cNvPicPr>
                      <a:picLocks noChangeArrowheads="1" noChangeAspect="1"/>
                    </pic:cNvPicPr>
                  </pic:nvPicPr>
                  <pic:blipFill>
                    <a:blip r:embed="rId47"/>
                    <a:stretch>
                      <a:fillRect/>
                    </a:stretch>
                  </pic:blipFill>
                  <pic:spPr bwMode="auto">
                    <a:xfrm>
                      <a:off x="0" y="0"/>
                      <a:ext cx="5334000" cy="3266293"/>
                    </a:xfrm>
                    <a:prstGeom prst="rect">
                      <a:avLst/>
                    </a:prstGeom>
                    <a:noFill/>
                    <a:ln w="9525">
                      <a:noFill/>
                      <a:headEnd/>
                      <a:tailEnd/>
                    </a:ln>
                  </pic:spPr>
                </pic:pic>
              </a:graphicData>
            </a:graphic>
          </wp:inline>
        </w:drawing>
      </w:r>
      <w:bookmarkEnd w:id="50"/>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4" w:name="figure-ari5.3"/>
      <w:r>
        <w:drawing>
          <wp:inline>
            <wp:extent cx="5334000" cy="3857067"/>
            <wp:effectExtent b="0" l="0" r="0" t="0"/>
            <wp:docPr descr="Figure ARI5.3: Screenshot from Workflowy During Theme Construction" title="" id="52" name="Picture"/>
            <a:graphic>
              <a:graphicData uri="http://schemas.openxmlformats.org/drawingml/2006/picture">
                <pic:pic>
                  <pic:nvPicPr>
                    <pic:cNvPr descr="./src/figs/figARI5.3-workflowy-theme-construction.png" id="53" name="Picture"/>
                    <pic:cNvPicPr>
                      <a:picLocks noChangeArrowheads="1" noChangeAspect="1"/>
                    </pic:cNvPicPr>
                  </pic:nvPicPr>
                  <pic:blipFill>
                    <a:blip r:embed="rId51"/>
                    <a:stretch>
                      <a:fillRect/>
                    </a:stretch>
                  </pic:blipFill>
                  <pic:spPr bwMode="auto">
                    <a:xfrm>
                      <a:off x="0" y="0"/>
                      <a:ext cx="5334000" cy="3857067"/>
                    </a:xfrm>
                    <a:prstGeom prst="rect">
                      <a:avLst/>
                    </a:prstGeom>
                    <a:noFill/>
                    <a:ln w="9525">
                      <a:noFill/>
                      <a:headEnd/>
                      <a:tailEnd/>
                    </a:ln>
                  </pic:spPr>
                </pic:pic>
              </a:graphicData>
            </a:graphic>
          </wp:inline>
        </w:drawing>
      </w:r>
      <w:bookmarkEnd w:id="54"/>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5"/>
    <w:bookmarkStart w:id="59"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7" name="Picture"/>
            <a:graphic>
              <a:graphicData uri="http://schemas.openxmlformats.org/drawingml/2006/picture">
                <pic:pic>
                  <pic:nvPicPr>
                    <pic:cNvPr descr="./src/figs/table11-best-worst-companies.png" id="58" name="Picture"/>
                    <pic:cNvPicPr>
                      <a:picLocks noChangeArrowheads="1" noChangeAspect="1"/>
                    </pic:cNvPicPr>
                  </pic:nvPicPr>
                  <pic:blipFill>
                    <a:blip r:embed="rId56"/>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ARI.2 - Best and Worst Data Holders for GDPR, according to Participants’ Judgements</w:t>
      </w:r>
      <w:r>
        <w:t xml:space="preserve">a</w:t>
      </w:r>
    </w:p>
    <w:bookmarkEnd w:id="59"/>
    <w:bookmarkEnd w:id="60"/>
    <w:bookmarkStart w:id="66" w:name="ari-chapter-7"/>
    <w:p>
      <w:pPr>
        <w:pStyle w:val="Heading1"/>
      </w:pPr>
      <w:r>
        <w:t xml:space="preserve">ARI7 Additional Reference Information for Chapter 7</w:t>
      </w:r>
    </w:p>
    <w:bookmarkStart w:id="61"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24"/>
        </w:numPr>
        <w:pStyle w:val="Compact"/>
      </w:pPr>
      <w:r>
        <w:t xml:space="preserve">https://www.bbc.co.uk/rd/blog/2021-09-personal-data-store-research</w:t>
      </w:r>
    </w:p>
    <w:p>
      <w:pPr>
        <w:numPr>
          <w:ilvl w:val="0"/>
          <w:numId w:val="1024"/>
        </w:numPr>
        <w:pStyle w:val="Compact"/>
      </w:pPr>
      <w:r>
        <w:t xml:space="preserve">https://paper.dropbox.com/doc/Building-trusted-data-services-and-capabilities-Us49Ek0nex7yClKughPN4</w:t>
      </w:r>
    </w:p>
    <w:p>
      <w:pPr>
        <w:numPr>
          <w:ilvl w:val="0"/>
          <w:numId w:val="1024"/>
        </w:numPr>
        <w:pStyle w:val="Compact"/>
      </w:pPr>
      <w:r>
        <w:t xml:space="preserve">https://www.wired.co.uk/article/bbc-data-personalisation</w:t>
      </w:r>
    </w:p>
    <w:p>
      <w:pPr>
        <w:numPr>
          <w:ilvl w:val="0"/>
          <w:numId w:val="1024"/>
        </w:numPr>
        <w:pStyle w:val="Compact"/>
      </w:pPr>
      <w:r>
        <w:t xml:space="preserve">https://www.theregister.com/2021/10/04/column_data_privacy/</w:t>
      </w:r>
    </w:p>
    <w:p>
      <w:pPr>
        <w:numPr>
          <w:ilvl w:val="0"/>
          <w:numId w:val="1024"/>
        </w:numPr>
        <w:pStyle w:val="Compact"/>
      </w:pPr>
      <w:r>
        <w:t xml:space="preserve">https://www.thetimes.co.uk/article/bbc-and-sir-tim-berners-lee-app-mines-netflix-data-to-find-shows-viewers-like-lxp002gg8</w:t>
      </w:r>
    </w:p>
    <w:p>
      <w:pPr>
        <w:numPr>
          <w:ilvl w:val="0"/>
          <w:numId w:val="1024"/>
        </w:numPr>
        <w:pStyle w:val="Compact"/>
      </w:pPr>
      <w:r>
        <w:t xml:space="preserve">https://www.ibc.org/download?ac=18659</w:t>
      </w:r>
    </w:p>
    <w:p>
      <w:pPr>
        <w:numPr>
          <w:ilvl w:val="0"/>
          <w:numId w:val="1024"/>
        </w:numPr>
        <w:pStyle w:val="Compact"/>
      </w:pPr>
      <w:r>
        <w:t xml:space="preserve">https://www.telegraph.co.uk/business/2022/06/09/bbc-wages-war-online-echo-chambers-unbiased-tech/</w:t>
      </w:r>
    </w:p>
    <w:p>
      <w:pPr>
        <w:numPr>
          <w:ilvl w:val="0"/>
          <w:numId w:val="1024"/>
        </w:numPr>
        <w:pStyle w:val="Compact"/>
      </w:pPr>
      <w:r>
        <w:t xml:space="preserve">https://parliamentlive.tv/event/index/7d249bcf-78e9-447b-907c-81df72b87542?in=15:01:35</w:t>
      </w:r>
    </w:p>
    <w:bookmarkEnd w:id="61"/>
    <w:bookmarkStart w:id="62"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98a7707f59567dab5f33a3e4edcb8dc9e097ddd">
        <w:r>
          <w:rPr>
            <w:rStyle w:val="Hyperlink"/>
          </w:rPr>
          <w:t xml:space="preserve">7.4.5</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fcbca708d249a5264bfb58f121b983b931f9729">
        <w:r>
          <w:rPr>
            <w:rStyle w:val="Hyperlink"/>
          </w:rPr>
          <w:t xml:space="preserve">7.4.4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7027e4bdfd232de99e156aba3e4d77d931c643b">
        <w:r>
          <w:rPr>
            <w:rStyle w:val="Hyperlink"/>
          </w:rPr>
          <w:t xml:space="preserve">7.2.3</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w:t>
        </w:r>
      </w:hyperlink>
      <w:r>
        <w:t xml:space="preserve">]. In this sense, both peripheral activities have been highly complementary to developing an overview of the pursuit of HDR in practice.</w:t>
      </w:r>
    </w:p>
    <w:bookmarkEnd w:id="62"/>
    <w:bookmarkStart w:id="63"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 - see</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63"/>
    <w:bookmarkStart w:id="64" w:name="ari-attribution"/>
    <w:p>
      <w:pPr>
        <w:pStyle w:val="Heading2"/>
      </w:pPr>
      <w:r>
        <w:t xml:space="preserve">ARI7.4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04ca063b6845d470c10139c5272853c062aa84e">
        <w:r>
          <w:rPr>
            <w:rStyle w:val="Hyperlink"/>
          </w:rPr>
          <w:t xml:space="preserve">7.1.2</w:t>
        </w:r>
      </w:hyperlink>
      <w:r>
        <w:t xml:space="preserve">], that material is either already public, or permission has been obtained from the corresponding individuals or project teams.</w:t>
      </w:r>
    </w:p>
    <w:bookmarkEnd w:id="64"/>
    <w:bookmarkStart w:id="65"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0e80e9d8b6e35e4d07b971ea614c40d8ec4efa3">
        <w:r>
          <w:rPr>
            <w:rStyle w:val="Hyperlink"/>
          </w:rPr>
          <w:t xml:space="preserve">7.2.1</w:t>
        </w:r>
      </w:hyperlink>
      <w:r>
        <w:t xml:space="preserve">.</w:t>
      </w:r>
    </w:p>
    <w:p>
      <w:pPr>
        <w:pStyle w:val="TableCaption"/>
      </w:pPr>
      <w:r>
        <w:t xml:space="preserve">Table ARI.3 -</w:t>
      </w:r>
      <w:r>
        <w:t xml:space="preserve"> </w:t>
      </w:r>
      <w:r>
        <w:rPr>
          <w:bCs/>
          <w:b/>
        </w:rPr>
        <w:t xml:space="preserve">Eight Lenses on Personal Data</w:t>
      </w:r>
      <w:r>
        <w:t xml:space="preserve">.</w:t>
      </w:r>
    </w:p>
    <w:tbl>
      <w:tblPr>
        <w:tblStyle w:val="Table"/>
        <w:tblW w:type="pct" w:w="5000"/>
        <w:tblLook w:firstRow="1" w:lastRow="0" w:firstColumn="0" w:lastColumn="0" w:noHBand="0" w:noVBand="0" w:val="0020"/>
        <w:tblCaption w:val="Table ARI.3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p>
      <w:r>
        <w:pict>
          <v:rect style="width:0;height:1.5pt" o:hralign="center" o:hrstd="t" o:hr="t"/>
        </w:pict>
      </w:r>
    </w:p>
    <w:bookmarkEnd w:id="65"/>
    <w:bookmarkEnd w:id="66"/>
    <w:bookmarkStart w:id="115" w:name="bibliography"/>
    <w:p>
      <w:pPr>
        <w:pStyle w:val="Heading1"/>
      </w:pPr>
      <w:r>
        <w:t xml:space="preserve">Bibliography</w:t>
      </w:r>
    </w:p>
    <w:bookmarkStart w:id="114" w:name="refs"/>
    <w:bookmarkStart w:id="68"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7">
        <w:r>
          <w:rPr>
            <w:rStyle w:val="Hyperlink"/>
          </w:rPr>
          <w:t xml:space="preserve">10.1145/2670528</w:t>
        </w:r>
      </w:hyperlink>
      <w:r>
        <w:t xml:space="preserve">.</w:t>
      </w:r>
    </w:p>
    <w:bookmarkEnd w:id="68"/>
    <w:bookmarkStart w:id="70"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69">
        <w:r>
          <w:rPr>
            <w:rStyle w:val="Hyperlink"/>
          </w:rPr>
          <w:t xml:space="preserve">https://inrupt.com/solid/</w:t>
        </w:r>
      </w:hyperlink>
      <w:r>
        <w:t xml:space="preserve">.</w:t>
      </w:r>
    </w:p>
    <w:bookmarkEnd w:id="70"/>
    <w:bookmarkStart w:id="72"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71">
        <w:r>
          <w:rPr>
            <w:rStyle w:val="Hyperlink"/>
          </w:rPr>
          <w:t xml:space="preserve">https://eprints.ncl.ac.uk/273825</w:t>
        </w:r>
      </w:hyperlink>
      <w:r>
        <w:t xml:space="preserve">.</w:t>
      </w:r>
    </w:p>
    <w:bookmarkEnd w:id="72"/>
    <w:bookmarkStart w:id="74"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3">
        <w:r>
          <w:rPr>
            <w:rStyle w:val="Hyperlink"/>
          </w:rPr>
          <w:t xml:space="preserve">10.1145/3173574.3173710</w:t>
        </w:r>
      </w:hyperlink>
      <w:r>
        <w:t xml:space="preserve">.</w:t>
      </w:r>
    </w:p>
    <w:bookmarkEnd w:id="74"/>
    <w:bookmarkStart w:id="76"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75">
        <w:r>
          <w:rPr>
            <w:rStyle w:val="Hyperlink"/>
          </w:rPr>
          <w:t xml:space="preserve">https://bit.ly/bbc-pds-research-bowyer</w:t>
        </w:r>
      </w:hyperlink>
      <w:r>
        <w:t xml:space="preserve">.</w:t>
      </w:r>
    </w:p>
    <w:bookmarkEnd w:id="76"/>
    <w:bookmarkStart w:id="78"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77">
        <w:r>
          <w:rPr>
            <w:rStyle w:val="Hyperlink"/>
          </w:rPr>
          <w:t xml:space="preserve">https://bit.ly/bbc-internship-alex-bowyer</w:t>
        </w:r>
      </w:hyperlink>
      <w:r>
        <w:t xml:space="preserve"> </w:t>
      </w:r>
      <w:r>
        <w:t xml:space="preserve">(Accessed: 18 August 2022).</w:t>
      </w:r>
    </w:p>
    <w:bookmarkEnd w:id="78"/>
    <w:bookmarkStart w:id="80"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79">
        <w:r>
          <w:rPr>
            <w:rStyle w:val="Hyperlink"/>
          </w:rPr>
          <w:t xml:space="preserve">10.5281/zenodo.6554177</w:t>
        </w:r>
      </w:hyperlink>
      <w:r>
        <w:t xml:space="preserve">.</w:t>
      </w:r>
    </w:p>
    <w:bookmarkEnd w:id="80"/>
    <w:bookmarkStart w:id="81"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1"/>
    <w:bookmarkStart w:id="83"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82">
        <w:r>
          <w:rPr>
            <w:rStyle w:val="Hyperlink"/>
          </w:rPr>
          <w:t xml:space="preserve">10.1191/1478088706qp063oa</w:t>
        </w:r>
      </w:hyperlink>
      <w:r>
        <w:t xml:space="preserve">.</w:t>
      </w:r>
    </w:p>
    <w:bookmarkEnd w:id="83"/>
    <w:bookmarkStart w:id="85" w:name="ref-bbc1997rd"/>
    <w:p>
      <w:pPr>
        <w:pStyle w:val="Bibliography"/>
      </w:pPr>
      <w:r>
        <w:t xml:space="preserve">British Broadcasting Corporation (1997)</w:t>
      </w:r>
      <w:r>
        <w:t xml:space="preserve"> </w:t>
      </w:r>
      <w:r>
        <w:t xml:space="preserve">‘Our purpose’</w:t>
      </w:r>
      <w:r>
        <w:t xml:space="preserve">. Available at:</w:t>
      </w:r>
      <w:r>
        <w:t xml:space="preserve"> </w:t>
      </w:r>
      <w:hyperlink r:id="rId84">
        <w:r>
          <w:rPr>
            <w:rStyle w:val="Hyperlink"/>
          </w:rPr>
          <w:t xml:space="preserve">https://www.bbc.co.uk/rd/about/our-purpose</w:t>
        </w:r>
      </w:hyperlink>
      <w:r>
        <w:t xml:space="preserve"> </w:t>
      </w:r>
      <w:r>
        <w:t xml:space="preserve">(Accessed: 18 August 2022).</w:t>
      </w:r>
    </w:p>
    <w:bookmarkEnd w:id="85"/>
    <w:bookmarkStart w:id="87" w:name="ref-quirkos2013"/>
    <w:p>
      <w:pPr>
        <w:pStyle w:val="Bibliography"/>
      </w:pPr>
      <w:r>
        <w:t xml:space="preserve">Daniel Turner (2014)</w:t>
      </w:r>
      <w:r>
        <w:t xml:space="preserve"> </w:t>
      </w:r>
      <w:r>
        <w:t xml:space="preserve">‘Quirkos cloud’</w:t>
      </w:r>
      <w:r>
        <w:t xml:space="preserve">. Available at:</w:t>
      </w:r>
      <w:r>
        <w:t xml:space="preserve"> </w:t>
      </w:r>
      <w:hyperlink r:id="rId86">
        <w:r>
          <w:rPr>
            <w:rStyle w:val="Hyperlink"/>
          </w:rPr>
          <w:t xml:space="preserve">https://www.quirkos.com/learn-qualitative/features.html</w:t>
        </w:r>
      </w:hyperlink>
      <w:r>
        <w:t xml:space="preserve">.</w:t>
      </w:r>
    </w:p>
    <w:bookmarkEnd w:id="87"/>
    <w:bookmarkStart w:id="89" w:name="ref-dehaye2019"/>
    <w:p>
      <w:pPr>
        <w:pStyle w:val="Bibliography"/>
      </w:pPr>
      <w:r>
        <w:t xml:space="preserve">Dehaye, P.-O. (2019)</w:t>
      </w:r>
      <w:r>
        <w:t xml:space="preserve"> </w:t>
      </w:r>
      <w:r>
        <w:t xml:space="preserve">‘Hestia.ai: About us’</w:t>
      </w:r>
      <w:r>
        <w:t xml:space="preserve">. Available at:</w:t>
      </w:r>
      <w:r>
        <w:t xml:space="preserve"> </w:t>
      </w:r>
      <w:hyperlink r:id="rId88">
        <w:r>
          <w:rPr>
            <w:rStyle w:val="Hyperlink"/>
          </w:rPr>
          <w:t xml:space="preserve">https://hestia.ai/en/about/</w:t>
        </w:r>
      </w:hyperlink>
      <w:r>
        <w:t xml:space="preserve">.</w:t>
      </w:r>
    </w:p>
    <w:bookmarkEnd w:id="89"/>
    <w:bookmarkStart w:id="90"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0"/>
    <w:bookmarkStart w:id="91"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1"/>
    <w:bookmarkStart w:id="93"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92">
        <w:r>
          <w:rPr>
            <w:rStyle w:val="Hyperlink"/>
          </w:rPr>
          <w:t xml:space="preserve">https://www.sitra.fi/en/publications/tracking-digipower/</w:t>
        </w:r>
      </w:hyperlink>
      <w:r>
        <w:t xml:space="preserve">.</w:t>
      </w:r>
    </w:p>
    <w:bookmarkEnd w:id="93"/>
    <w:bookmarkStart w:id="95" w:name="ref-härkönen2022project"/>
    <w:p>
      <w:pPr>
        <w:pStyle w:val="Bibliography"/>
      </w:pPr>
      <w:r>
        <w:t xml:space="preserve">Härkönen, T. and Vänskä, R. (2021). Sitra. Available at:</w:t>
      </w:r>
      <w:r>
        <w:t xml:space="preserve"> </w:t>
      </w:r>
      <w:hyperlink r:id="rId94">
        <w:r>
          <w:rPr>
            <w:rStyle w:val="Hyperlink"/>
          </w:rPr>
          <w:t xml:space="preserve">https://www.sitra.fi/en/projects/digipower-investigation/#what-is-it-about</w:t>
        </w:r>
      </w:hyperlink>
      <w:r>
        <w:t xml:space="preserve">.</w:t>
      </w:r>
    </w:p>
    <w:bookmarkEnd w:id="95"/>
    <w:bookmarkStart w:id="97"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96">
        <w:r>
          <w:rPr>
            <w:rStyle w:val="Hyperlink"/>
          </w:rPr>
          <w:t xml:space="preserve">10.1080/13600834.2019.1573501</w:t>
        </w:r>
      </w:hyperlink>
      <w:r>
        <w:t xml:space="preserve">.</w:t>
      </w:r>
    </w:p>
    <w:bookmarkEnd w:id="97"/>
    <w:bookmarkStart w:id="9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98"/>
    <w:bookmarkStart w:id="100"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99">
        <w:r>
          <w:rPr>
            <w:rStyle w:val="Hyperlink"/>
          </w:rPr>
          <w:t xml:space="preserve">https://ico.org.uk/for-organisations/guide-to-data-protection/introduction-to-data-protection/some-basic-concepts/</w:t>
        </w:r>
      </w:hyperlink>
      <w:r>
        <w:t xml:space="preserve">.</w:t>
      </w:r>
    </w:p>
    <w:bookmarkEnd w:id="100"/>
    <w:bookmarkStart w:id="102"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01">
        <w:r>
          <w:rPr>
            <w:rStyle w:val="Hyperlink"/>
          </w:rPr>
          <w:t xml:space="preserve">10.1145/1240624.1240832</w:t>
        </w:r>
      </w:hyperlink>
      <w:r>
        <w:t xml:space="preserve">.</w:t>
      </w:r>
    </w:p>
    <w:bookmarkEnd w:id="102"/>
    <w:bookmarkStart w:id="10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03">
        <w:r>
          <w:rPr>
            <w:rStyle w:val="Hyperlink"/>
          </w:rPr>
          <w:t xml:space="preserve">10.5281/zenodo.6554155</w:t>
        </w:r>
      </w:hyperlink>
      <w:r>
        <w:t xml:space="preserve">.</w:t>
      </w:r>
    </w:p>
    <w:bookmarkEnd w:id="104"/>
    <w:bookmarkStart w:id="106" w:name="ref-sitra1967"/>
    <w:p>
      <w:pPr>
        <w:pStyle w:val="Bibliography"/>
      </w:pPr>
      <w:r>
        <w:t xml:space="preserve">Sitra (1967). Available at:</w:t>
      </w:r>
      <w:r>
        <w:t xml:space="preserve"> </w:t>
      </w:r>
      <w:hyperlink r:id="rId105">
        <w:r>
          <w:rPr>
            <w:rStyle w:val="Hyperlink"/>
          </w:rPr>
          <w:t xml:space="preserve">https://www.sitra.fi/en/topics/strategy-2/#what-is-sitra</w:t>
        </w:r>
      </w:hyperlink>
      <w:r>
        <w:t xml:space="preserve"> </w:t>
      </w:r>
      <w:r>
        <w:t xml:space="preserve">(Accessed: 18 August 2022).</w:t>
      </w:r>
    </w:p>
    <w:bookmarkEnd w:id="106"/>
    <w:bookmarkStart w:id="108"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07">
        <w:r>
          <w:rPr>
            <w:rStyle w:val="Hyperlink"/>
          </w:rPr>
          <w:t xml:space="preserve">https://www.sitra.fi/en/themes/fair-data-economy/#what-is-it-about</w:t>
        </w:r>
      </w:hyperlink>
      <w:r>
        <w:t xml:space="preserve"> </w:t>
      </w:r>
      <w:r>
        <w:t xml:space="preserve">(Accessed: 18 August 2022).</w:t>
      </w:r>
    </w:p>
    <w:bookmarkEnd w:id="108"/>
    <w:bookmarkStart w:id="109"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09"/>
    <w:bookmarkStart w:id="111"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10">
        <w:r>
          <w:rPr>
            <w:rStyle w:val="Hyperlink"/>
          </w:rPr>
          <w:t xml:space="preserve">https://eur-lex.europa.eu/legal-content/EN/TXT/?uri=CELEX:32016R0679 https://eur-lex.europa.eu/legal-content/EN/TXT/PDF/?uri=CELEX:32016R0679&amp;from=ES</w:t>
        </w:r>
      </w:hyperlink>
      <w:r>
        <w:t xml:space="preserve">.</w:t>
      </w:r>
    </w:p>
    <w:bookmarkEnd w:id="111"/>
    <w:bookmarkStart w:id="113" w:name="ref-workflowy2010"/>
    <w:p>
      <w:pPr>
        <w:pStyle w:val="Bibliography"/>
      </w:pPr>
      <w:r>
        <w:t xml:space="preserve">Turitzin, M. and Patel, J. (2010)</w:t>
      </w:r>
      <w:r>
        <w:t xml:space="preserve"> </w:t>
      </w:r>
      <w:r>
        <w:t xml:space="preserve">‘Workflowy’</w:t>
      </w:r>
      <w:r>
        <w:t xml:space="preserve">. Available at:</w:t>
      </w:r>
      <w:r>
        <w:t xml:space="preserve"> </w:t>
      </w:r>
      <w:hyperlink r:id="rId112">
        <w:r>
          <w:rPr>
            <w:rStyle w:val="Hyperlink"/>
          </w:rPr>
          <w:t xml:space="preserve">https://www.workflowy.com/features/</w:t>
        </w:r>
      </w:hyperlink>
      <w:r>
        <w:t xml:space="preserve">.</w:t>
      </w:r>
    </w:p>
    <w:bookmarkEnd w:id="113"/>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2022-08-21T09:53:53Z</dcterms:created>
  <dcterms:modified xsi:type="dcterms:W3CDTF">2022-08-21T09:53:53Z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