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1.png" ContentType="image/png"/>
  <Override PartName="/word/media/rId4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ppendices"/>
    <w:p>
      <w:pPr>
        <w:pStyle w:val="Heading1"/>
      </w:pPr>
      <w:r>
        <w:t xml:space="preserve">Appendices</w:t>
      </w:r>
    </w:p>
    <w:bookmarkEnd w:id="20"/>
    <w:bookmarkStart w:id="21" w:name="appendix-a"/>
    <w:p>
      <w:pPr>
        <w:pStyle w:val="Heading1"/>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 The paper is on the following pages.</w:t>
      </w:r>
    </w:p>
    <w:bookmarkEnd w:id="21"/>
    <w:bookmarkStart w:id="22" w:name="appendix-b"/>
    <w:p>
      <w:pPr>
        <w:pStyle w:val="Heading1"/>
      </w:pPr>
      <w:r>
        <w:t xml:space="preserve">Appendix B: Case Study One Methodology: Additional Details (Storyboarding Cards)</w:t>
      </w:r>
    </w:p>
    <w:bookmarkEnd w:id="22"/>
    <w:bookmarkStart w:id="35" w:name="appendix-c"/>
    <w:p>
      <w:pPr>
        <w:pStyle w:val="Heading1"/>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6" w:name="figure-C.1"/>
      <w:r>
        <w:drawing>
          <wp:inline>
            <wp:extent cx="5334000" cy="3379904"/>
            <wp:effectExtent b="0" l="0" r="0" t="0"/>
            <wp:docPr descr="Figure C.1: Screenshot from Quirkos During Coding Process" title="" id="24" name="Picture"/>
            <a:graphic>
              <a:graphicData uri="http://schemas.openxmlformats.org/drawingml/2006/picture">
                <pic:pic>
                  <pic:nvPicPr>
                    <pic:cNvPr descr="./src/figs/figC.1-quirkos-coding.png" id="25" name="Picture"/>
                    <pic:cNvPicPr>
                      <a:picLocks noChangeArrowheads="1" noChangeAspect="1"/>
                    </pic:cNvPicPr>
                  </pic:nvPicPr>
                  <pic:blipFill>
                    <a:blip r:embed="rId23"/>
                    <a:stretch>
                      <a:fillRect/>
                    </a:stretch>
                  </pic:blipFill>
                  <pic:spPr bwMode="auto">
                    <a:xfrm>
                      <a:off x="0" y="0"/>
                      <a:ext cx="5334000" cy="3379904"/>
                    </a:xfrm>
                    <a:prstGeom prst="rect">
                      <a:avLst/>
                    </a:prstGeom>
                    <a:noFill/>
                    <a:ln w="9525">
                      <a:noFill/>
                      <a:headEnd/>
                      <a:tailEnd/>
                    </a:ln>
                  </pic:spPr>
                </pic:pic>
              </a:graphicData>
            </a:graphic>
          </wp:inline>
        </w:drawing>
      </w:r>
      <w:bookmarkEnd w:id="26"/>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30" w:name="figure-C.2"/>
      <w:r>
        <w:drawing>
          <wp:inline>
            <wp:extent cx="5334000" cy="3266293"/>
            <wp:effectExtent b="0" l="0" r="0" t="0"/>
            <wp:docPr descr="Figure C.2: Screenshot from Quirkos at End of Coding Process" title="" id="28" name="Picture"/>
            <a:graphic>
              <a:graphicData uri="http://schemas.openxmlformats.org/drawingml/2006/picture">
                <pic:pic>
                  <pic:nvPicPr>
                    <pic:cNvPr descr="./src/figs/figC.2-quirkos-coding-at-end.png" id="29" name="Picture"/>
                    <pic:cNvPicPr>
                      <a:picLocks noChangeArrowheads="1" noChangeAspect="1"/>
                    </pic:cNvPicPr>
                  </pic:nvPicPr>
                  <pic:blipFill>
                    <a:blip r:embed="rId27"/>
                    <a:stretch>
                      <a:fillRect/>
                    </a:stretch>
                  </pic:blipFill>
                  <pic:spPr bwMode="auto">
                    <a:xfrm>
                      <a:off x="0" y="0"/>
                      <a:ext cx="5334000" cy="3266293"/>
                    </a:xfrm>
                    <a:prstGeom prst="rect">
                      <a:avLst/>
                    </a:prstGeom>
                    <a:noFill/>
                    <a:ln w="9525">
                      <a:noFill/>
                      <a:headEnd/>
                      <a:tailEnd/>
                    </a:ln>
                  </pic:spPr>
                </pic:pic>
              </a:graphicData>
            </a:graphic>
          </wp:inline>
        </w:drawing>
      </w:r>
      <w:bookmarkEnd w:id="30"/>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4" w:name="figure-C.3"/>
      <w:r>
        <w:drawing>
          <wp:inline>
            <wp:extent cx="5334000" cy="3857067"/>
            <wp:effectExtent b="0" l="0" r="0" t="0"/>
            <wp:docPr descr="Figure C.3: Screenshot from Workflowy During Theme Construction" title="" id="32" name="Picture"/>
            <a:graphic>
              <a:graphicData uri="http://schemas.openxmlformats.org/drawingml/2006/picture">
                <pic:pic>
                  <pic:nvPicPr>
                    <pic:cNvPr descr="./src/figs/figC.3-workflowy-theme-construction.png" id="33" name="Picture"/>
                    <pic:cNvPicPr>
                      <a:picLocks noChangeArrowheads="1" noChangeAspect="1"/>
                    </pic:cNvPicPr>
                  </pic:nvPicPr>
                  <pic:blipFill>
                    <a:blip r:embed="rId31"/>
                    <a:stretch>
                      <a:fillRect/>
                    </a:stretch>
                  </pic:blipFill>
                  <pic:spPr bwMode="auto">
                    <a:xfrm>
                      <a:off x="0" y="0"/>
                      <a:ext cx="5334000" cy="3857067"/>
                    </a:xfrm>
                    <a:prstGeom prst="rect">
                      <a:avLst/>
                    </a:prstGeom>
                    <a:noFill/>
                    <a:ln w="9525">
                      <a:noFill/>
                      <a:headEnd/>
                      <a:tailEnd/>
                    </a:ln>
                  </pic:spPr>
                </pic:pic>
              </a:graphicData>
            </a:graphic>
          </wp:inline>
        </w:drawing>
      </w:r>
      <w:bookmarkEnd w:id="34"/>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5"/>
    <w:bookmarkStart w:id="40" w:name="appendix-d"/>
    <w:p>
      <w:pPr>
        <w:pStyle w:val="Heading1"/>
      </w:pPr>
      <w:r>
        <w:t xml:space="preserve">Appendix D: Peripheral Research Settings: Additional Details</w:t>
      </w:r>
    </w:p>
    <w:bookmarkStart w:id="36" w:name="d.1"/>
    <w:p>
      <w:pPr>
        <w:pStyle w:val="Heading2"/>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6"/>
    <w:bookmarkStart w:id="37" w:name="d.2"/>
    <w:p>
      <w:pPr>
        <w:pStyle w:val="Heading2"/>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7"/>
    <w:bookmarkStart w:id="38" w:name="d.3"/>
    <w:p>
      <w:pPr>
        <w:pStyle w:val="Heading2"/>
      </w:pPr>
      <w:r>
        <w:t xml:space="preserve">Connected Health Cities (CHC)’s SILVER Project</w:t>
      </w:r>
    </w:p>
    <w:p>
      <w:pPr>
        <w:pStyle w:val="FirstParagraph"/>
      </w:pPr>
      <w:r>
        <w:t xml:space="preserve">[TODO More description about Silver Dev here]</w:t>
      </w:r>
    </w:p>
    <w:bookmarkEnd w:id="38"/>
    <w:bookmarkStart w:id="39" w:name="d.4"/>
    <w:p>
      <w:pPr>
        <w:pStyle w:val="Heading2"/>
      </w:pPr>
      <w:r>
        <w:t xml:space="preserve">Digital Economy Research Centre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iCs/>
          <w:i/>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from 2018 to 2020 as a part time web developer in a project which was using the web augmentation technique to improve the information given to users of Just Eat, a takeaway food ordering platform in the UK, the theoretical basis for which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being used by the project were considered highly relevant, and the goals of the research project were also human-centric, and consistent with this thesis’s research goals - tackling the hegemony of service providers in order to better serve individual needs. This research project is tangential to this thesis, but is an example of the</w:t>
      </w:r>
      <w:r>
        <w:t xml:space="preserve"> </w:t>
      </w:r>
      <w:r>
        <w:t xml:space="preserve">‘</w:t>
      </w:r>
      <w:r>
        <w:t xml:space="preserve">hacking the seams</w:t>
      </w:r>
      <w:r>
        <w:t xml:space="preserve">’</w:t>
      </w:r>
      <w:r>
        <w:t xml:space="preserve"> </w:t>
      </w:r>
      <w:r>
        <w:t xml:space="preserve">approach detailed in</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w:t>
      </w:r>
    </w:p>
    <w:bookmarkEnd w:id="39"/>
    <w:bookmarkEnd w:id="40"/>
    <w:bookmarkStart w:id="41" w:name="appendix-e"/>
    <w:p>
      <w:pPr>
        <w:pStyle w:val="Heading1"/>
      </w:pPr>
      <w:r>
        <w:t xml:space="preserve">Appendix E: Ethics Approvals</w:t>
      </w:r>
    </w:p>
    <w:bookmarkEnd w:id="41"/>
    <w:bookmarkStart w:id="46" w:name="appendix-f"/>
    <w:p>
      <w:pPr>
        <w:pStyle w:val="Heading1"/>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5" w:name="figure-F.1"/>
      <w:r>
        <w:drawing>
          <wp:inline>
            <wp:extent cx="5334000" cy="5124097"/>
            <wp:effectExtent b="0" l="0" r="0" t="0"/>
            <wp:docPr descr="Figure F.1: Private Data Viewing Monitor with Viewing Glasses" title="" id="43" name="Picture"/>
            <a:graphic>
              <a:graphicData uri="http://schemas.openxmlformats.org/drawingml/2006/picture">
                <pic:pic>
                  <pic:nvPicPr>
                    <pic:cNvPr descr="./src/figs/figF.1-private-viewing-monitor.jpg" id="44" name="Picture"/>
                    <pic:cNvPicPr>
                      <a:picLocks noChangeArrowheads="1" noChangeAspect="1"/>
                    </pic:cNvPicPr>
                  </pic:nvPicPr>
                  <pic:blipFill>
                    <a:blip r:embed="rId42"/>
                    <a:stretch>
                      <a:fillRect/>
                    </a:stretch>
                  </pic:blipFill>
                  <pic:spPr bwMode="auto">
                    <a:xfrm>
                      <a:off x="0" y="0"/>
                      <a:ext cx="5334000" cy="5124097"/>
                    </a:xfrm>
                    <a:prstGeom prst="rect">
                      <a:avLst/>
                    </a:prstGeom>
                    <a:noFill/>
                    <a:ln w="9525">
                      <a:noFill/>
                      <a:headEnd/>
                      <a:tailEnd/>
                    </a:ln>
                  </pic:spPr>
                </pic:pic>
              </a:graphicData>
            </a:graphic>
          </wp:inline>
        </w:drawing>
      </w:r>
      <w:bookmarkEnd w:id="45"/>
    </w:p>
    <w:p>
      <w:pPr>
        <w:pStyle w:val="ImageCaption"/>
      </w:pPr>
      <w:r>
        <w:t xml:space="preserve">Figure F.1: Private Data Viewing Monitor with Viewing Glasses</w:t>
      </w:r>
    </w:p>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 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 (HDR)</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 Making (LDM)</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3">
        <w:r>
          <w:rPr>
            <w:rStyle w:val="Hyperlink"/>
          </w:rPr>
          <w:t xml:space="preserve">13</w:t>
        </w:r>
      </w:hyperlink>
      <w:r>
        <w:t xml:space="preserve"> </w:t>
      </w:r>
      <w:r>
        <w:t xml:space="preserve">(as distinct from Usability) -</w:t>
      </w:r>
      <w:r>
        <w:t xml:space="preserve"> </w:t>
      </w:r>
      <w:hyperlink w:anchor="want-d3">
        <w:r>
          <w:rPr>
            <w:rStyle w:val="Hyperlink"/>
          </w:rPr>
          <w:t xml:space="preserve">6.1.3</w:t>
        </w:r>
      </w:hyperlink>
      <w:r>
        <w:t xml:space="preserve">]</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Magical</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[[ADD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r>
        <w:pict>
          <v:rect style="width:0;height:1.5pt" o:hralign="center" o:hrstd="t" o:hr="t"/>
        </w:pict>
      </w:r>
    </w:p>
    <w:bookmarkEnd w:id="54"/>
    <w:bookmarkStart w:id="78" w:name="bibliography"/>
    <w:p>
      <w:pPr>
        <w:pStyle w:val="Heading1"/>
      </w:pPr>
      <w:r>
        <w:t xml:space="preserve">Bibliography</w:t>
      </w:r>
    </w:p>
    <w:bookmarkStart w:id="77" w:name="refs"/>
    <w:bookmarkStart w:id="56"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5">
        <w:r>
          <w:rPr>
            <w:rStyle w:val="Hyperlink"/>
          </w:rPr>
          <w:t xml:space="preserve">10.1145/2670528</w:t>
        </w:r>
      </w:hyperlink>
      <w:r>
        <w:t xml:space="preserve">.</w:t>
      </w:r>
    </w:p>
    <w:bookmarkEnd w:id="56"/>
    <w:bookmarkStart w:id="58"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7">
        <w:r>
          <w:rPr>
            <w:rStyle w:val="Hyperlink"/>
          </w:rPr>
          <w:t xml:space="preserve">https://inrupt.com/solid/</w:t>
        </w:r>
      </w:hyperlink>
      <w:r>
        <w:t xml:space="preserve">.</w:t>
      </w:r>
    </w:p>
    <w:bookmarkEnd w:id="58"/>
    <w:bookmarkStart w:id="60"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59">
        <w:r>
          <w:rPr>
            <w:rStyle w:val="Hyperlink"/>
          </w:rPr>
          <w:t xml:space="preserve">https://eprints.ncl.ac.uk/273825</w:t>
        </w:r>
      </w:hyperlink>
      <w:r>
        <w:t xml:space="preserve">.</w:t>
      </w:r>
    </w:p>
    <w:bookmarkEnd w:id="60"/>
    <w:bookmarkStart w:id="6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1">
        <w:r>
          <w:rPr>
            <w:rStyle w:val="Hyperlink"/>
          </w:rPr>
          <w:t xml:space="preserve">10.5281/zenodo.6554177</w:t>
        </w:r>
      </w:hyperlink>
      <w:r>
        <w:t xml:space="preserve">.</w:t>
      </w:r>
    </w:p>
    <w:bookmarkEnd w:id="62"/>
    <w:bookmarkStart w:id="6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3"/>
    <w:bookmarkStart w:id="6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4">
        <w:r>
          <w:rPr>
            <w:rStyle w:val="Hyperlink"/>
          </w:rPr>
          <w:t xml:space="preserve">10.1191/1478088706qp063oa</w:t>
        </w:r>
      </w:hyperlink>
      <w:r>
        <w:t xml:space="preserve">.</w:t>
      </w:r>
    </w:p>
    <w:bookmarkEnd w:id="65"/>
    <w:bookmarkStart w:id="67" w:name="ref-quirkos2013"/>
    <w:p>
      <w:pPr>
        <w:pStyle w:val="Bibliography"/>
      </w:pPr>
      <w:r>
        <w:t xml:space="preserve">Daniel Turner (2014)</w:t>
      </w:r>
      <w:r>
        <w:t xml:space="preserve"> </w:t>
      </w:r>
      <w:r>
        <w:t xml:space="preserve">‘Quirkos cloud’</w:t>
      </w:r>
      <w:r>
        <w:t xml:space="preserve">. Available at:</w:t>
      </w:r>
      <w:r>
        <w:t xml:space="preserve"> </w:t>
      </w:r>
      <w:hyperlink r:id="rId66">
        <w:r>
          <w:rPr>
            <w:rStyle w:val="Hyperlink"/>
          </w:rPr>
          <w:t xml:space="preserve">https://www.quirkos.com/learn-qualitative/features.html</w:t>
        </w:r>
      </w:hyperlink>
      <w:r>
        <w:t xml:space="preserve">.</w:t>
      </w:r>
    </w:p>
    <w:bookmarkEnd w:id="67"/>
    <w:bookmarkStart w:id="6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68"/>
    <w:bookmarkStart w:id="6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69"/>
    <w:bookmarkStart w:id="71"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70">
        <w:r>
          <w:rPr>
            <w:rStyle w:val="Hyperlink"/>
          </w:rPr>
          <w:t xml:space="preserve">https://www.sitra.fi/en/publications/tracking-digipower/</w:t>
        </w:r>
      </w:hyperlink>
      <w:r>
        <w:t xml:space="preserve">.</w:t>
      </w:r>
    </w:p>
    <w:bookmarkEnd w:id="71"/>
    <w:bookmarkStart w:id="72"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72"/>
    <w:bookmarkStart w:id="7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73">
        <w:r>
          <w:rPr>
            <w:rStyle w:val="Hyperlink"/>
          </w:rPr>
          <w:t xml:space="preserve">10.5281/zenodo.6554155</w:t>
        </w:r>
      </w:hyperlink>
      <w:r>
        <w:t xml:space="preserve">.</w:t>
      </w:r>
    </w:p>
    <w:bookmarkEnd w:id="74"/>
    <w:bookmarkStart w:id="76" w:name="ref-workflowy2010"/>
    <w:p>
      <w:pPr>
        <w:pStyle w:val="Bibliography"/>
      </w:pPr>
      <w:r>
        <w:t xml:space="preserve">Turitzin, M. and Patel, J. (2010)</w:t>
      </w:r>
      <w:r>
        <w:t xml:space="preserve"> </w:t>
      </w:r>
      <w:r>
        <w:t xml:space="preserve">‘Workflowy’</w:t>
      </w:r>
      <w:r>
        <w:t xml:space="preserve">. Available at:</w:t>
      </w:r>
      <w:r>
        <w:t xml:space="preserve"> </w:t>
      </w:r>
      <w:hyperlink r:id="rId75">
        <w:r>
          <w:rPr>
            <w:rStyle w:val="Hyperlink"/>
          </w:rPr>
          <w:t xml:space="preserve">https://www.workflowy.com/features/</w:t>
        </w:r>
      </w:hyperlink>
      <w:r>
        <w:t xml:space="preserve">.</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2" Target="media/rId42.jpg" /><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2022-08-16T16:37:09Z</dcterms:created>
  <dcterms:modified xsi:type="dcterms:W3CDTF">2022-08-16T16:37:09Z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