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Published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13 pages.</w:t>
      </w:r>
    </w:p>
    <w:bookmarkEnd w:id="20"/>
    <w:bookmarkStart w:id="21" w:name="appendix-b"/>
    <w:p>
      <w:pPr>
        <w:pStyle w:val="Heading2"/>
      </w:pPr>
      <w:r>
        <w:t xml:space="preserve">B Ethics Approvals</w:t>
      </w:r>
    </w:p>
    <w:p>
      <w:pPr>
        <w:pStyle w:val="FirstParagraph"/>
      </w:pPr>
      <w:r>
        <w:t xml:space="preserve">The following 8 pages include three different ethical approvals</w:t>
      </w:r>
    </w:p>
    <w:p>
      <w:pPr>
        <w:pStyle w:val="BodyText"/>
      </w:pPr>
      <w:r>
        <w:t xml:space="preserve">– the original ethics approval focused on Case Study One,</w:t>
      </w:r>
      <w:r>
        <w:t xml:space="preserve"> </w:t>
      </w:r>
      <w:r>
        <w:t xml:space="preserve">- the original ethics approval for Case Study Two, and</w:t>
      </w:r>
      <w:r>
        <w:t xml:space="preserve"> </w:t>
      </w:r>
      <w:r>
        <w:t xml:space="preserve">- the ethics-reapproval of Case Study Two for COVID-19 mitigations.</w:t>
      </w:r>
    </w:p>
    <w:bookmarkEnd w:id="21"/>
    <w:bookmarkEnd w:id="22"/>
    <w:bookmarkStart w:id="31" w:name="hdr-index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3"/>
        </w:numPr>
        <w:pStyle w:val="Compac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4"/>
        </w:numPr>
        <w:pStyle w:val="Compac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</w:p>
    <w:p>
      <w:pPr>
        <w:numPr>
          <w:ilvl w:val="0"/>
          <w:numId w:val="1004"/>
        </w:numPr>
        <w:pStyle w:val="Compact"/>
      </w:pP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</w:p>
    <w:p>
      <w:pPr>
        <w:numPr>
          <w:ilvl w:val="0"/>
          <w:numId w:val="1004"/>
        </w:numPr>
        <w:pStyle w:val="Compact"/>
      </w:pP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</w:p>
    <w:p>
      <w:pPr>
        <w:numPr>
          <w:ilvl w:val="0"/>
          <w:numId w:val="1004"/>
        </w:numPr>
        <w:pStyle w:val="Compact"/>
      </w:pP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</w:p>
    <w:p>
      <w:pPr>
        <w:numPr>
          <w:ilvl w:val="0"/>
          <w:numId w:val="1004"/>
        </w:numPr>
        <w:pStyle w:val="Compact"/>
      </w:pP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</w:p>
    <w:p>
      <w:pPr>
        <w:numPr>
          <w:ilvl w:val="0"/>
          <w:numId w:val="1004"/>
        </w:numPr>
        <w:pStyle w:val="Compact"/>
      </w:pP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</w:p>
    <w:p>
      <w:pPr>
        <w:numPr>
          <w:ilvl w:val="0"/>
          <w:numId w:val="1004"/>
        </w:numPr>
        <w:pStyle w:val="Compact"/>
      </w:pP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4"/>
        </w:numPr>
        <w:pStyle w:val="Compact"/>
      </w:pP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numPr>
          <w:ilvl w:val="0"/>
          <w:numId w:val="1005"/>
        </w:numPr>
        <w:pStyle w:val="Compac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</w:p>
    <w:p>
      <w:pPr>
        <w:numPr>
          <w:ilvl w:val="0"/>
          <w:numId w:val="1005"/>
        </w:numPr>
        <w:pStyle w:val="Compact"/>
      </w:pP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</w:p>
    <w:p>
      <w:pPr>
        <w:numPr>
          <w:ilvl w:val="0"/>
          <w:numId w:val="1005"/>
        </w:numPr>
        <w:pStyle w:val="Compact"/>
      </w:pP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</w:p>
    <w:p>
      <w:pPr>
        <w:numPr>
          <w:ilvl w:val="0"/>
          <w:numId w:val="1005"/>
        </w:numPr>
        <w:pStyle w:val="Compact"/>
      </w:pP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</w:p>
    <w:p>
      <w:pPr>
        <w:numPr>
          <w:ilvl w:val="0"/>
          <w:numId w:val="1005"/>
        </w:numPr>
        <w:pStyle w:val="Compact"/>
      </w:pP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</w:p>
    <w:p>
      <w:pPr>
        <w:numPr>
          <w:ilvl w:val="0"/>
          <w:numId w:val="1005"/>
        </w:numPr>
        <w:pStyle w:val="Compact"/>
      </w:pP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</w:p>
    <w:p>
      <w:pPr>
        <w:numPr>
          <w:ilvl w:val="0"/>
          <w:numId w:val="1005"/>
        </w:numPr>
        <w:pStyle w:val="Compact"/>
      </w:pP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</w:p>
    <w:p>
      <w:pPr>
        <w:numPr>
          <w:ilvl w:val="0"/>
          <w:numId w:val="1005"/>
        </w:numPr>
        <w:pStyle w:val="Compact"/>
      </w:pP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numPr>
          <w:ilvl w:val="0"/>
          <w:numId w:val="1006"/>
        </w:numPr>
        <w:pStyle w:val="Compac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</w:p>
    <w:p>
      <w:pPr>
        <w:numPr>
          <w:ilvl w:val="0"/>
          <w:numId w:val="1006"/>
        </w:numPr>
        <w:pStyle w:val="Compact"/>
      </w:pP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</w:p>
    <w:p>
      <w:pPr>
        <w:numPr>
          <w:ilvl w:val="0"/>
          <w:numId w:val="1006"/>
        </w:numPr>
        <w:pStyle w:val="Compact"/>
      </w:pP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</w:p>
    <w:p>
      <w:pPr>
        <w:numPr>
          <w:ilvl w:val="0"/>
          <w:numId w:val="1006"/>
        </w:numPr>
        <w:pStyle w:val="Compact"/>
      </w:pP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</w:p>
    <w:p>
      <w:pPr>
        <w:numPr>
          <w:ilvl w:val="0"/>
          <w:numId w:val="1006"/>
        </w:numPr>
        <w:pStyle w:val="Compact"/>
      </w:pP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numPr>
          <w:ilvl w:val="0"/>
          <w:numId w:val="1007"/>
        </w:numPr>
        <w:pStyle w:val="Compac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</w:p>
    <w:p>
      <w:pPr>
        <w:numPr>
          <w:ilvl w:val="0"/>
          <w:numId w:val="1007"/>
        </w:numPr>
        <w:pStyle w:val="Compact"/>
      </w:pP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</w:p>
    <w:p>
      <w:pPr>
        <w:numPr>
          <w:ilvl w:val="0"/>
          <w:numId w:val="1007"/>
        </w:numPr>
        <w:pStyle w:val="Compact"/>
      </w:pP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</w:p>
    <w:p>
      <w:pPr>
        <w:numPr>
          <w:ilvl w:val="0"/>
          <w:numId w:val="1007"/>
        </w:numPr>
        <w:pStyle w:val="Compact"/>
      </w:pP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  <w:r>
        <w:t xml:space="preserve"> </w:t>
      </w:r>
      <w:r>
        <w:t xml:space="preserve">-</w:t>
      </w:r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numPr>
          <w:ilvl w:val="0"/>
          <w:numId w:val="1008"/>
        </w:numPr>
        <w:pStyle w:val="Compact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</w:p>
    <w:p>
      <w:pPr>
        <w:numPr>
          <w:ilvl w:val="0"/>
          <w:numId w:val="1008"/>
        </w:numPr>
        <w:pStyle w:val="Compact"/>
      </w:pP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</w:p>
    <w:p>
      <w:pPr>
        <w:numPr>
          <w:ilvl w:val="0"/>
          <w:numId w:val="1008"/>
        </w:numPr>
        <w:pStyle w:val="Compact"/>
      </w:pP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</w:p>
    <w:p>
      <w:pPr>
        <w:numPr>
          <w:ilvl w:val="0"/>
          <w:numId w:val="1008"/>
        </w:numPr>
        <w:pStyle w:val="Compact"/>
      </w:pP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</w:p>
    <w:p>
      <w:pPr>
        <w:numPr>
          <w:ilvl w:val="0"/>
          <w:numId w:val="1008"/>
        </w:numPr>
        <w:pStyle w:val="Compact"/>
      </w:pP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</w:p>
    <w:p>
      <w:pPr>
        <w:numPr>
          <w:ilvl w:val="0"/>
          <w:numId w:val="1008"/>
        </w:numPr>
        <w:pStyle w:val="Compact"/>
      </w:pP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</w:p>
    <w:p>
      <w:pPr>
        <w:numPr>
          <w:ilvl w:val="0"/>
          <w:numId w:val="1008"/>
        </w:numPr>
        <w:pStyle w:val="Compact"/>
      </w:pP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</w:p>
    <w:p>
      <w:pPr>
        <w:numPr>
          <w:ilvl w:val="0"/>
          <w:numId w:val="1008"/>
        </w:numPr>
        <w:pStyle w:val="Compact"/>
      </w:pP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</w:p>
    <w:p>
      <w:pPr>
        <w:numPr>
          <w:ilvl w:val="0"/>
          <w:numId w:val="1008"/>
        </w:numPr>
        <w:pStyle w:val="Compact"/>
      </w:pP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</w:p>
    <w:p>
      <w:pPr>
        <w:numPr>
          <w:ilvl w:val="0"/>
          <w:numId w:val="1008"/>
        </w:numPr>
        <w:pStyle w:val="Compact"/>
      </w:pP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</w:p>
    <w:p>
      <w:pPr>
        <w:numPr>
          <w:ilvl w:val="0"/>
          <w:numId w:val="1008"/>
        </w:numPr>
        <w:pStyle w:val="Compact"/>
      </w:pP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</w:p>
    <w:p>
      <w:pPr>
        <w:numPr>
          <w:ilvl w:val="0"/>
          <w:numId w:val="1008"/>
        </w:numPr>
        <w:pStyle w:val="Compact"/>
      </w:pP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</w:p>
    <w:p>
      <w:pPr>
        <w:numPr>
          <w:ilvl w:val="0"/>
          <w:numId w:val="1008"/>
        </w:numPr>
        <w:pStyle w:val="Compact"/>
      </w:pP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</w:p>
    <w:p>
      <w:pPr>
        <w:numPr>
          <w:ilvl w:val="0"/>
          <w:numId w:val="1008"/>
        </w:numPr>
        <w:pStyle w:val="Compact"/>
      </w:pP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 **</w:t>
      </w:r>
      <w:hyperlink w:anchor="figure-9.23">
        <w:r>
          <w:rPr>
            <w:rStyle w:val="Hyperlink"/>
          </w:rPr>
          <w:t xml:space="preserve">Figure 9.23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</w:p>
    <w:p>
      <w:pPr>
        <w:numPr>
          <w:ilvl w:val="0"/>
          <w:numId w:val="1009"/>
        </w:numPr>
        <w:pStyle w:val="Compact"/>
      </w:pPr>
      <w:r>
        <w:t xml:space="preserve">**Trust -</w:t>
      </w:r>
      <w:r>
        <w:t xml:space="preserve"> </w:t>
      </w:r>
      <w:hyperlink w:anchor="Xbab51b354b67876c6284de28df0e549940fb873">
        <w:r>
          <w:rPr>
            <w:rStyle w:val="Hyperlink"/>
          </w:rPr>
          <w:t xml:space="preserve">4.3.4</w:t>
        </w:r>
      </w:hyperlink>
      <w:r>
        <w:t xml:space="preserve">,</w:t>
      </w:r>
      <w:r>
        <w:t xml:space="preserve"> </w:t>
      </w:r>
      <w:hyperlink w:anchor="X1cbcb0941f4181aab74224b7105fd44cb905d42">
        <w:r>
          <w:rPr>
            <w:rStyle w:val="Hyperlink"/>
          </w:rPr>
          <w:t xml:space="preserve">4.4.1</w:t>
        </w:r>
      </w:hyperlink>
      <w:r>
        <w:t xml:space="preserve">,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,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  <w:r>
        <w:t xml:space="preserve">,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t xml:space="preserve">This section serves as a quick-reference glossary to explain abbreviations and existing terms used.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- Open Lab, where I studied this PhD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- harnessing of one’s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- upon it, setting goals and tracking progress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- usage and data access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- broadcast advertising to find customers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2022-08-25T13:29:32Z</dcterms:created>
  <dcterms:modified xsi:type="dcterms:W3CDTF">2022-08-25T13:29:32Z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