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Published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13 pages.</w:t>
      </w:r>
    </w:p>
    <w:bookmarkEnd w:id="20"/>
    <w:bookmarkStart w:id="21" w:name="appendix-b"/>
    <w:p>
      <w:pPr>
        <w:pStyle w:val="Heading2"/>
      </w:pPr>
      <w:r>
        <w:t xml:space="preserve">B Ethics Approvals</w:t>
      </w:r>
    </w:p>
    <w:p>
      <w:pPr>
        <w:pStyle w:val="FirstParagraph"/>
      </w:pPr>
      <w:r>
        <w:t xml:space="preserve">The following 8 pages include three different ethical approvals:</w:t>
      </w:r>
    </w:p>
    <w:p>
      <w:pPr>
        <w:pStyle w:val="BodyText"/>
      </w:pPr>
      <w:r>
        <w:t xml:space="preserve">– the original ethics approval focused on Case Study One,</w:t>
      </w:r>
      <w:r>
        <w:t xml:space="preserve"> </w:t>
      </w:r>
      <w:r>
        <w:t xml:space="preserve">- the original ethics approval for Case Study Two, and</w:t>
      </w:r>
      <w:r>
        <w:t xml:space="preserve"> </w:t>
      </w:r>
      <w:r>
        <w:t xml:space="preserve">- the ethics-reapproval of Case Study Two for COVID-19 mitigations.</w:t>
      </w:r>
    </w:p>
    <w:bookmarkEnd w:id="21"/>
    <w:bookmarkEnd w:id="22"/>
    <w:bookmarkStart w:id="31" w:name="hdr-index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an index to easily locate key HDR-related concepts, ideas and contributions that this thesis contains.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d8b45c5920a4ae6b8956c42dcd24c7e655d0317">
        <w:r>
          <w:rPr>
            <w:rStyle w:val="Hyperlink"/>
          </w:rPr>
          <w:t xml:space="preserve">7.5</w:t>
        </w:r>
      </w:hyperlink>
      <w:r>
        <w:t xml:space="preserve">. Their obstacles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], and their opportunities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 </w:t>
      </w:r>
      <w:r>
        <w:t xml:space="preserve">and in</w:t>
      </w:r>
      <w:r>
        <w:t xml:space="preserve"> </w:t>
      </w:r>
      <w:hyperlink w:anchor="Xd679968a7da96b70d4b4612e43ae2e670bb068a">
        <w:r>
          <w:rPr>
            <w:rStyle w:val="Hyperlink"/>
          </w:rPr>
          <w:t xml:space="preserve">10.1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2 - Data Useability</w:t>
      </w:r>
      <w:hyperlink w:anchor="fn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4"/>
        </w:numPr>
        <w:pStyle w:val="Compac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</w:p>
    <w:p>
      <w:pPr>
        <w:numPr>
          <w:ilvl w:val="0"/>
          <w:numId w:val="1004"/>
        </w:numPr>
        <w:pStyle w:val="Compact"/>
      </w:pP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</w:p>
    <w:p>
      <w:pPr>
        <w:numPr>
          <w:ilvl w:val="0"/>
          <w:numId w:val="1004"/>
        </w:numPr>
        <w:pStyle w:val="Compact"/>
      </w:pP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</w:p>
    <w:p>
      <w:pPr>
        <w:numPr>
          <w:ilvl w:val="0"/>
          <w:numId w:val="1004"/>
        </w:numPr>
        <w:pStyle w:val="Compact"/>
      </w:pP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</w:p>
    <w:p>
      <w:pPr>
        <w:numPr>
          <w:ilvl w:val="0"/>
          <w:numId w:val="1004"/>
        </w:numPr>
        <w:pStyle w:val="Compact"/>
      </w:pP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</w:p>
    <w:p>
      <w:pPr>
        <w:numPr>
          <w:ilvl w:val="0"/>
          <w:numId w:val="1004"/>
        </w:numPr>
        <w:pStyle w:val="Compact"/>
      </w:pP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</w:p>
    <w:p>
      <w:pPr>
        <w:numPr>
          <w:ilvl w:val="0"/>
          <w:numId w:val="1004"/>
        </w:numPr>
        <w:pStyle w:val="Compact"/>
      </w:pP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4"/>
        </w:numPr>
        <w:pStyle w:val="Compact"/>
      </w:pP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principles"/>
    <w:p>
      <w:pPr>
        <w:pStyle w:val="Heading3"/>
      </w:pPr>
      <w:r>
        <w:t xml:space="preserve">The HDR Principles for Generative Action</w:t>
      </w:r>
    </w:p>
    <w:p>
      <w:pPr>
        <w:numPr>
          <w:ilvl w:val="0"/>
          <w:numId w:val="1005"/>
        </w:numPr>
        <w:pStyle w:val="Compact"/>
      </w:pPr>
      <w:hyperlink w:anchor="principle-1">
        <w:r>
          <w:rPr>
            <w:rStyle w:val="Hyperlink"/>
          </w:rPr>
          <w:t xml:space="preserve">Principle 1</w:t>
        </w:r>
      </w:hyperlink>
      <w:r>
        <w:t xml:space="preserve"> </w:t>
      </w:r>
      <w:r>
        <w:t xml:space="preserve">- Life Information Makes Data Relatable.</w:t>
      </w:r>
    </w:p>
    <w:p>
      <w:pPr>
        <w:numPr>
          <w:ilvl w:val="0"/>
          <w:numId w:val="1005"/>
        </w:numPr>
        <w:pStyle w:val="Compact"/>
      </w:pPr>
      <w:hyperlink w:anchor="principle-2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- Data Needs to be United and Unified.</w:t>
      </w:r>
    </w:p>
    <w:p>
      <w:pPr>
        <w:numPr>
          <w:ilvl w:val="0"/>
          <w:numId w:val="1005"/>
        </w:numPr>
        <w:pStyle w:val="Compact"/>
      </w:pPr>
      <w:hyperlink w:anchor="principle-3">
        <w:r>
          <w:rPr>
            <w:rStyle w:val="Hyperlink"/>
          </w:rPr>
          <w:t xml:space="preserve">Principle 3</w:t>
        </w:r>
      </w:hyperlink>
      <w:r>
        <w:t xml:space="preserve"> </w:t>
      </w:r>
      <w:r>
        <w:t xml:space="preserve">- Data Must be Transformed into a Versatile Material.</w:t>
      </w:r>
    </w:p>
    <w:p>
      <w:pPr>
        <w:numPr>
          <w:ilvl w:val="0"/>
          <w:numId w:val="1005"/>
        </w:numPr>
        <w:pStyle w:val="Compact"/>
      </w:pPr>
      <w:hyperlink w:anchor="principle-4">
        <w:r>
          <w:rPr>
            <w:rStyle w:val="Hyperlink"/>
          </w:rPr>
          <w:t xml:space="preserve">Principle 4</w:t>
        </w:r>
      </w:hyperlink>
      <w:r>
        <w:t xml:space="preserve"> </w:t>
      </w:r>
      <w:r>
        <w:t xml:space="preserve">- Ecosystem Information is an Antidote to Digital Life Complexity.</w:t>
      </w:r>
    </w:p>
    <w:p>
      <w:pPr>
        <w:numPr>
          <w:ilvl w:val="0"/>
          <w:numId w:val="1005"/>
        </w:numPr>
        <w:pStyle w:val="Compact"/>
      </w:pPr>
      <w:hyperlink w:anchor="principle-5">
        <w:r>
          <w:rPr>
            <w:rStyle w:val="Hyperlink"/>
          </w:rPr>
          <w:t xml:space="preserve">Principle 5</w:t>
        </w:r>
      </w:hyperlink>
      <w:r>
        <w:t xml:space="preserve"> </w:t>
      </w:r>
      <w:r>
        <w:t xml:space="preserve">- We Must Know Data’s Provenance.</w:t>
      </w:r>
    </w:p>
    <w:p>
      <w:pPr>
        <w:numPr>
          <w:ilvl w:val="0"/>
          <w:numId w:val="1005"/>
        </w:numPr>
        <w:pStyle w:val="Compact"/>
      </w:pPr>
      <w:hyperlink w:anchor="principle-6">
        <w:r>
          <w:rPr>
            <w:rStyle w:val="Hyperlink"/>
          </w:rPr>
          <w:t xml:space="preserve">Principle 6</w:t>
        </w:r>
      </w:hyperlink>
      <w:r>
        <w:t xml:space="preserve"> </w:t>
      </w:r>
      <w:r>
        <w:t xml:space="preserve">- Data Holders use Four Levers of Infrastructural Power.</w:t>
      </w:r>
    </w:p>
    <w:p>
      <w:pPr>
        <w:numPr>
          <w:ilvl w:val="0"/>
          <w:numId w:val="1005"/>
        </w:numPr>
        <w:pStyle w:val="Compact"/>
      </w:pPr>
      <w:hyperlink w:anchor="principle-7">
        <w:r>
          <w:rPr>
            <w:rStyle w:val="Hyperlink"/>
          </w:rPr>
          <w:t xml:space="preserve">Principle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</w:p>
    <w:p>
      <w:pPr>
        <w:numPr>
          <w:ilvl w:val="0"/>
          <w:numId w:val="1005"/>
        </w:numPr>
        <w:pStyle w:val="Compact"/>
      </w:pPr>
      <w:hyperlink w:anchor="principle-8">
        <w:r>
          <w:rPr>
            <w:rStyle w:val="Hyperlink"/>
          </w:rPr>
          <w:t xml:space="preserve">Principle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numPr>
          <w:ilvl w:val="0"/>
          <w:numId w:val="1005"/>
        </w:numPr>
        <w:pStyle w:val="Compact"/>
      </w:pPr>
      <w:hyperlink w:anchor="principle-9">
        <w:r>
          <w:rPr>
            <w:rStyle w:val="Hyperlink"/>
          </w:rPr>
          <w:t xml:space="preserve">Principle 9</w:t>
        </w:r>
      </w:hyperlink>
      <w:r>
        <w:t xml:space="preserve"> </w:t>
      </w:r>
      <w:r>
        <w:t xml:space="preserve">- Individual GDPR Requests can Compel Companies to Change Data Practices.</w:t>
      </w:r>
    </w:p>
    <w:p>
      <w:pPr>
        <w:numPr>
          <w:ilvl w:val="0"/>
          <w:numId w:val="1005"/>
        </w:numPr>
        <w:pStyle w:val="Compact"/>
      </w:pPr>
      <w:hyperlink w:anchor="principle-10">
        <w:r>
          <w:rPr>
            <w:rStyle w:val="Hyperlink"/>
          </w:rPr>
          <w:t xml:space="preserve">Principle 10</w:t>
        </w:r>
      </w:hyperlink>
      <w:r>
        <w:t xml:space="preserve"> </w:t>
      </w:r>
      <w:r>
        <w:t xml:space="preserve">- Collectives can Compare and Unify their Data and Use it to Demand Change.</w:t>
      </w:r>
    </w:p>
    <w:p>
      <w:pPr>
        <w:numPr>
          <w:ilvl w:val="0"/>
          <w:numId w:val="1005"/>
        </w:numPr>
        <w:pStyle w:val="Compact"/>
      </w:pPr>
      <w:hyperlink w:anchor="principle-11">
        <w:r>
          <w:rPr>
            <w:rStyle w:val="Hyperlink"/>
          </w:rPr>
          <w:t xml:space="preserve">Principle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</w:p>
    <w:p>
      <w:pPr>
        <w:numPr>
          <w:ilvl w:val="0"/>
          <w:numId w:val="1005"/>
        </w:numPr>
        <w:pStyle w:val="Compact"/>
      </w:pPr>
      <w:hyperlink w:anchor="principle-12">
        <w:r>
          <w:rPr>
            <w:rStyle w:val="Hyperlink"/>
          </w:rPr>
          <w:t xml:space="preserve">Principle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</w:p>
    <w:p>
      <w:pPr>
        <w:numPr>
          <w:ilvl w:val="0"/>
          <w:numId w:val="1005"/>
        </w:numPr>
        <w:pStyle w:val="Compact"/>
      </w:pPr>
      <w:hyperlink w:anchor="principle-13">
        <w:r>
          <w:rPr>
            <w:rStyle w:val="Hyperlink"/>
          </w:rPr>
          <w:t xml:space="preserve">Principle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457f13b2cf6244878be679f6846a5d8453015f8">
        <w:r>
          <w:rPr>
            <w:rStyle w:val="Hyperlink"/>
          </w:rPr>
          <w:t xml:space="preserve">9.7</w:t>
        </w:r>
      </w:hyperlink>
      <w:r>
        <w:t xml:space="preserve">, and explained and illustrated as follows:</w:t>
      </w:r>
    </w:p>
    <w:p>
      <w:pPr>
        <w:numPr>
          <w:ilvl w:val="0"/>
          <w:numId w:val="1006"/>
        </w:numPr>
        <w:pStyle w:val="Compact"/>
      </w:pPr>
      <w:hyperlink w:anchor="X1f7a3a299f62225cba076fc6d3d6e677f303482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</w:p>
    <w:p>
      <w:pPr>
        <w:numPr>
          <w:ilvl w:val="0"/>
          <w:numId w:val="1006"/>
        </w:numPr>
        <w:pStyle w:val="Compact"/>
      </w:pPr>
      <w:hyperlink w:anchor="X84473f470864e067ee3a22e64b47b0a1c356f29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</w:p>
    <w:p>
      <w:pPr>
        <w:numPr>
          <w:ilvl w:val="0"/>
          <w:numId w:val="1006"/>
        </w:numPr>
        <w:pStyle w:val="Compact"/>
      </w:pPr>
      <w:hyperlink w:anchor="X6d06bb31b570b94d7b4325f511f853dbe771c21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18">
        <w:r>
          <w:rPr>
            <w:rStyle w:val="Hyperlink"/>
          </w:rPr>
          <w:t xml:space="preserve">Figure 9.18</w:t>
        </w:r>
      </w:hyperlink>
    </w:p>
    <w:p>
      <w:pPr>
        <w:numPr>
          <w:ilvl w:val="0"/>
          <w:numId w:val="1006"/>
        </w:numPr>
        <w:pStyle w:val="Compact"/>
      </w:pPr>
      <w:hyperlink w:anchor="X5b7e6d36dc0113f61b36c700817d42b96f7b037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</w:t>
      </w:r>
      <w:r>
        <w:t xml:space="preserve"> </w:t>
      </w:r>
      <w:hyperlink w:anchor="figure-9.20">
        <w:r>
          <w:rPr>
            <w:rStyle w:val="Hyperlink"/>
          </w:rPr>
          <w:t xml:space="preserve">Figure 9.20</w:t>
        </w:r>
      </w:hyperlink>
    </w:p>
    <w:bookmarkEnd w:id="27"/>
    <w:bookmarkStart w:id="28" w:name="hdr-glossary-contributions"/>
    <w:p>
      <w:pPr>
        <w:pStyle w:val="Heading3"/>
      </w:pPr>
      <w:r>
        <w:t xml:space="preserve">Thesis Contributions</w:t>
      </w:r>
    </w:p>
    <w:p>
      <w:pPr>
        <w:pStyle w:val="FirstParagraph"/>
      </w:pPr>
      <w:r>
        <w:rPr>
          <w:bCs/>
          <w:b/>
        </w:rPr>
        <w:t xml:space="preserve">An Understanding of what People want from Personal Data</w:t>
      </w:r>
    </w:p>
    <w:p>
      <w:pPr>
        <w:numPr>
          <w:ilvl w:val="0"/>
          <w:numId w:val="1007"/>
        </w:numPr>
        <w:pStyle w:val="Compact"/>
      </w:pPr>
      <w:hyperlink w:anchor="X8258c05de79d267cff0777b650c09dd0e24396f">
        <w:r>
          <w:rPr>
            <w:rStyle w:val="Hyperlink"/>
          </w:rPr>
          <w:t xml:space="preserve">6.1</w:t>
        </w:r>
      </w:hyperlink>
      <w:r>
        <w:t xml:space="preserve"> </w:t>
      </w:r>
      <w:r>
        <w:t xml:space="preserve">- An understanding of What People Want in Direct Data Relations</w:t>
      </w:r>
    </w:p>
    <w:p>
      <w:pPr>
        <w:numPr>
          <w:ilvl w:val="0"/>
          <w:numId w:val="1007"/>
        </w:numPr>
        <w:pStyle w:val="Compact"/>
      </w:pPr>
      <w:hyperlink w:anchor="X86a6a7bbe6a4ae5c1502558f013f6ed6b9ae6f2">
        <w:r>
          <w:rPr>
            <w:rStyle w:val="Hyperlink"/>
          </w:rPr>
          <w:t xml:space="preserve">6.2</w:t>
        </w:r>
      </w:hyperlink>
      <w:r>
        <w:t xml:space="preserve"> </w:t>
      </w:r>
      <w:r>
        <w:t xml:space="preserve">- An Understanding of What People Want in Indirect Data Relations</w:t>
      </w:r>
    </w:p>
    <w:p>
      <w:pPr>
        <w:numPr>
          <w:ilvl w:val="0"/>
          <w:numId w:val="1007"/>
        </w:numPr>
        <w:pStyle w:val="Compact"/>
      </w:pPr>
      <w:hyperlink w:anchor="X4dcef061335413abfdb9c1ca0b391b7bf178b90">
        <w:r>
          <w:rPr>
            <w:rStyle w:val="Hyperlink"/>
          </w:rPr>
          <w:t xml:space="preserve">1.2.1</w:t>
        </w:r>
      </w:hyperlink>
      <w:r>
        <w:t xml:space="preserve"> </w:t>
      </w:r>
      <w:r>
        <w:t xml:space="preserve">and</w:t>
      </w:r>
      <w:r>
        <w:t xml:space="preserve"> </w:t>
      </w:r>
      <w:hyperlink w:anchor="figure-4.1">
        <w:r>
          <w:rPr>
            <w:rStyle w:val="Hyperlink"/>
          </w:rPr>
          <w:t xml:space="preserve">Figure 4.1</w:t>
        </w:r>
      </w:hyperlink>
      <w:r>
        <w:t xml:space="preserve"> </w:t>
      </w:r>
      <w:r>
        <w:t xml:space="preserve">- Enumeration of supported families’ and support workers attitudes and needs around civic data</w:t>
      </w:r>
    </w:p>
    <w:p>
      <w:pPr>
        <w:numPr>
          <w:ilvl w:val="0"/>
          <w:numId w:val="1007"/>
        </w:numPr>
        <w:pStyle w:val="Compact"/>
      </w:pPr>
      <w:hyperlink w:anchor="X4dcef061335413abfdb9c1ca0b391b7bf178b90">
        <w:r>
          <w:rPr>
            <w:rStyle w:val="Hyperlink"/>
          </w:rPr>
          <w:t xml:space="preserve">1.2.1</w:t>
        </w:r>
      </w:hyperlink>
      <w:r>
        <w:t xml:space="preserve"> </w:t>
      </w:r>
      <w:r>
        <w:t xml:space="preserve">and</w:t>
      </w:r>
      <w:r>
        <w:t xml:space="preserve"> </w:t>
      </w:r>
      <w:hyperlink w:anchor="table-5.4">
        <w:r>
          <w:rPr>
            <w:rStyle w:val="Hyperlink"/>
          </w:rPr>
          <w:t xml:space="preserve">Table 5.4</w:t>
        </w:r>
      </w:hyperlink>
      <w:r>
        <w:t xml:space="preserve"> </w:t>
      </w:r>
      <w:r>
        <w:t xml:space="preserve">- An Understanding of What People Want in Data relations in a commercial / GDPR context</w:t>
      </w:r>
    </w:p>
    <w:p>
      <w:pPr>
        <w:numPr>
          <w:ilvl w:val="0"/>
          <w:numId w:val="1007"/>
        </w:numPr>
        <w:pStyle w:val="Compact"/>
      </w:pPr>
      <w:hyperlink w:anchor="ari-fcd-types">
        <w:r>
          <w:rPr>
            <w:rStyle w:val="Hyperlink"/>
          </w:rPr>
          <w:t xml:space="preserve">ARI4.1</w:t>
        </w:r>
      </w:hyperlink>
      <w:r>
        <w:t xml:space="preserve"> </w:t>
      </w:r>
      <w:r>
        <w:t xml:space="preserve">- A model to understand family civic data</w:t>
      </w:r>
    </w:p>
    <w:p>
      <w:pPr>
        <w:numPr>
          <w:ilvl w:val="0"/>
          <w:numId w:val="1007"/>
        </w:numPr>
        <w:pStyle w:val="Compact"/>
      </w:pPr>
      <w:hyperlink w:anchor="X2902b4cdc2a826d64840aa586dae8f5626e82e7">
        <w:r>
          <w:rPr>
            <w:rStyle w:val="Hyperlink"/>
          </w:rPr>
          <w:t xml:space="preserve">5.4.4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</w:p>
    <w:p>
      <w:pPr>
        <w:numPr>
          <w:ilvl w:val="0"/>
          <w:numId w:val="1007"/>
        </w:numPr>
        <w:pStyle w:val="Compact"/>
      </w:pPr>
      <w:hyperlink w:anchor="table-5.2">
        <w:r>
          <w:rPr>
            <w:rStyle w:val="Hyperlink"/>
          </w:rPr>
          <w:t xml:space="preserve">Table 5.2</w:t>
        </w:r>
      </w:hyperlink>
      <w:r>
        <w:t xml:space="preserve"> </w:t>
      </w:r>
      <w:r>
        <w:t xml:space="preserve">- A model to understand the five different origins of held personal data</w:t>
      </w:r>
    </w:p>
    <w:p>
      <w:pPr>
        <w:pStyle w:val="FirstParagraph"/>
      </w:pPr>
      <w:r>
        <w:rPr>
          <w:bCs/>
          <w:b/>
        </w:rPr>
        <w:t xml:space="preserve">Methodologies for Participatory Work around Personal Data</w:t>
      </w:r>
    </w:p>
    <w:p>
      <w:pPr>
        <w:numPr>
          <w:ilvl w:val="0"/>
          <w:numId w:val="1008"/>
        </w:numPr>
        <w:pStyle w:val="Compact"/>
      </w:pPr>
      <w:hyperlink w:anchor="figure-3.6">
        <w:r>
          <w:rPr>
            <w:rStyle w:val="Hyperlink"/>
          </w:rPr>
          <w:t xml:space="preserve">Figure 3.6</w:t>
        </w:r>
      </w:hyperlink>
      <w:r>
        <w:t xml:space="preserve"> </w:t>
      </w:r>
      <w:r>
        <w:t xml:space="preserve">and [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;</w:t>
      </w:r>
      <w:r>
        <w:t xml:space="preserve"> </w:t>
      </w:r>
      <w:hyperlink w:anchor="appendix-a">
        <w:r>
          <w:rPr>
            <w:rStyle w:val="Hyperlink"/>
          </w:rPr>
          <w:t xml:space="preserve">Appendix A</w:t>
        </w:r>
      </w:hyperlink>
      <w:r>
        <w:t xml:space="preserve">] - Data Cards and Family Design Games</w:t>
      </w:r>
    </w:p>
    <w:p>
      <w:pPr>
        <w:numPr>
          <w:ilvl w:val="0"/>
          <w:numId w:val="1008"/>
        </w:numPr>
        <w:pStyle w:val="Compact"/>
      </w:pPr>
      <w:hyperlink w:anchor="Xda43ddc66ea2368258688e802388e932e83f73e">
        <w:r>
          <w:rPr>
            <w:rStyle w:val="Hyperlink"/>
          </w:rPr>
          <w:t xml:space="preserve">1.2.2</w:t>
        </w:r>
      </w:hyperlink>
      <w:r>
        <w:t xml:space="preserve"> </w:t>
      </w:r>
      <w:r>
        <w:t xml:space="preserve">and</w:t>
      </w:r>
      <w:r>
        <w:t xml:space="preserve"> </w:t>
      </w:r>
      <w:hyperlink w:anchor="ari-4.3">
        <w:r>
          <w:rPr>
            <w:rStyle w:val="Hyperlink"/>
          </w:rPr>
          <w:t xml:space="preserve">ARI4.3</w:t>
        </w:r>
      </w:hyperlink>
      <w:r>
        <w:t xml:space="preserve"> </w:t>
      </w:r>
      <w:r>
        <w:t xml:space="preserve">- Storyboarding Action Cards</w:t>
      </w:r>
    </w:p>
    <w:p>
      <w:pPr>
        <w:numPr>
          <w:ilvl w:val="0"/>
          <w:numId w:val="1008"/>
        </w:numPr>
        <w:pStyle w:val="Compact"/>
      </w:pPr>
      <w:hyperlink w:anchor="Xa99f9ee25995f984c5e6c79172400eaf52edbaa">
        <w:r>
          <w:rPr>
            <w:rStyle w:val="Hyperlink"/>
          </w:rPr>
          <w:t xml:space="preserve">5.2.2</w:t>
        </w:r>
      </w:hyperlink>
      <w:r>
        <w:t xml:space="preserve"> </w:t>
      </w:r>
      <w:r>
        <w:t xml:space="preserve">- A Methodology for Qualitative Interviews that Explore a User’s Personal Data (and see also the digipower report</w:t>
      </w:r>
      <w:r>
        <w:t xml:space="preserve"> </w:t>
      </w:r>
      <w:r>
        <w:t xml:space="preserve">(</w:t>
      </w:r>
      <w:hyperlink w:anchor="ref-bowyer2022hestia">
        <w:r>
          <w:rPr>
            <w:rStyle w:val="Hyperlink"/>
          </w:rPr>
          <w:t xml:space="preserve">Bowyer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et al.</w:t>
        </w:r>
        <w:r>
          <w:rPr>
            <w:rStyle w:val="Hyperlink"/>
          </w:rPr>
          <w:t xml:space="preserve">, 2022</w:t>
        </w:r>
      </w:hyperlink>
      <w:r>
        <w:t xml:space="preserve">)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Best Practices and Design Guidelines for Systems and Processes involving Personal Data</w:t>
      </w:r>
    </w:p>
    <w:p>
      <w:pPr>
        <w:numPr>
          <w:ilvl w:val="0"/>
          <w:numId w:val="1009"/>
        </w:numPr>
        <w:pStyle w:val="Compact"/>
      </w:pPr>
      <w:hyperlink w:anchor="Xbab51b354b67876c6284de28df0e549940fb873">
        <w:r>
          <w:rPr>
            <w:rStyle w:val="Hyperlink"/>
          </w:rPr>
          <w:t xml:space="preserve">4.3.4</w:t>
        </w:r>
      </w:hyperlink>
      <w:r>
        <w:t xml:space="preserve"> </w:t>
      </w:r>
      <w:r>
        <w:t xml:space="preserve">and</w:t>
      </w:r>
      <w:r>
        <w:t xml:space="preserve"> </w:t>
      </w:r>
      <w:hyperlink w:anchor="Xb8938636fe209df72afeee0da7ccac88ff1f5b9">
        <w:r>
          <w:rPr>
            <w:rStyle w:val="Hyperlink"/>
          </w:rPr>
          <w:t xml:space="preserve">4.5.3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</w:p>
    <w:p>
      <w:pPr>
        <w:numPr>
          <w:ilvl w:val="0"/>
          <w:numId w:val="1009"/>
        </w:numPr>
        <w:pStyle w:val="Compact"/>
      </w:pPr>
      <w:hyperlink w:anchor="X2246273db175b4d951c8ae09a9b87d55b422463">
        <w:r>
          <w:rPr>
            <w:rStyle w:val="Hyperlink"/>
          </w:rPr>
          <w:t xml:space="preserve">5.6</w:t>
        </w:r>
      </w:hyperlink>
      <w:r>
        <w:t xml:space="preserve"> </w:t>
      </w:r>
      <w:r>
        <w:t xml:space="preserve">- Recommendations for Policymakers, Service Providers and Individuals on Data Use</w:t>
      </w:r>
    </w:p>
    <w:p>
      <w:pPr>
        <w:numPr>
          <w:ilvl w:val="0"/>
          <w:numId w:val="1009"/>
        </w:numPr>
        <w:pStyle w:val="Compact"/>
      </w:pPr>
      <w:hyperlink w:anchor="Xf9f33482da53ff8cae20b0359720e365ffcc25c">
        <w:r>
          <w:rPr>
            <w:rStyle w:val="Hyperlink"/>
          </w:rPr>
          <w:t xml:space="preserve">1.2.3</w:t>
        </w:r>
      </w:hyperlink>
      <w:r>
        <w:t xml:space="preserve"> </w:t>
      </w:r>
      <w:r>
        <w:t xml:space="preserve">and</w:t>
      </w:r>
      <w:r>
        <w:t xml:space="preserve"> </w:t>
      </w:r>
      <w:hyperlink w:anchor="X43e9993d763761df3960c67ee4532381f46fe67">
        <w:r>
          <w:rPr>
            <w:rStyle w:val="Hyperlink"/>
          </w:rPr>
          <w:t xml:space="preserve">9.6.1</w:t>
        </w:r>
      </w:hyperlink>
      <w:r>
        <w:t xml:space="preserve"> </w:t>
      </w:r>
      <w:r>
        <w:t xml:space="preserve">- A Reframing of Data Literacy for the Sociotechnical Context</w:t>
      </w:r>
    </w:p>
    <w:p>
      <w:pPr>
        <w:pStyle w:val="FirstParagraph"/>
      </w:pPr>
      <w:r>
        <w:rPr>
          <w:bCs/>
          <w:b/>
        </w:rPr>
        <w:t xml:space="preserve">Principles for Generative Action towards Better Data Relations</w:t>
      </w:r>
    </w:p>
    <w:p>
      <w:pPr>
        <w:pStyle w:val="BodyText"/>
      </w:pPr>
      <w:r>
        <w:t xml:space="preserve">See</w:t>
      </w:r>
      <w:r>
        <w:t xml:space="preserve"> </w:t>
      </w:r>
      <w:hyperlink w:anchor="hdr-glossary-principles">
        <w:r>
          <w:rPr>
            <w:rStyle w:val="Hyperlink"/>
          </w:rPr>
          <w:t xml:space="preserve">above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 Detailed and Actionable Research Agenda and Strategy for Empowerment and Systemic Change</w:t>
      </w:r>
    </w:p>
    <w:p>
      <w:pPr>
        <w:numPr>
          <w:ilvl w:val="0"/>
          <w:numId w:val="1010"/>
        </w:numPr>
        <w:pStyle w:val="Compact"/>
      </w:pPr>
      <w:hyperlink w:anchor="chapter-7">
        <w:r>
          <w:rPr>
            <w:rStyle w:val="Hyperlink"/>
          </w:rPr>
          <w:t xml:space="preserve">Chapter 7</w:t>
        </w:r>
      </w:hyperlink>
      <w:r>
        <w:t xml:space="preserve"> </w:t>
      </w:r>
      <w:r>
        <w:t xml:space="preserve">- The Synthesis and Formulation of the Research Agenda of Human Data Relations (HDR)</w:t>
      </w:r>
    </w:p>
    <w:p>
      <w:pPr>
        <w:numPr>
          <w:ilvl w:val="0"/>
          <w:numId w:val="1010"/>
        </w:numPr>
        <w:pStyle w:val="Compact"/>
      </w:pPr>
      <w:hyperlink w:anchor="X40141584308035bb03b454584dbe23925c8bab3">
        <w:r>
          <w:rPr>
            <w:rStyle w:val="Hyperlink"/>
          </w:rPr>
          <w:t xml:space="preserve">7.4</w:t>
        </w:r>
      </w:hyperlink>
      <w:r>
        <w:t xml:space="preserve"> </w:t>
      </w:r>
      <w:r>
        <w:t xml:space="preserve">- A clear delineation of two primary motivators for individuals seeking better HDR</w:t>
      </w:r>
    </w:p>
    <w:p>
      <w:pPr>
        <w:numPr>
          <w:ilvl w:val="0"/>
          <w:numId w:val="1010"/>
        </w:numPr>
        <w:pStyle w:val="Compact"/>
      </w:pP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- A map of the HDR landscape, identifying obstacles and insights</w:t>
      </w:r>
    </w:p>
    <w:p>
      <w:pPr>
        <w:numPr>
          <w:ilvl w:val="0"/>
          <w:numId w:val="1010"/>
        </w:numPr>
        <w:pStyle w:val="Compact"/>
      </w:pP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 </w:t>
      </w:r>
      <w:r>
        <w:t xml:space="preserve">and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 </w:t>
      </w:r>
      <w:r>
        <w:t xml:space="preserve">- Four identified trajectories for advancing Human Data Relations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7">
        <w:r>
          <w:rPr>
            <w:rStyle w:val="Hyperlink"/>
          </w:rPr>
          <w:t xml:space="preserve">Figure 3.7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  <w:r>
        <w:t xml:space="preserve">,</w:t>
      </w:r>
      <w:r>
        <w:t xml:space="preserve"> </w:t>
      </w:r>
      <w:hyperlink w:anchor="Xbc954f986ea78ee55f14e1ee288f60983e46fb5">
        <w:r>
          <w:rPr>
            <w:rStyle w:val="Hyperlink"/>
          </w:rPr>
          <w:t xml:space="preserve">3.4.2</w:t>
        </w:r>
      </w:hyperlink>
      <w:r>
        <w:t xml:space="preserve">,</w:t>
      </w:r>
      <w:r>
        <w:t xml:space="preserve"> </w:t>
      </w:r>
      <w:hyperlink w:anchor="X5c213d3f7d5eb3b3913f2bcc99b547ab52233a9">
        <w:r>
          <w:rPr>
            <w:rStyle w:val="Hyperlink"/>
          </w:rPr>
          <w:t xml:space="preserve">4.3.1</w:t>
        </w:r>
      </w:hyperlink>
      <w:r>
        <w:t xml:space="preserve">,</w:t>
      </w:r>
      <w:r>
        <w:t xml:space="preserve"> </w:t>
      </w:r>
      <w:hyperlink w:anchor="X9a192666c004f35303d55baa6cc828eb977144f">
        <w:r>
          <w:rPr>
            <w:rStyle w:val="Hyperlink"/>
          </w:rPr>
          <w:t xml:space="preserve">4.5.2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b8938636fe209df72afeee0da7ccac88ff1f5b9">
        <w:r>
          <w:rPr>
            <w:rStyle w:val="Hyperlink"/>
          </w:rPr>
          <w:t xml:space="preserve">4.5.3</w:t>
        </w:r>
      </w:hyperlink>
      <w:r>
        <w:t xml:space="preserve">,</w:t>
      </w:r>
      <w:r>
        <w:t xml:space="preserve"> </w:t>
      </w:r>
      <w:hyperlink w:anchor="X50cfb66b1912fccfdb12a41362d2393042887e5">
        <w:r>
          <w:rPr>
            <w:rStyle w:val="Hyperlink"/>
          </w:rPr>
          <w:t xml:space="preserve">5.6.2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principle-4">
        <w:r>
          <w:rPr>
            <w:rStyle w:val="Hyperlink"/>
          </w:rPr>
          <w:t xml:space="preserve">Principle 4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4e136873d85cb62901bb699285d9280e05828df">
        <w:r>
          <w:rPr>
            <w:rStyle w:val="Hyperlink"/>
          </w:rPr>
          <w:t xml:space="preserve">7.4.2</w:t>
        </w:r>
      </w:hyperlink>
      <w:r>
        <w:t xml:space="preserve">,</w:t>
      </w:r>
      <w:r>
        <w:t xml:space="preserve"> </w:t>
      </w:r>
      <w:hyperlink w:anchor="principle-4">
        <w:r>
          <w:rPr>
            <w:rStyle w:val="Hyperlink"/>
          </w:rPr>
          <w:t xml:space="preserve">Principle 4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principle-4">
        <w:r>
          <w:rPr>
            <w:rStyle w:val="Hyperlink"/>
          </w:rPr>
          <w:t xml:space="preserve">Principle 4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d8b45c5920a4ae6b8956c42dcd24c7e655d0317">
        <w:r>
          <w:rPr>
            <w:rStyle w:val="Hyperlink"/>
          </w:rPr>
          <w:t xml:space="preserve">7.5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principle-12">
        <w:r>
          <w:rPr>
            <w:rStyle w:val="Hyperlink"/>
          </w:rPr>
          <w:t xml:space="preserve">Principle 12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3e9993d763761df3960c67ee4532381f46fe67">
        <w:r>
          <w:rPr>
            <w:rStyle w:val="Hyperlink"/>
          </w:rPr>
          <w:t xml:space="preserve">9.6.1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7152d408f074f2e070ff05017700f04ee6bf58d">
        <w:r>
          <w:rPr>
            <w:rStyle w:val="Hyperlink"/>
          </w:rPr>
          <w:t xml:space="preserve">4.5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2d09f34970bc84346435f2ffe98303e41132089">
        <w:r>
          <w:rPr>
            <w:rStyle w:val="Hyperlink"/>
          </w:rPr>
          <w:t xml:space="preserve">5.6.1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 **</w:t>
      </w:r>
      <w:hyperlink w:anchor="figure-9.23">
        <w:r>
          <w:rPr>
            <w:rStyle w:val="Hyperlink"/>
          </w:rPr>
          <w:t xml:space="preserve">Figure 9.23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c381dd6bbe0788e8717d7adc6b2f8b8d3687aaa">
        <w:r>
          <w:rPr>
            <w:rStyle w:val="Hyperlink"/>
          </w:rPr>
          <w:t xml:space="preserve">7.4.1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Xc381dd6bbe0788e8717d7adc6b2f8b8d3687aaa">
        <w:r>
          <w:rPr>
            <w:rStyle w:val="Hyperlink"/>
          </w:rPr>
          <w:t xml:space="preserve">7.4.1</w:t>
        </w:r>
      </w:hyperlink>
      <w:r>
        <w:t xml:space="preserve">,</w:t>
      </w:r>
      <w:r>
        <w:t xml:space="preserve"> </w:t>
      </w:r>
      <w:hyperlink w:anchor="principle-1">
        <w:r>
          <w:rPr>
            <w:rStyle w:val="Hyperlink"/>
          </w:rPr>
          <w:t xml:space="preserve">Principle 1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ab2f5b3508905fb476f1227adb86c8b4de8ccf3">
        <w:r>
          <w:rPr>
            <w:rStyle w:val="Hyperlink"/>
          </w:rPr>
          <w:t xml:space="preserve">9.4.1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feffb86c555f3a2833b127a40f9aa972515c1c9">
        <w:r>
          <w:rPr>
            <w:rStyle w:val="Hyperlink"/>
          </w:rPr>
          <w:t xml:space="preserve">9.4.2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b8938636fe209df72afeee0da7ccac88ff1f5b9">
        <w:r>
          <w:rPr>
            <w:rStyle w:val="Hyperlink"/>
          </w:rPr>
          <w:t xml:space="preserve">4.5.3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principle-1">
        <w:r>
          <w:rPr>
            <w:rStyle w:val="Hyperlink"/>
          </w:rPr>
          <w:t xml:space="preserve">Principle 1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2902b4cdc2a826d64840aa586dae8f5626e82e7">
        <w:r>
          <w:rPr>
            <w:rStyle w:val="Hyperlink"/>
          </w:rPr>
          <w:t xml:space="preserve">5.4.4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4e136873d85cb62901bb699285d9280e05828df">
        <w:r>
          <w:rPr>
            <w:rStyle w:val="Hyperlink"/>
          </w:rPr>
          <w:t xml:space="preserve">7.4.2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00139890117e70243966276028d2cd05592d54b">
        <w:r>
          <w:rPr>
            <w:rStyle w:val="Hyperlink"/>
          </w:rPr>
          <w:t xml:space="preserve">5.5.4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f5d4f6e0458dabaec2721a7d16765ac6d643567">
        <w:r>
          <w:rPr>
            <w:rStyle w:val="Hyperlink"/>
          </w:rPr>
          <w:t xml:space="preserve">5.7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principle-4">
        <w:r>
          <w:rPr>
            <w:rStyle w:val="Hyperlink"/>
          </w:rPr>
          <w:t xml:space="preserve">Principle 4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bab51b354b67876c6284de28df0e549940fb873">
        <w:r>
          <w:rPr>
            <w:rStyle w:val="Hyperlink"/>
          </w:rPr>
          <w:t xml:space="preserve">4.3.4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3e9993d763761df3960c67ee4532381f46fe67">
        <w:r>
          <w:rPr>
            <w:rStyle w:val="Hyperlink"/>
          </w:rPr>
          <w:t xml:space="preserve">9.6.1</w:t>
        </w:r>
      </w:hyperlink>
      <w:r>
        <w:t xml:space="preserve">,</w:t>
      </w:r>
      <w:r>
        <w:t xml:space="preserve"> </w:t>
      </w:r>
      <w:hyperlink w:anchor="principle-12">
        <w:r>
          <w:rPr>
            <w:rStyle w:val="Hyperlink"/>
          </w:rPr>
          <w:t xml:space="preserve">Principle 12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</w:p>
    <w:p>
      <w:pPr>
        <w:numPr>
          <w:ilvl w:val="0"/>
          <w:numId w:val="1011"/>
        </w:numPr>
        <w:pStyle w:val="Compact"/>
      </w:pPr>
      <w:r>
        <w:t xml:space="preserve">**Trust -</w:t>
      </w:r>
      <w:r>
        <w:t xml:space="preserve"> </w:t>
      </w:r>
      <w:hyperlink w:anchor="Xe3c54ec1686b257c15fe3bd98af9e08d983b8ab">
        <w:r>
          <w:rPr>
            <w:rStyle w:val="Hyperlink"/>
          </w:rPr>
          <w:t xml:space="preserve">4.4.4</w:t>
        </w:r>
      </w:hyperlink>
      <w:r>
        <w:t xml:space="preserve">,</w:t>
      </w:r>
      <w:r>
        <w:t xml:space="preserve"> </w:t>
      </w:r>
      <w:hyperlink w:anchor="Xd767b4fc99a2c2a965f00adaf4a18b369c1e613">
        <w:r>
          <w:rPr>
            <w:rStyle w:val="Hyperlink"/>
          </w:rPr>
          <w:t xml:space="preserve">4.5.1</w:t>
        </w:r>
      </w:hyperlink>
      <w:r>
        <w:t xml:space="preserve">,</w:t>
      </w:r>
      <w:r>
        <w:t xml:space="preserve"> </w:t>
      </w:r>
      <w:hyperlink w:anchor="X2902b4cdc2a826d64840aa586dae8f5626e82e7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hyperlink w:anchor="X00139890117e70243966276028d2cd05592d54b">
        <w:r>
          <w:rPr>
            <w:rStyle w:val="Hyperlink"/>
          </w:rPr>
          <w:t xml:space="preserve">5.5.4</w:t>
        </w:r>
      </w:hyperlink>
      <w:r>
        <w:t xml:space="preserve">,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  <w:r>
        <w:t xml:space="preserve">,</w:t>
      </w:r>
      <w:r>
        <w:t xml:space="preserve"> </w:t>
      </w:r>
      <w:hyperlink w:anchor="principle-13">
        <w:r>
          <w:rPr>
            <w:rStyle w:val="Hyperlink"/>
          </w:rPr>
          <w:t xml:space="preserve">Principle 13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Useability</w:t>
      </w:r>
      <w:hyperlink w:anchor="fn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t xml:space="preserve">This section serves as a quick-reference glossary to explain abbreviations and existing terms used.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one’s preferences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one’s preferences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- Open Lab, where I studied this PhD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sub-discipline of HCI that focuses on people’s relationship with data, rather than with the system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- harnessing of one’s personal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- upon it, setting goals and tracking progress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as a researcher, informing Case Study One, and as a developer, serving as an embedded project setting informing Section IV.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- usage and data access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- broadcast advertising to find customers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an internal system in Meta (Facebook) that attempts to understand the world through analysis of social media content, for commercial advantage</w:t>
      </w:r>
    </w:p>
    <w:bookmarkEnd w:id="32"/>
    <w:bookmarkStart w:id="42" w:name="bibliography"/>
    <w:p>
      <w:pPr>
        <w:pStyle w:val="Heading1"/>
      </w:pPr>
      <w:r>
        <w:t xml:space="preserve">Bibliography</w:t>
      </w:r>
    </w:p>
    <w:bookmarkStart w:id="41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Start w:id="40" w:name="ref-bowyer2022hestia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rPr>
          <w:iCs/>
          <w:i/>
        </w:rPr>
        <w:t xml:space="preserve">Digipower technical reports: Auditing the data economy through personal data access</w:t>
      </w:r>
      <w:r>
        <w:t xml:space="preserve">. doi:</w:t>
      </w:r>
      <w:r>
        <w:t xml:space="preserve"> </w:t>
      </w:r>
      <w:hyperlink r:id="rId39">
        <w:r>
          <w:rPr>
            <w:rStyle w:val="Hyperlink"/>
          </w:rPr>
          <w:t xml:space="preserve">10.5281/zenodo.6554177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9" Target="https://doi.org/10.5281/zenodo.6554177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9" Target="https://doi.org/10.5281/zenodo.6554177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2023-05-29T18:02:18Z</dcterms:created>
  <dcterms:modified xsi:type="dcterms:W3CDTF">2023-05-29T18:02:18Z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https://github.com/alexbfree/thesis/tree/master/src</vt:lpwstr>
  </property>
  <property fmtid="{D5CDD505-2E9C-101B-9397-08002B2CF9AE}" pid="8" name="website-build-formats">
    <vt:lpwstr/>
  </property>
</Properties>
</file>