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our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lives in myriad ways, from determining eligibility to access particular services, benefits or products or targeting advertisements or recommendations to influencing our decisions and behaviour. Data about people has become extremely valuable. It is</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driving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collects data and exploits it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—World Economic Forum</w:t>
      </w:r>
      <w:r>
        <w:t xml:space="preserve"> </w:t>
      </w:r>
      <w:r>
        <w:t xml:space="preserve">(</w:t>
      </w:r>
      <w:hyperlink w:anchor="ref-wef2014context">
        <w:r>
          <w:rPr>
            <w:rStyle w:val="Hyperlink"/>
          </w:rPr>
          <w:t xml:space="preserve">Hoffman, 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subsequently cut out of the loop. Without understanding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explores ways in which individual agency, legibility and negotiability can be improved. In Part One, its participatory Case Studies make a novel contribution to knowledge, producing a deep understanding of how people relate to data, what capabilities people want, and how they would like service providers to handle their data. These understandings, shaped as six core human desires, can drive future research to empower individuals through their personal data.</w:t>
      </w:r>
    </w:p>
    <w:p>
      <w:pPr>
        <w:pStyle w:val="BodyText"/>
      </w:pPr>
      <w:r>
        <w:t xml:space="preserve">Part Two, building upon these findings, defines a new, broader frame for this problem space,</w:t>
      </w:r>
      <w:r>
        <w:t xml:space="preserve"> </w:t>
      </w:r>
      <w:r>
        <w:rPr>
          <w:bCs/>
          <w:b/>
        </w:rPr>
        <w:t xml:space="preserve">Human Data Relations (HDR)</w:t>
      </w:r>
      <w:r>
        <w:t xml:space="preserv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HDR additionally incorporates the sociotechnical and commercial realities of today’s data-centric world and defines a clear agenda for change. This new space is mapped out in terms of objectives, obstacles, approaches and designs, based on the author’s parallel industrial research experience and</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t>
      </w:r>
      <w:r>
        <w:t xml:space="preserve">thinking. These insights and strategies can equip future researchers and innovators with the tools and understandings they will need to pursue the empowerment of individuals and the rebalancing of power over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1980s home computing revolution,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As companies adapted to the Information Age and shifted to data-driven, cloud-centric business models, our ability to harness computers for our own ends began to slip away. While immersed in the start-up community in Montréal, Canada, I became frustrated at this loss of potential. Driven to explore the reasons and implications of this loss of agency and the possibilities for more human-centric computing, I published several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drive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IT. I sought to research, design and build a better digital future where computers could be made useful again. This led me to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want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w:t>
      </w:r>
    </w:p>
    <w:p>
      <w:pPr>
        <w:pStyle w:val="BodyText"/>
      </w:pPr>
      <w:r>
        <w:t xml:space="preserve">After reviewing relevant existing literature and research [</w:t>
      </w:r>
      <w:hyperlink w:anchor="chapter-2">
        <w:r>
          <w:rPr>
            <w:rStyle w:val="Hyperlink"/>
          </w:rPr>
          <w:t xml:space="preserve">Chapter 2</w:t>
        </w:r>
      </w:hyperlink>
      <w:r>
        <w:t xml:space="preserve">] to identify a clear baseline and research gap, Part One of the thesis reports on two studies that invited participants to</w:t>
      </w:r>
      <w:r>
        <w:t xml:space="preserve"> </w:t>
      </w:r>
      <w:r>
        <w:t xml:space="preserve">‘</w:t>
      </w:r>
      <w:r>
        <w:t xml:space="preserve">look behind the curtain</w:t>
      </w:r>
      <w:r>
        <w:t xml:space="preserve">’</w:t>
      </w:r>
      <w:r>
        <w:t xml:space="preserve"> </w:t>
      </w:r>
      <w:r>
        <w:t xml:space="preserve">of the opaque data-centric organisations they interact with. These enabled participants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Design work to examination individual attitudes and desires around data in a</w:t>
      </w:r>
      <w:r>
        <w:t xml:space="preserve"> </w:t>
      </w:r>
      <w:r>
        <w:t xml:space="preserve">‘</w:t>
      </w:r>
      <w:r>
        <w:t xml:space="preserve">whole life</w:t>
      </w:r>
      <w:r>
        <w:t xml:space="preserve">’</w:t>
      </w:r>
      <w:r>
        <w:t xml:space="preserve"> </w:t>
      </w:r>
      <w:r>
        <w:t xml:space="preserve">sense is an under-researched area. Where HCI traditionally focuses on the mechanisms by which humans interact with data, the academic enquiry in Part One adopts a more sociotechnical focus on understanding lived experience.</w:t>
      </w:r>
    </w:p>
    <w:p>
      <w:pPr>
        <w:pStyle w:val="BodyText"/>
      </w:pPr>
      <w:r>
        <w:t xml:space="preserve">Part Two takes an even broader perspective, recognising that for participants’ desired changes in data relations to be realised requires an examination and a recognition of current technical, legal and commercial realities and the multi-party complexities of modern digital life. In this second part, the thesis shifts from participatory academic enquiry to real-world explorations that apply its findings in practice. This is done through design, modelling and conjecture, drawing upon the author’s direct experiences working (alongside the PhD) in related projects that share this thesis’s focus on empowering individuals through data.</w:t>
      </w:r>
    </w:p>
    <w:p>
      <w:pPr>
        <w:pStyle w:val="BodyText"/>
      </w:pPr>
      <w:r>
        <w:t xml:space="preserve">To support future researchers, activists and innovators in achieving the vision of a more human-centric future, the pursuit of wants identified in Part One are shaped into a defined new field -</w:t>
      </w:r>
      <w:r>
        <w:t xml:space="preserve"> </w:t>
      </w:r>
      <w:r>
        <w:rPr>
          <w:bCs/>
          <w:b/>
        </w:rPr>
        <w:t xml:space="preserve">Human Data Relations (HDR)</w:t>
      </w:r>
      <w:r>
        <w:t xml:space="preserve">. Moving from merely understanding the world towards planning how to change it, motivations and objectives are identified, and HDR is positioned as a broad activist agenda whose practitioners seek to reconfigure society to their own advantage [</w:t>
      </w:r>
      <w:hyperlink w:anchor="chapter-7">
        <w:r>
          <w:rPr>
            <w:rStyle w:val="Hyperlink"/>
          </w:rPr>
          <w:t xml:space="preserve">Chapter 7</w:t>
        </w:r>
      </w:hyperlink>
      <w:r>
        <w:t xml:space="preserve">].</w:t>
      </w:r>
    </w:p>
    <w:p>
      <w:pPr>
        <w:pStyle w:val="BodyText"/>
      </w:pPr>
      <w:r>
        <w:t xml:space="preserve">The remainder of Part Two, which is deliberately open-ended, maps out the existing landscape of challenges and possibilities for the HDR field, moving away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and shares designerly</w:t>
      </w:r>
      <w:r>
        <w:t xml:space="preserve"> </w:t>
      </w:r>
      <w:hyperlink w:anchor="inset-boxes">
        <w:r>
          <w:rPr>
            <w:rStyle w:val="Hyperlink"/>
          </w:rPr>
          <w:t xml:space="preserve">insights</w:t>
        </w:r>
      </w:hyperlink>
      <w:r>
        <w:t xml:space="preserve">. It also maps out four possible change trajectories [</w:t>
      </w:r>
      <w:hyperlink w:anchor="chapter-9">
        <w:r>
          <w:rPr>
            <w:rStyle w:val="Hyperlink"/>
          </w:rPr>
          <w:t xml:space="preserve">Chapter 9</w:t>
        </w:r>
      </w:hyperlink>
      <w:r>
        <w:t xml:space="preserve">] which can inform future design and innovation in human-centric system design. These strategies, which should be viewed as speculative rather than definitive, can also help facilitate initiatives that recognise and confront the unique challenges of the status quo in pursuit of improving people’s agency and negotiability through personal data.</w:t>
      </w:r>
    </w:p>
    <w:p>
      <w:pPr>
        <w:pStyle w:val="BodyText"/>
      </w:pPr>
      <w:r>
        <w:t xml:space="preserve">Taken together, the two parts of this thesis can serve as novel and actionable reference material for future research, activism and innovation, solidly grounded in literary theory, participant experience, and industrial reality.</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want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and mapping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 RQ1 [</w:t>
      </w:r>
      <w:hyperlink w:anchor="RQ1">
        <w:r>
          <w:rPr>
            <w:rStyle w:val="Hyperlink"/>
          </w:rPr>
          <w:t xml:space="preserve">3.3.1</w:t>
        </w:r>
      </w:hyperlink>
      <w:r>
        <w:t xml:space="preserve">] and RQ2 [</w:t>
      </w:r>
      <w:hyperlink w:anchor="RQ2">
        <w:r>
          <w:rPr>
            <w:rStyle w:val="Hyperlink"/>
          </w:rPr>
          <w:t xml:space="preserve">3.3.2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 RQ1 by explaining that people have three specific desires for direct relations with data–for data to be:</w:t>
      </w:r>
    </w:p>
    <w:p>
      <w:pPr>
        <w:numPr>
          <w:ilvl w:val="0"/>
          <w:numId w:val="1004"/>
        </w:numPr>
        <w:pStyle w:val="Compact"/>
      </w:pPr>
      <w:r>
        <w:t xml:space="preserve">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 RQ2 by explaining the three things people want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enquiry into the lived realities described in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w:t>
      </w:r>
      <w:r>
        <w:t xml:space="preserve">lead to a synthesis</w:t>
      </w:r>
      <w:r>
        <w:t xml:space="preserve"> </w:t>
      </w:r>
      <w:hyperlink w:anchor="chapter-6">
        <w:r>
          <w:rPr>
            <w:rStyle w:val="Hyperlink"/>
          </w:rPr>
          <w:t xml:space="preserve">Chapter 6</w:t>
        </w:r>
      </w:hyperlink>
      <w:r>
        <w:t xml:space="preserve"> </w:t>
      </w:r>
      <w:r>
        <w:t xml:space="preserve">of what people want in data relations.</w:t>
      </w:r>
      <w:r>
        <w:t xml:space="preserve"> </w:t>
      </w:r>
      <w:hyperlink w:anchor="chapter-7">
        <w:r>
          <w:rPr>
            <w:rStyle w:val="Hyperlink"/>
          </w:rPr>
          <w:t xml:space="preserve">Chapter 7</w:t>
        </w:r>
      </w:hyperlink>
      <w:r>
        <w:t xml:space="preserve"> </w:t>
      </w:r>
      <w:r>
        <w:t xml:space="preserve">formalises this defined field of academic and practical endeavour, Human Data Relations [</w:t>
      </w:r>
      <w:hyperlink w:anchor="X96c51c3d98f021d42ee8c458ed421add6b4adde">
        <w:r>
          <w:rPr>
            <w:rStyle w:val="Hyperlink"/>
          </w:rPr>
          <w:t xml:space="preserve">7.3</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ba2028c26fffbc171c5b450f0a203ea5314ab51">
        <w:r>
          <w:rPr>
            <w:rStyle w:val="Hyperlink"/>
          </w:rPr>
          <w:t xml:space="preserve">7.6</w:t>
        </w:r>
      </w:hyperlink>
      <w:r>
        <w:t xml:space="preserve">, informed by both the Case Studies and the peripheral activities [</w:t>
      </w:r>
      <w:hyperlink w:anchor="Xd90f00e19f5543904caf9ab2abd5b800e0613c0">
        <w:r>
          <w:rPr>
            <w:rStyle w:val="Hyperlink"/>
          </w:rPr>
          <w:t xml:space="preserve">7.2</w:t>
        </w:r>
      </w:hyperlink>
      <w:r>
        <w:t xml:space="preserve">], clarifies the two driving motivations for pursuing better HDR:</w:t>
      </w:r>
    </w:p>
    <w:p>
      <w:pPr>
        <w:numPr>
          <w:ilvl w:val="0"/>
          <w:numId w:val="1007"/>
        </w:numPr>
        <w:pStyle w:val="Compact"/>
      </w:pPr>
      <w:r>
        <w:t xml:space="preserve">Life Information Utilisation [</w:t>
      </w:r>
      <w:hyperlink w:anchor="X4035664301b06859586cb750fd8f8ad988856ea">
        <w:r>
          <w:rPr>
            <w:rStyle w:val="Hyperlink"/>
          </w:rPr>
          <w:t xml:space="preserve">7.6.1</w:t>
        </w:r>
      </w:hyperlink>
      <w:r>
        <w:t xml:space="preserve">], and</w:t>
      </w:r>
    </w:p>
    <w:p>
      <w:pPr>
        <w:numPr>
          <w:ilvl w:val="0"/>
          <w:numId w:val="1007"/>
        </w:numPr>
        <w:pStyle w:val="Compact"/>
      </w:pPr>
      <w:r>
        <w:t xml:space="preserve">Personal Data Ecosystem Control [</w:t>
      </w:r>
      <w:hyperlink w:anchor="Xdca50b5cb1feb03950b48f4419acb02a57783cb">
        <w:r>
          <w:rPr>
            <w:rStyle w:val="Hyperlink"/>
          </w:rPr>
          <w:t xml:space="preserve">7.6.2</w:t>
        </w:r>
      </w:hyperlink>
      <w:r>
        <w:t xml:space="preserve">].</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 thirteen</w:t>
      </w:r>
      <w:r>
        <w:t xml:space="preserve"> </w:t>
      </w:r>
      <w:hyperlink w:anchor="inset-boxes">
        <w:r>
          <w:rPr>
            <w:rStyle w:val="Hyperlink"/>
          </w:rPr>
          <w:t xml:space="preserve">Insights</w:t>
        </w:r>
      </w:hyperlink>
      <w:r>
        <w:t xml:space="preserve"> </w:t>
      </w:r>
      <w:r>
        <w:t xml:space="preserve">are explained that could seed future research and innovation towards tackling these obstacles:</w:t>
      </w:r>
    </w:p>
    <w:p>
      <w:pPr>
        <w:numPr>
          <w:ilvl w:val="0"/>
          <w:numId w:val="1009"/>
        </w:numPr>
        <w:pStyle w:val="Compact"/>
      </w:pPr>
      <w:hyperlink w:anchor="insight-1">
        <w:r>
          <w:rPr>
            <w:rStyle w:val="Hyperlink"/>
          </w:rPr>
          <w:t xml:space="preserve">1</w:t>
        </w:r>
      </w:hyperlink>
      <w:r>
        <w:t xml:space="preserve">. Life information makes data relatable.</w:t>
      </w:r>
    </w:p>
    <w:p>
      <w:pPr>
        <w:numPr>
          <w:ilvl w:val="0"/>
          <w:numId w:val="1009"/>
        </w:numPr>
        <w:pStyle w:val="Compact"/>
      </w:pPr>
      <w:hyperlink w:anchor="insight-2">
        <w:r>
          <w:rPr>
            <w:rStyle w:val="Hyperlink"/>
          </w:rPr>
          <w:t xml:space="preserve">2</w:t>
        </w:r>
      </w:hyperlink>
      <w:r>
        <w:t xml:space="preserve">. Data needs to be united and unified.</w:t>
      </w:r>
    </w:p>
    <w:p>
      <w:pPr>
        <w:numPr>
          <w:ilvl w:val="0"/>
          <w:numId w:val="1009"/>
        </w:numPr>
        <w:pStyle w:val="Compact"/>
      </w:pPr>
      <w:hyperlink w:anchor="insight-3">
        <w:r>
          <w:rPr>
            <w:rStyle w:val="Hyperlink"/>
          </w:rPr>
          <w:t xml:space="preserve">3</w:t>
        </w:r>
      </w:hyperlink>
      <w:r>
        <w:t xml:space="preserve">. Data must be transformed into a versatile material.</w:t>
      </w:r>
    </w:p>
    <w:p>
      <w:pPr>
        <w:numPr>
          <w:ilvl w:val="0"/>
          <w:numId w:val="1009"/>
        </w:numPr>
        <w:pStyle w:val="Compact"/>
      </w:pPr>
      <w:hyperlink w:anchor="insight-4">
        <w:r>
          <w:rPr>
            <w:rStyle w:val="Hyperlink"/>
          </w:rPr>
          <w:t xml:space="preserve">4</w:t>
        </w:r>
      </w:hyperlink>
      <w:r>
        <w:t xml:space="preserve">. Ecosystem information is an antidote to digital life complexity.</w:t>
      </w:r>
    </w:p>
    <w:p>
      <w:pPr>
        <w:numPr>
          <w:ilvl w:val="0"/>
          <w:numId w:val="1009"/>
        </w:numPr>
        <w:pStyle w:val="Compact"/>
      </w:pPr>
      <w:hyperlink w:anchor="insight-5">
        <w:r>
          <w:rPr>
            <w:rStyle w:val="Hyperlink"/>
          </w:rPr>
          <w:t xml:space="preserve">5</w:t>
        </w:r>
      </w:hyperlink>
      <w:r>
        <w:t xml:space="preserve">. We must know data’s provenance.</w:t>
      </w:r>
    </w:p>
    <w:p>
      <w:pPr>
        <w:numPr>
          <w:ilvl w:val="0"/>
          <w:numId w:val="1009"/>
        </w:numPr>
        <w:pStyle w:val="Compact"/>
      </w:pPr>
      <w:hyperlink w:anchor="insight-6">
        <w:r>
          <w:rPr>
            <w:rStyle w:val="Hyperlink"/>
          </w:rPr>
          <w:t xml:space="preserve">6</w:t>
        </w:r>
      </w:hyperlink>
      <w:r>
        <w:t xml:space="preserve">. Data holders exploit four levers of power to manipulate the digital landscape.</w:t>
      </w:r>
    </w:p>
    <w:p>
      <w:pPr>
        <w:numPr>
          <w:ilvl w:val="0"/>
          <w:numId w:val="1009"/>
        </w:numPr>
        <w:pStyle w:val="Compact"/>
      </w:pPr>
      <w:hyperlink w:anchor="insight-7">
        <w:r>
          <w:rPr>
            <w:rStyle w:val="Hyperlink"/>
          </w:rPr>
          <w:t xml:space="preserve">7</w:t>
        </w:r>
      </w:hyperlink>
      <w:r>
        <w:t xml:space="preserve">. We need new human-centred information systems that serve human values, relieve pain and deliver new life capabilities.</w:t>
      </w:r>
    </w:p>
    <w:p>
      <w:pPr>
        <w:numPr>
          <w:ilvl w:val="0"/>
          <w:numId w:val="1009"/>
        </w:numPr>
        <w:pStyle w:val="Compact"/>
      </w:pPr>
      <w:hyperlink w:anchor="insight-8">
        <w:r>
          <w:rPr>
            <w:rStyle w:val="Hyperlink"/>
          </w:rPr>
          <w:t xml:space="preserve">8</w:t>
        </w:r>
      </w:hyperlink>
      <w:r>
        <w:t xml:space="preserve">. We need to teach computers to understand human information.</w:t>
      </w:r>
    </w:p>
    <w:p>
      <w:pPr>
        <w:numPr>
          <w:ilvl w:val="0"/>
          <w:numId w:val="1009"/>
        </w:numPr>
        <w:pStyle w:val="Compact"/>
      </w:pPr>
      <w:hyperlink w:anchor="insight-9">
        <w:r>
          <w:rPr>
            <w:rStyle w:val="Hyperlink"/>
          </w:rPr>
          <w:t xml:space="preserve">9</w:t>
        </w:r>
      </w:hyperlink>
      <w:r>
        <w:t xml:space="preserve">. Individual GDPR requests can compel companies to change data practices.</w:t>
      </w:r>
    </w:p>
    <w:p>
      <w:pPr>
        <w:numPr>
          <w:ilvl w:val="0"/>
          <w:numId w:val="1009"/>
        </w:numPr>
        <w:pStyle w:val="Compact"/>
      </w:pPr>
      <w:hyperlink w:anchor="insight-10">
        <w:r>
          <w:rPr>
            <w:rStyle w:val="Hyperlink"/>
          </w:rPr>
          <w:t xml:space="preserve">10</w:t>
        </w:r>
      </w:hyperlink>
      <w:r>
        <w:t xml:space="preserve">. Collectives can compare and unify their data and use it to demand change.</w:t>
      </w:r>
    </w:p>
    <w:p>
      <w:pPr>
        <w:numPr>
          <w:ilvl w:val="0"/>
          <w:numId w:val="1009"/>
        </w:numPr>
        <w:pStyle w:val="Compact"/>
      </w:pPr>
      <w:hyperlink w:anchor="insight-11">
        <w:r>
          <w:rPr>
            <w:rStyle w:val="Hyperlink"/>
          </w:rPr>
          <w:t xml:space="preserve">11</w:t>
        </w:r>
      </w:hyperlink>
      <w:r>
        <w:t xml:space="preserve">. Automating the identification of entities can enhance machine understanding and unburden life interface users.</w:t>
      </w:r>
    </w:p>
    <w:p>
      <w:pPr>
        <w:numPr>
          <w:ilvl w:val="0"/>
          <w:numId w:val="1009"/>
        </w:numPr>
        <w:pStyle w:val="Compact"/>
      </w:pP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p>
    <w:p>
      <w:pPr>
        <w:numPr>
          <w:ilvl w:val="0"/>
          <w:numId w:val="1009"/>
        </w:numPr>
        <w:pStyle w:val="Compact"/>
      </w:pPr>
      <w:hyperlink w:anchor="insight-13">
        <w:r>
          <w:rPr>
            <w:rStyle w:val="Hyperlink"/>
          </w:rPr>
          <w:t xml:space="preserve">13</w:t>
        </w:r>
      </w:hyperlink>
      <w:r>
        <w:t xml:space="preserve">. It is possible (and necessary) to demonstrate business benefits of transparency and human-centricity.</w:t>
      </w:r>
    </w:p>
    <w:p>
      <w:pPr>
        <w:pStyle w:val="FirstParagraph"/>
      </w:pPr>
      <w:r>
        <w:rPr>
          <w:bCs/>
          <w:b/>
        </w:rPr>
        <w:t xml:space="preserve">C6</w:t>
      </w:r>
      <w:r>
        <w:rPr>
          <w:bCs/>
          <w:b/>
        </w:rPr>
        <w:t xml:space="preserve">: Four identified trajectories for advancing Human Data Relations</w:t>
      </w:r>
    </w:p>
    <w:p>
      <w:pPr>
        <w:pStyle w:val="BodyText"/>
      </w:pPr>
      <w:hyperlink w:anchor="chapter-9">
        <w:r>
          <w:rPr>
            <w:rStyle w:val="Hyperlink"/>
          </w:rPr>
          <w:t xml:space="preserve">Chapter 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10"/>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10"/>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10"/>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1"/>
        </w:numPr>
        <w:pStyle w:val="Compact"/>
      </w:pPr>
      <w:r>
        <w:t xml:space="preserve">appreciating the intrinsic value of personal data to themselves and others;</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platform/data separation is important;</w:t>
      </w:r>
    </w:p>
    <w:p>
      <w:pPr>
        <w:numPr>
          <w:ilvl w:val="0"/>
          <w:numId w:val="1011"/>
        </w:numPr>
        <w:pStyle w:val="Compact"/>
      </w:pPr>
      <w:r>
        <w:t xml:space="preserve">understanding one’s data rights enough to confidently execute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Context</w:t>
      </w:r>
    </w:p>
    <w:p>
      <w:pPr>
        <w:pStyle w:val="FirstParagraph"/>
      </w:pPr>
      <w:r>
        <w:rPr>
          <w:bCs/>
          <w:b/>
        </w:rPr>
        <w:t xml:space="preserve">C8</w:t>
      </w:r>
      <w:r>
        <w:rPr>
          <w:bCs/>
          <w:b/>
        </w:rPr>
        <w:t xml:space="preserve">: Validation and documentation of supported families’ attitudes and desires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2"/>
        </w:numPr>
        <w:pStyle w:val="Compact"/>
      </w:pPr>
      <w:r>
        <w:t xml:space="preserve">Supported families need meaningful interaction with and through data,</w:t>
      </w:r>
    </w:p>
    <w:p>
      <w:pPr>
        <w:numPr>
          <w:ilvl w:val="0"/>
          <w:numId w:val="1012"/>
        </w:numPr>
        <w:pStyle w:val="Compact"/>
      </w:pPr>
      <w:r>
        <w:t xml:space="preserve">They need to be given a voice to explain, challenge or add context to data, and</w:t>
      </w:r>
    </w:p>
    <w:p>
      <w:pPr>
        <w:numPr>
          <w:ilvl w:val="0"/>
          <w:numId w:val="1012"/>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Providers of care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w:t>
      </w:r>
      <w:r>
        <w:t xml:space="preserve"> </w:t>
      </w:r>
      <w:hyperlink w:anchor="Xdecc0e8ff84b4e8fdb98d4490fcb5b15d4e95fa">
        <w:r>
          <w:rPr>
            <w:rStyle w:val="Hyperlink"/>
          </w:rPr>
          <w:t xml:space="preserve">4.2.4</w:t>
        </w:r>
      </w:hyperlink>
      <w:r>
        <w:t xml:space="preserve"> </w:t>
      </w:r>
      <w:r>
        <w:t xml:space="preserve">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and–after thorough exploration by participants [</w:t>
      </w:r>
      <w:hyperlink w:anchor="table-3.1">
        <w:r>
          <w:rPr>
            <w:rStyle w:val="Hyperlink"/>
          </w:rPr>
          <w:t xml:space="preserve">Table 3.1</w:t>
        </w:r>
      </w:hyperlink>
      <w:r>
        <w:t xml:space="preserve">]–was perceived to be beneficial. The expected benefits (and challenges) of such an approach are explored in</w:t>
      </w:r>
      <w:r>
        <w:t xml:space="preserve">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GDPR and Everyday Data Context</w:t>
      </w:r>
    </w:p>
    <w:p>
      <w:pPr>
        <w:pStyle w:val="FirstParagraph"/>
      </w:pPr>
      <w:r>
        <w:rPr>
          <w:bCs/>
          <w:b/>
        </w:rPr>
        <w:t xml:space="preserve">C10: A model to understand the five different origins of held personal data</w:t>
      </w:r>
    </w:p>
    <w:p>
      <w:pPr>
        <w:pStyle w:val="BodyText"/>
      </w:pPr>
      <w:hyperlink w:anchor="table-5.2">
        <w:r>
          <w:rPr>
            <w:rStyle w:val="Hyperlink"/>
          </w:rPr>
          <w:t xml:space="preserve">Table 5.2</w:t>
        </w:r>
      </w:hyperlink>
      <w:r>
        <w:t xml:space="preserve"> </w:t>
      </w:r>
      <w:r>
        <w:t xml:space="preserve">describes five different types of data organisations can hold about individuals:</w:t>
      </w:r>
    </w:p>
    <w:p>
      <w:pPr>
        <w:numPr>
          <w:ilvl w:val="0"/>
          <w:numId w:val="1013"/>
        </w:numPr>
        <w:pStyle w:val="Compact"/>
      </w:pPr>
      <w:r>
        <w:t xml:space="preserve">Volunteered Data</w:t>
      </w:r>
    </w:p>
    <w:p>
      <w:pPr>
        <w:numPr>
          <w:ilvl w:val="0"/>
          <w:numId w:val="1013"/>
        </w:numPr>
        <w:pStyle w:val="Compact"/>
      </w:pPr>
      <w:r>
        <w:t xml:space="preserve">Observed Data</w:t>
      </w:r>
    </w:p>
    <w:p>
      <w:pPr>
        <w:numPr>
          <w:ilvl w:val="0"/>
          <w:numId w:val="1013"/>
        </w:numPr>
        <w:pStyle w:val="Compact"/>
      </w:pPr>
      <w:r>
        <w:t xml:space="preserve">Derived Data</w:t>
      </w:r>
    </w:p>
    <w:p>
      <w:pPr>
        <w:numPr>
          <w:ilvl w:val="0"/>
          <w:numId w:val="1013"/>
        </w:numPr>
        <w:pStyle w:val="Compact"/>
      </w:pPr>
      <w:r>
        <w:t xml:space="preserve">Acquired Data</w:t>
      </w:r>
    </w:p>
    <w:p>
      <w:pPr>
        <w:numPr>
          <w:ilvl w:val="0"/>
          <w:numId w:val="1013"/>
        </w:numPr>
        <w:pStyle w:val="Compact"/>
      </w:pPr>
      <w:r>
        <w:t xml:space="preserve">Metadata</w:t>
      </w:r>
    </w:p>
    <w:p>
      <w:pPr>
        <w:pStyle w:val="FirstParagraph"/>
      </w:pPr>
      <w:r>
        <w:t xml:space="preserve">This model has been used as both during design and ideation sessions at BBC R&amp;D as well as being used and cited within Sitra/Hestia.ai’s</w:t>
      </w:r>
      <w:r>
        <w:t xml:space="preserve"> </w:t>
      </w:r>
      <w:r>
        <w:rPr>
          <w:iCs/>
          <w:i/>
        </w:rPr>
        <w:t xml:space="preserve">digipower</w:t>
      </w:r>
      <w:r>
        <w:t xml:space="preserve"> </w:t>
      </w:r>
      <w:r>
        <w:t xml:space="preserve">investigation [</w:t>
      </w:r>
      <w:hyperlink w:anchor="ARI7.2">
        <w:r>
          <w:rPr>
            <w:rStyle w:val="Hyperlink"/>
          </w:rPr>
          <w:t xml:space="preserve">ARI7.2</w:t>
        </w:r>
      </w:hyperlink>
      <w:r>
        <w:t xml:space="preserve">],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iCs/>
          <w:i/>
        </w:rPr>
        <w:t xml:space="preserve">decrease</w:t>
      </w:r>
      <w:r>
        <w:t xml:space="preserve"> </w:t>
      </w:r>
      <w:r>
        <w:t xml:space="preserve">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4"/>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4"/>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previously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 </w:t>
      </w:r>
      <w:r>
        <w:t xml:space="preserve">and</w:t>
      </w:r>
      <w:r>
        <w:t xml:space="preserve"> </w:t>
      </w:r>
      <w:hyperlink w:anchor="chapter-6">
        <w:r>
          <w:rPr>
            <w:rStyle w:val="Hyperlink"/>
          </w:rPr>
          <w:t xml:space="preserve">6</w:t>
        </w:r>
      </w:hyperlink>
      <w:r>
        <w:t xml:space="preserve"> </w:t>
      </w:r>
      <w:r>
        <w:t xml:space="preserve">and in</w:t>
      </w:r>
      <w:r>
        <w:t xml:space="preserve"> </w:t>
      </w:r>
      <w:hyperlink w:anchor="chapter-7">
        <w:r>
          <w:rPr>
            <w:rStyle w:val="Hyperlink"/>
          </w:rPr>
          <w:t xml:space="preserve">Part Two</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6"/>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journal paper is in prep.</w:t>
      </w:r>
    </w:p>
    <w:p>
      <w:pPr>
        <w:pStyle w:val="CaptionedFigure"/>
      </w:pPr>
      <w:bookmarkStart w:id="36" w:name="figure-1.1"/>
      <w:r>
        <w:drawing>
          <wp:inline>
            <wp:extent cx="5334000" cy="7541887"/>
            <wp:effectExtent b="0" l="0" r="0" t="0"/>
            <wp:docPr descr="Figure 1.1: Poster Presentation of Case Study One at CHI 2019"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 at CHI 2019</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These outputs included material from, or directly contributed to, this thesis and its arguments.</w:t>
      </w:r>
    </w:p>
    <w:p>
      <w:pPr>
        <w:numPr>
          <w:ilvl w:val="0"/>
          <w:numId w:val="1018"/>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a lecture about my research that I was invited to give to undergraduate students at both Northumbria University and Newcastle University in early 2020, just prior to the pandemic;</w:t>
      </w:r>
    </w:p>
    <w:p>
      <w:pPr>
        <w:numPr>
          <w:ilvl w:val="0"/>
          <w:numId w:val="1018"/>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my entry into Newcastle University’s 3-minute thesis competition in April 2021, for which I was co-winner of the people’s choice prize;</w:t>
      </w:r>
    </w:p>
    <w:p>
      <w:pPr>
        <w:numPr>
          <w:ilvl w:val="0"/>
          <w:numId w:val="1018"/>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d90f00e19f5543904caf9ab2abd5b800e0613c0">
        <w:r>
          <w:rPr>
            <w:rStyle w:val="Hyperlink"/>
          </w:rPr>
          <w:t xml:space="preserve">7.2</w:t>
        </w:r>
      </w:hyperlink>
      <w:r>
        <w:t xml:space="preserve">]:</w:t>
      </w:r>
    </w:p>
    <w:p>
      <w:pPr>
        <w:numPr>
          <w:ilvl w:val="0"/>
          <w:numId w:val="1019"/>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2021, pp. 129–130</w:t>
        </w:r>
      </w:hyperlink>
      <w:r>
        <w:t xml:space="preserve">)</w:t>
      </w:r>
      <w:r>
        <w:t xml:space="preserve">.</w:t>
      </w:r>
    </w:p>
    <w:p>
      <w:pPr>
        <w:numPr>
          <w:ilvl w:val="0"/>
          <w:numId w:val="1019"/>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9"/>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and wrote and presented a</w:t>
      </w:r>
      <w:r>
        <w:t xml:space="preserve"> </w:t>
      </w:r>
      <w:r>
        <w:t xml:space="preserve">‘</w:t>
      </w:r>
      <w:r>
        <w:t xml:space="preserve">stimulus presentation</w:t>
      </w:r>
      <w:r>
        <w:t xml:space="preserve">’</w:t>
      </w:r>
      <w:r>
        <w:t xml:space="preserve"> </w:t>
      </w:r>
      <w:r>
        <w:t xml:space="preserve">to launch an internal hack week.</w:t>
      </w:r>
    </w:p>
    <w:p>
      <w:pPr>
        <w:numPr>
          <w:ilvl w:val="0"/>
          <w:numId w:val="1019"/>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Clearly evident are its two distinct parts, as described in 1.1.2 above.</w:t>
      </w:r>
    </w:p>
    <w:p>
      <w:pPr>
        <w:pStyle w:val="BodyText"/>
      </w:pPr>
      <w:r>
        <w:t xml:space="preserve">Part One, the participatory investigation, begins with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in answer to RQ1 and RQ2, what people want from data and from data holders, concluding the academic investigation.</w:t>
      </w:r>
    </w:p>
    <w:p>
      <w:pPr>
        <w:pStyle w:val="BodyText"/>
      </w:pPr>
      <w:r>
        <w:t xml:space="preserve">Part Two is adversarial design work and strategic planning, expanding the original research question to examine how the desires uncovered might be achieved in practice. The practical pursuit of better data relations is formalised as a new field with clear objectives,</w:t>
      </w:r>
      <w:r>
        <w:t xml:space="preserve"> </w:t>
      </w:r>
      <w:r>
        <w:rPr>
          <w:iCs/>
          <w:i/>
        </w:rPr>
        <w:t xml:space="preserve">Human Data Relations</w:t>
      </w:r>
      <w:r>
        <w:t xml:space="preserve">, in</w:t>
      </w:r>
      <w:r>
        <w:t xml:space="preserve"> </w:t>
      </w:r>
      <w:hyperlink w:anchor="chapter-7">
        <w:r>
          <w:rPr>
            <w:rStyle w:val="Hyperlink"/>
          </w:rPr>
          <w:t xml:space="preserve">Chapter 7</w:t>
        </w:r>
      </w:hyperlink>
      <w:r>
        <w:t xml:space="preserve">. This</w:t>
      </w:r>
      <w:r>
        <w:t xml:space="preserve"> </w:t>
      </w:r>
      <w:r>
        <w:rPr>
          <w:iCs/>
          <w:i/>
        </w:rPr>
        <w:t xml:space="preserve">HDR</w:t>
      </w:r>
      <w:r>
        <w:t xml:space="preserve"> </w:t>
      </w:r>
      <w:r>
        <w:t xml:space="preserve">space is then mapped out, drawing on industrial experience, starting with the detailing of known obstacles in</w:t>
      </w:r>
      <w:r>
        <w:t xml:space="preserve"> </w:t>
      </w:r>
      <w:hyperlink w:anchor="chapter-8">
        <w:r>
          <w:rPr>
            <w:rStyle w:val="Hyperlink"/>
          </w:rPr>
          <w:t xml:space="preserve">Chapter 8</w:t>
        </w:r>
      </w:hyperlink>
      <w:r>
        <w:t xml:space="preserve">. Four specific strategic approaches to change, including detailed designs, are laid out in</w:t>
      </w:r>
      <w:r>
        <w:t xml:space="preserve"> </w:t>
      </w:r>
      <w:hyperlink w:anchor="chapter-9">
        <w:r>
          <w:rPr>
            <w:rStyle w:val="Hyperlink"/>
          </w:rPr>
          <w:t xml:space="preserve">Chapter 9</w:t>
        </w:r>
      </w:hyperlink>
      <w:r>
        <w:t xml:space="preserve"> </w:t>
      </w:r>
      <w:r>
        <w:t xml:space="preserve">as recommendations for future work, before the thesis is concluded in</w:t>
      </w:r>
      <w:r>
        <w:t xml:space="preserve"> </w:t>
      </w:r>
      <w:hyperlink w:anchor="chapter-10">
        <w:r>
          <w:rPr>
            <w:rStyle w:val="Hyperlink"/>
          </w:rPr>
          <w:t xml:space="preserve">Chapter 10</w:t>
        </w:r>
      </w:hyperlink>
      <w:r>
        <w:t xml:space="preserve">, bringing the two parts together.</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w:t>
      </w:r>
      <w:r>
        <w:t xml:space="preserve"> </w:t>
      </w:r>
      <w:r>
        <w:rPr>
          <w:iCs/>
          <w:i/>
        </w:rPr>
        <w:t xml:space="preserve">Personal Information Management</w:t>
      </w:r>
      <w:r>
        <w:t xml:space="preserve"> </w:t>
      </w:r>
      <w:r>
        <w:t xml:space="preserve">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want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above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 Making.</w:t>
      </w:r>
    </w:p>
    <w:p>
      <w:pPr>
        <w:pStyle w:val="BodyText"/>
      </w:pPr>
      <w:hyperlink w:anchor="chapter-5">
        <w:r>
          <w:rPr>
            <w:rStyle w:val="Hyperlink"/>
          </w:rPr>
          <w:t xml:space="preserve">Chapter 5</w:t>
        </w:r>
      </w:hyperlink>
      <w:r>
        <w:t xml:space="preserve"> </w:t>
      </w:r>
      <w:r>
        <w:t xml:space="preserve">reports on Case Study Two.</w:t>
      </w:r>
      <w:r>
        <w:t xml:space="preserve"> </w:t>
      </w:r>
      <w:hyperlink w:anchor="X746a82081d852d58b152584407d5b80d3ac43f3">
        <w:r>
          <w:rPr>
            <w:rStyle w:val="Hyperlink"/>
          </w:rPr>
          <w:t xml:space="preserve">5.1</w:t>
        </w:r>
      </w:hyperlink>
      <w:r>
        <w:t xml:space="preserve"> </w:t>
      </w:r>
      <w:r>
        <w:t xml:space="preserve">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w:t>
      </w:r>
      <w:r>
        <w:t xml:space="preserve"> </w:t>
      </w:r>
      <w:hyperlink w:anchor="X3c10c50990743199cc887aaacd3f88a0a0a026e">
        <w:r>
          <w:rPr>
            <w:rStyle w:val="Hyperlink"/>
          </w:rPr>
          <w:t xml:space="preserve">6.3</w:t>
        </w:r>
      </w:hyperlink>
      <w:r>
        <w:t xml:space="preserve"> </w:t>
      </w:r>
      <w:r>
        <w:t xml:space="preserve">concludes the chapter and Part One, by outlining this thesis’s purpose to address the power imbalance over personal data, positions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begins Part Two, shifting to a practical focus to explore how human-centric empowerment might be achieved. The thesis’ findings are synthesised, drawing on experience from external work, to formally define a field of future research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 pursuing four objectives [</w:t>
      </w:r>
      <w:hyperlink w:anchor="Xa53a7020f5014c3c46abf7c2e460206e04bf007">
        <w:r>
          <w:rPr>
            <w:rStyle w:val="Hyperlink"/>
          </w:rPr>
          <w:t xml:space="preserve">7.7</w:t>
        </w:r>
      </w:hyperlink>
      <w:r>
        <w:t xml:space="preserve">]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to explain possible strategies, and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8" w:name="bibliography"/>
    <w:p>
      <w:pPr>
        <w:pStyle w:val="Heading1"/>
      </w:pPr>
      <w:r>
        <w:t xml:space="preserve">Bibliography</w:t>
      </w:r>
    </w:p>
    <w:bookmarkStart w:id="137"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(2021)</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0">
        <w:r>
          <w:rPr>
            <w:rStyle w:val="Hyperlink"/>
          </w:rPr>
          <w:t xml:space="preserve">10.7551/mitpress/8732.003.0007</w:t>
        </w:r>
      </w:hyperlink>
      <w:r>
        <w:t xml:space="preserve">.</w:t>
      </w:r>
    </w:p>
    <w:bookmarkEnd w:id="101"/>
    <w:bookmarkStart w:id="10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2">
        <w:r>
          <w:rPr>
            <w:rStyle w:val="Hyperlink"/>
          </w:rPr>
          <w:t xml:space="preserve">10.1016/j.ipm.2020.102307</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1">
        <w:r>
          <w:rPr>
            <w:rStyle w:val="Hyperlink"/>
          </w:rPr>
          <w:t xml:space="preserve">http://www3.weforum.org/docs/WEF_RethinkingPersonalData_TrustandContext_Report_2014.pdf</w:t>
        </w:r>
      </w:hyperlink>
      <w:r>
        <w:t xml:space="preserve">.</w:t>
      </w:r>
    </w:p>
    <w:bookmarkEnd w:id="112"/>
    <w:bookmarkStart w:id="11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3">
        <w:r>
          <w:rPr>
            <w:rStyle w:val="Hyperlink"/>
          </w:rPr>
          <w:t xml:space="preserve">https://perma.cc/92LZ-B8DN].</w:t>
        </w:r>
      </w:hyperlink>
    </w:p>
    <w:bookmarkEnd w:id="114"/>
    <w:bookmarkStart w:id="11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5">
        <w:r>
          <w:rPr>
            <w:rStyle w:val="Hyperlink"/>
          </w:rPr>
          <w:t xml:space="preserve">10.1145/2493432.2493446</w:t>
        </w:r>
      </w:hyperlink>
      <w:r>
        <w:t xml:space="preserve">.</w:t>
      </w:r>
    </w:p>
    <w:bookmarkEnd w:id="116"/>
    <w:bookmarkStart w:id="118"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7">
        <w:r>
          <w:rPr>
            <w:rStyle w:val="Hyperlink"/>
          </w:rPr>
          <w:t xml:space="preserve">10.5210/fm.v17i5.4013</w:t>
        </w:r>
      </w:hyperlink>
      <w:r>
        <w:t xml:space="preserve">.</w:t>
      </w:r>
    </w:p>
    <w:bookmarkEnd w:id="118"/>
    <w:bookmarkStart w:id="12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9">
        <w:r>
          <w:rPr>
            <w:rStyle w:val="Hyperlink"/>
          </w:rPr>
          <w:t xml:space="preserve">10.2139/ssrn.2508051</w:t>
        </w:r>
      </w:hyperlink>
      <w:r>
        <w:t xml:space="preserve">.</w:t>
      </w:r>
    </w:p>
    <w:bookmarkEnd w:id="120"/>
    <w:bookmarkStart w:id="122"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1">
        <w:r>
          <w:rPr>
            <w:rStyle w:val="Hyperlink"/>
          </w:rPr>
          <w:t xml:space="preserve">https://web.archive.org/web/20180727024332/https://digitalcivics.io/apply/</w:t>
        </w:r>
      </w:hyperlink>
      <w:r>
        <w:t xml:space="preserve"> </w:t>
      </w:r>
      <w:r>
        <w:t xml:space="preserve">(accessed: 6 July 2022).</w:t>
      </w:r>
    </w:p>
    <w:bookmarkEnd w:id="122"/>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3"/>
    <w:bookmarkStart w:id="125"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4">
        <w:r>
          <w:rPr>
            <w:rStyle w:val="Hyperlink"/>
          </w:rPr>
          <w:t xml:space="preserve">10.1016/b978-1-55860-092-8.50006-x</w:t>
        </w:r>
      </w:hyperlink>
      <w:r>
        <w:t xml:space="preserve">.</w:t>
      </w:r>
    </w:p>
    <w:bookmarkEnd w:id="125"/>
    <w:bookmarkStart w:id="126"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6"/>
    <w:bookmarkStart w:id="128"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7">
        <w:r>
          <w:rPr>
            <w:rStyle w:val="Hyperlink"/>
          </w:rPr>
          <w:t xml:space="preserve">https://memory.ai/timely-blog/the-attention-economy</w:t>
        </w:r>
      </w:hyperlink>
      <w:r>
        <w:t xml:space="preserve">.</w:t>
      </w:r>
    </w:p>
    <w:bookmarkEnd w:id="128"/>
    <w:bookmarkStart w:id="130"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9">
        <w:r>
          <w:rPr>
            <w:rStyle w:val="Hyperlink"/>
          </w:rPr>
          <w:t xml:space="preserve">https://www.wired.com/insights/2014/07/data-new-oil-digital-economy/</w:t>
        </w:r>
      </w:hyperlink>
      <w:r>
        <w:t xml:space="preserve">.</w:t>
      </w:r>
    </w:p>
    <w:bookmarkEnd w:id="130"/>
    <w:bookmarkStart w:id="13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1">
        <w:r>
          <w:rPr>
            <w:rStyle w:val="Hyperlink"/>
          </w:rPr>
          <w:t xml:space="preserve">https://www.ted.com/talks/zeynep_tufekci_we_re_building_a_dystopia_just_to_make_people_click_on_ads</w:t>
        </w:r>
      </w:hyperlink>
      <w:r>
        <w:t xml:space="preserve">.</w:t>
      </w:r>
    </w:p>
    <w:bookmarkEnd w:id="132"/>
    <w:bookmarkStart w:id="134"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3">
        <w:r>
          <w:rPr>
            <w:rStyle w:val="Hyperlink"/>
          </w:rPr>
          <w:t xml:space="preserve">10.1145/2851581.2886436</w:t>
        </w:r>
      </w:hyperlink>
      <w:r>
        <w:t xml:space="preserve">.</w:t>
      </w:r>
    </w:p>
    <w:bookmarkEnd w:id="134"/>
    <w:bookmarkStart w:id="136"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5">
        <w:r>
          <w:rPr>
            <w:rStyle w:val="Hyperlink"/>
          </w:rPr>
          <w:t xml:space="preserve">https://books.google.co.uk/books?id=W7ZEDgAAQBAJ</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2022-08-26T11:01:39Z</dcterms:created>
  <dcterms:modified xsi:type="dcterms:W3CDTF">2022-08-26T11:01:39Z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