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our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lives in myriad ways, from determining eligibility to access particular services, benefits or products or targeting advertisements or recommendations to influencing our decisions and behaviour. Data about people has become extremely valuable. It is</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driving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collects data and exploits it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—World Economic Forum</w:t>
      </w:r>
      <w:r>
        <w:t xml:space="preserve"> </w:t>
      </w:r>
      <w:r>
        <w:t xml:space="preserve">(</w:t>
      </w:r>
      <w:hyperlink w:anchor="ref-wef2014context">
        <w:r>
          <w:rPr>
            <w:rStyle w:val="Hyperlink"/>
          </w:rPr>
          <w:t xml:space="preserve">Hoffman, 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subsequently cut out of the loop. Without understanding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its participatory Case Studies make a novel contribution to knowledge, producing a deep understanding of how people relate to data, what capabilities people want, and how they would like service providers to handle their data. These understandings, shaped as six core human desires, can drive future research to empower individuals through their personal data.</w:t>
      </w:r>
    </w:p>
    <w:p>
      <w:pPr>
        <w:pStyle w:val="BodyText"/>
      </w:pPr>
      <w:r>
        <w:t xml:space="preserve">Part Two, building upon these findings,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additionally incorporates the sociotechnical and commercial realities of today’s data-centric world and defines a clear agenda for change. This new space is mapped out in terms of objectives, obstacles, approaches and designs, based on the author’s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1980s home computing revolution,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As companies adapted to the Information Age and shifted to data-driven, cloud-centric business models, our ability to harness computers for our own ends began to slip away. While immersed in the start-up community in Montréal, Canada, I became frustrated at this loss of potential. Driven to explore the reasons and implications of this loss of agency and the possibilities for more human-centric computing, I published several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drive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I sought to research, design and build a better digital future where computers could be made useful again. This led me to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want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 Part One of the thesis reports on two studies that invited participants to</w:t>
      </w:r>
      <w:r>
        <w:t xml:space="preserve"> </w:t>
      </w:r>
      <w:r>
        <w:t xml:space="preserve">‘</w:t>
      </w:r>
      <w:r>
        <w:t xml:space="preserve">look behind the curtain</w:t>
      </w:r>
      <w:r>
        <w:t xml:space="preserve">’</w:t>
      </w:r>
      <w:r>
        <w:t xml:space="preserve"> </w:t>
      </w:r>
      <w:r>
        <w:t xml:space="preserve">of the opaque data-centric organisations they interact with. These enabled participants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Design work to examination individual attitudes and desires around data in a</w:t>
      </w:r>
      <w:r>
        <w:t xml:space="preserve"> </w:t>
      </w:r>
      <w:r>
        <w:t xml:space="preserve">‘</w:t>
      </w:r>
      <w:r>
        <w:t xml:space="preserve">whole life</w:t>
      </w:r>
      <w:r>
        <w:t xml:space="preserve">’</w:t>
      </w:r>
      <w:r>
        <w:t xml:space="preserve"> </w:t>
      </w:r>
      <w:r>
        <w:t xml:space="preserve">sense is an under-researched area. Where HCI traditionally focuses on the mechanisms by which humans interact with data, the academic enquiry in Part One adopts a more sociotechnical focus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this thesis’s focus on empowering individuals through data.</w:t>
      </w:r>
    </w:p>
    <w:p>
      <w:pPr>
        <w:pStyle w:val="BodyText"/>
      </w:pPr>
      <w:r>
        <w:t xml:space="preserve">To support future researchers, activists and innovators in achieving the vision of a more human-centric future, the pursuit of wants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to their own advantage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These strategies, which should be viewed as speculative rather than definitive,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solidly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want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 RQ1 [</w:t>
      </w:r>
      <w:hyperlink w:anchor="RQ1">
        <w:r>
          <w:rPr>
            <w:rStyle w:val="Hyperlink"/>
          </w:rPr>
          <w:t xml:space="preserve">3.3.1</w:t>
        </w:r>
      </w:hyperlink>
      <w:r>
        <w:t xml:space="preserve">] and RQ2 [</w:t>
      </w:r>
      <w:hyperlink w:anchor="RQ2">
        <w:r>
          <w:rPr>
            <w:rStyle w:val="Hyperlink"/>
          </w:rPr>
          <w:t xml:space="preserve">3.3.2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 RQ1 by explaining that people have three specific desires for direct relations with data–for data to be:</w:t>
      </w:r>
    </w:p>
    <w:p>
      <w:pPr>
        <w:numPr>
          <w:ilvl w:val="0"/>
          <w:numId w:val="1004"/>
        </w:numPr>
        <w:pStyle w:val="Compact"/>
      </w:pPr>
      <w:r>
        <w:t xml:space="preserve">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 RQ2 by explaining the three things people want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enquiry into the lived realities described in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w:t>
      </w:r>
      <w:r>
        <w:t xml:space="preserve">lead to a synthesis</w:t>
      </w:r>
      <w:r>
        <w:t xml:space="preserve"> </w:t>
      </w:r>
      <w:hyperlink w:anchor="chapter-6">
        <w:r>
          <w:rPr>
            <w:rStyle w:val="Hyperlink"/>
          </w:rPr>
          <w:t xml:space="preserve">Chapter 6</w:t>
        </w:r>
      </w:hyperlink>
      <w:r>
        <w:t xml:space="preserve"> </w:t>
      </w:r>
      <w:r>
        <w:t xml:space="preserve">of what people want in data relations.</w:t>
      </w:r>
      <w:r>
        <w:t xml:space="preserve"> </w:t>
      </w:r>
      <w:hyperlink w:anchor="chapter-7">
        <w:r>
          <w:rPr>
            <w:rStyle w:val="Hyperlink"/>
          </w:rPr>
          <w:t xml:space="preserve">Chapter 7</w:t>
        </w:r>
      </w:hyperlink>
      <w:r>
        <w:t xml:space="preserve"> </w:t>
      </w:r>
      <w:r>
        <w:t xml:space="preserve">formalises this defined field of academic and practical endeavour, Human Data Relations [</w:t>
      </w:r>
      <w:hyperlink w:anchor="X96c51c3d98f021d42ee8c458ed421add6b4adde">
        <w:r>
          <w:rPr>
            <w:rStyle w:val="Hyperlink"/>
          </w:rPr>
          <w:t xml:space="preserve">7.3</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w:t>
      </w:r>
      <w:hyperlink w:anchor="X4035664301b06859586cb750fd8f8ad988856ea">
        <w:r>
          <w:rPr>
            <w:rStyle w:val="Hyperlink"/>
          </w:rPr>
          <w:t xml:space="preserve">7.6.1</w:t>
        </w:r>
      </w:hyperlink>
      <w:r>
        <w:t xml:space="preserve">], and</w:t>
      </w:r>
    </w:p>
    <w:p>
      <w:pPr>
        <w:numPr>
          <w:ilvl w:val="0"/>
          <w:numId w:val="1007"/>
        </w:numPr>
        <w:pStyle w:val="Compact"/>
      </w:pPr>
      <w:r>
        <w:t xml:space="preserve">Personal Data Ecosystem Control [</w:t>
      </w:r>
      <w:hyperlink w:anchor="Xdca50b5cb1feb03950b48f4419acb02a57783cb">
        <w:r>
          <w:rPr>
            <w:rStyle w:val="Hyperlink"/>
          </w:rPr>
          <w:t xml:space="preserve">7.6.2</w:t>
        </w:r>
      </w:hyperlink>
      <w:r>
        <w:t xml:space="preserve">].</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 thirteen</w:t>
      </w:r>
      <w:r>
        <w:t xml:space="preserve"> </w:t>
      </w:r>
      <w:hyperlink w:anchor="inset-boxes">
        <w:r>
          <w:rPr>
            <w:rStyle w:val="Hyperlink"/>
          </w:rPr>
          <w:t xml:space="preserve">Insights</w:t>
        </w:r>
      </w:hyperlink>
      <w:r>
        <w:t xml:space="preserve"> </w:t>
      </w:r>
      <w:r>
        <w:t xml:space="preserve">are explained that could seed future research and innovation towards tackling these obstacles:</w:t>
      </w:r>
    </w:p>
    <w:p>
      <w:pPr>
        <w:numPr>
          <w:ilvl w:val="0"/>
          <w:numId w:val="1009"/>
        </w:numPr>
        <w:pStyle w:val="Compact"/>
      </w:pPr>
      <w:hyperlink w:anchor="insight-1">
        <w:r>
          <w:rPr>
            <w:rStyle w:val="Hyperlink"/>
          </w:rPr>
          <w:t xml:space="preserve">1</w:t>
        </w:r>
      </w:hyperlink>
      <w:r>
        <w:t xml:space="preserve">. Life information makes data relatable.</w:t>
      </w:r>
    </w:p>
    <w:p>
      <w:pPr>
        <w:numPr>
          <w:ilvl w:val="0"/>
          <w:numId w:val="1009"/>
        </w:numPr>
        <w:pStyle w:val="Compact"/>
      </w:pPr>
      <w:hyperlink w:anchor="insight-2">
        <w:r>
          <w:rPr>
            <w:rStyle w:val="Hyperlink"/>
          </w:rPr>
          <w:t xml:space="preserve">2</w:t>
        </w:r>
      </w:hyperlink>
      <w:r>
        <w:t xml:space="preserve">. Data needs to be united and unified.</w:t>
      </w:r>
    </w:p>
    <w:p>
      <w:pPr>
        <w:numPr>
          <w:ilvl w:val="0"/>
          <w:numId w:val="1009"/>
        </w:numPr>
        <w:pStyle w:val="Compact"/>
      </w:pPr>
      <w:hyperlink w:anchor="insight-3">
        <w:r>
          <w:rPr>
            <w:rStyle w:val="Hyperlink"/>
          </w:rPr>
          <w:t xml:space="preserve">3</w:t>
        </w:r>
      </w:hyperlink>
      <w:r>
        <w:t xml:space="preserve">. Data must be transformed into a versatile material.</w:t>
      </w:r>
    </w:p>
    <w:p>
      <w:pPr>
        <w:numPr>
          <w:ilvl w:val="0"/>
          <w:numId w:val="1009"/>
        </w:numPr>
        <w:pStyle w:val="Compact"/>
      </w:pPr>
      <w:hyperlink w:anchor="insight-4">
        <w:r>
          <w:rPr>
            <w:rStyle w:val="Hyperlink"/>
          </w:rPr>
          <w:t xml:space="preserve">4</w:t>
        </w:r>
      </w:hyperlink>
      <w:r>
        <w:t xml:space="preserve">. Ecosystem information is an antidote to digital life complexity.</w:t>
      </w:r>
    </w:p>
    <w:p>
      <w:pPr>
        <w:numPr>
          <w:ilvl w:val="0"/>
          <w:numId w:val="1009"/>
        </w:numPr>
        <w:pStyle w:val="Compact"/>
      </w:pPr>
      <w:hyperlink w:anchor="insight-5">
        <w:r>
          <w:rPr>
            <w:rStyle w:val="Hyperlink"/>
          </w:rPr>
          <w:t xml:space="preserve">5</w:t>
        </w:r>
      </w:hyperlink>
      <w:r>
        <w:t xml:space="preserve">. We must know data’s provenance.</w:t>
      </w:r>
    </w:p>
    <w:p>
      <w:pPr>
        <w:numPr>
          <w:ilvl w:val="0"/>
          <w:numId w:val="1009"/>
        </w:numPr>
        <w:pStyle w:val="Compact"/>
      </w:pPr>
      <w:hyperlink w:anchor="insight-6">
        <w:r>
          <w:rPr>
            <w:rStyle w:val="Hyperlink"/>
          </w:rPr>
          <w:t xml:space="preserve">6</w:t>
        </w:r>
      </w:hyperlink>
      <w:r>
        <w:t xml:space="preserve">. Data holders exploit four levers of power to manipulate the digital landscape.</w:t>
      </w:r>
    </w:p>
    <w:p>
      <w:pPr>
        <w:numPr>
          <w:ilvl w:val="0"/>
          <w:numId w:val="1009"/>
        </w:numPr>
        <w:pStyle w:val="Compact"/>
      </w:pPr>
      <w:hyperlink w:anchor="insight-7">
        <w:r>
          <w:rPr>
            <w:rStyle w:val="Hyperlink"/>
          </w:rPr>
          <w:t xml:space="preserve">7</w:t>
        </w:r>
      </w:hyperlink>
      <w:r>
        <w:t xml:space="preserve">. We need new human-centred information systems that serve human values, relieve pain and deliver new life capabilities.</w:t>
      </w:r>
    </w:p>
    <w:p>
      <w:pPr>
        <w:numPr>
          <w:ilvl w:val="0"/>
          <w:numId w:val="1009"/>
        </w:numPr>
        <w:pStyle w:val="Compact"/>
      </w:pPr>
      <w:hyperlink w:anchor="insight-8">
        <w:r>
          <w:rPr>
            <w:rStyle w:val="Hyperlink"/>
          </w:rPr>
          <w:t xml:space="preserve">8</w:t>
        </w:r>
      </w:hyperlink>
      <w:r>
        <w:t xml:space="preserve">. We need to teach computers to understand human information.</w:t>
      </w:r>
    </w:p>
    <w:p>
      <w:pPr>
        <w:numPr>
          <w:ilvl w:val="0"/>
          <w:numId w:val="1009"/>
        </w:numPr>
        <w:pStyle w:val="Compact"/>
      </w:pPr>
      <w:hyperlink w:anchor="insight-9">
        <w:r>
          <w:rPr>
            <w:rStyle w:val="Hyperlink"/>
          </w:rPr>
          <w:t xml:space="preserve">9</w:t>
        </w:r>
      </w:hyperlink>
      <w:r>
        <w:t xml:space="preserve">. Individual GDPR requests can compel companies to change data practices.</w:t>
      </w:r>
    </w:p>
    <w:p>
      <w:pPr>
        <w:numPr>
          <w:ilvl w:val="0"/>
          <w:numId w:val="1009"/>
        </w:numPr>
        <w:pStyle w:val="Compact"/>
      </w:pPr>
      <w:hyperlink w:anchor="insight-10">
        <w:r>
          <w:rPr>
            <w:rStyle w:val="Hyperlink"/>
          </w:rPr>
          <w:t xml:space="preserve">10</w:t>
        </w:r>
      </w:hyperlink>
      <w:r>
        <w:t xml:space="preserve">. Collectives can compare and unify their data and use it to demand change.</w:t>
      </w:r>
    </w:p>
    <w:p>
      <w:pPr>
        <w:numPr>
          <w:ilvl w:val="0"/>
          <w:numId w:val="1009"/>
        </w:numPr>
        <w:pStyle w:val="Compact"/>
      </w:pPr>
      <w:hyperlink w:anchor="insight-11">
        <w:r>
          <w:rPr>
            <w:rStyle w:val="Hyperlink"/>
          </w:rPr>
          <w:t xml:space="preserve">11</w:t>
        </w:r>
      </w:hyperlink>
      <w:r>
        <w:t xml:space="preserve">. Automating the identification of entities can enhance machine understanding and unburden life interface users.</w:t>
      </w:r>
    </w:p>
    <w:p>
      <w:pPr>
        <w:numPr>
          <w:ilvl w:val="0"/>
          <w:numId w:val="1009"/>
        </w:numPr>
        <w:pStyle w:val="Compact"/>
      </w:pP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p>
    <w:p>
      <w:pPr>
        <w:numPr>
          <w:ilvl w:val="0"/>
          <w:numId w:val="1009"/>
        </w:numPr>
        <w:pStyle w:val="Compact"/>
      </w:pPr>
      <w:hyperlink w:anchor="insight-13">
        <w:r>
          <w:rPr>
            <w:rStyle w:val="Hyperlink"/>
          </w:rPr>
          <w:t xml:space="preserve">13</w:t>
        </w:r>
      </w:hyperlink>
      <w:r>
        <w:t xml:space="preserve">. It is possible (and necessary) to demonstrate business benefits of transparency and human-centricity.</w:t>
      </w:r>
    </w:p>
    <w:p>
      <w:pPr>
        <w:pStyle w:val="FirstParagraph"/>
      </w:pPr>
      <w:r>
        <w:rPr>
          <w:bCs/>
          <w:b/>
        </w:rPr>
        <w:t xml:space="preserve">C6</w:t>
      </w:r>
      <w:r>
        <w:rPr>
          <w:bCs/>
          <w:b/>
        </w:rPr>
        <w:t xml:space="preserve">: Four identified trajectories for advancing Human Data Relations</w:t>
      </w:r>
    </w:p>
    <w:p>
      <w:pPr>
        <w:pStyle w:val="BodyText"/>
      </w:pPr>
      <w:hyperlink w:anchor="chapter-9">
        <w:r>
          <w:rPr>
            <w:rStyle w:val="Hyperlink"/>
          </w:rPr>
          <w:t xml:space="preserve">Chapter 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10"/>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10"/>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10"/>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1"/>
        </w:numPr>
        <w:pStyle w:val="Compact"/>
      </w:pPr>
      <w:r>
        <w:t xml:space="preserve">appreciating the intrinsic value of personal data to themselves and others;</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platform/data separation is important;</w:t>
      </w:r>
    </w:p>
    <w:p>
      <w:pPr>
        <w:numPr>
          <w:ilvl w:val="0"/>
          <w:numId w:val="1011"/>
        </w:numPr>
        <w:pStyle w:val="Compact"/>
      </w:pPr>
      <w:r>
        <w:t xml:space="preserve">understanding one’s data rights enough to confidently execute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Context</w:t>
      </w:r>
    </w:p>
    <w:p>
      <w:pPr>
        <w:pStyle w:val="FirstParagraph"/>
      </w:pPr>
      <w:r>
        <w:rPr>
          <w:bCs/>
          <w:b/>
        </w:rPr>
        <w:t xml:space="preserve">C8</w:t>
      </w:r>
      <w:r>
        <w:rPr>
          <w:bCs/>
          <w:b/>
        </w:rPr>
        <w:t xml:space="preserve">: Validation and documentation of supported families’ attitudes and desires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2"/>
        </w:numPr>
        <w:pStyle w:val="Compact"/>
      </w:pPr>
      <w:r>
        <w:t xml:space="preserve">Supported families need meaningful interaction with and through data,</w:t>
      </w:r>
    </w:p>
    <w:p>
      <w:pPr>
        <w:numPr>
          <w:ilvl w:val="0"/>
          <w:numId w:val="1012"/>
        </w:numPr>
        <w:pStyle w:val="Compact"/>
      </w:pPr>
      <w:r>
        <w:t xml:space="preserve">They need to be given a voice to explain, challenge or add context to data, and</w:t>
      </w:r>
    </w:p>
    <w:p>
      <w:pPr>
        <w:numPr>
          <w:ilvl w:val="0"/>
          <w:numId w:val="1012"/>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Providers of care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w:t>
      </w:r>
      <w:r>
        <w:t xml:space="preserve"> </w:t>
      </w:r>
      <w:hyperlink w:anchor="Xdecc0e8ff84b4e8fdb98d4490fcb5b15d4e95fa">
        <w:r>
          <w:rPr>
            <w:rStyle w:val="Hyperlink"/>
          </w:rPr>
          <w:t xml:space="preserve">4.2.4</w:t>
        </w:r>
      </w:hyperlink>
      <w:r>
        <w:t xml:space="preserve"> </w:t>
      </w:r>
      <w:r>
        <w:t xml:space="preserve">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and–after thorough exploration by participants [</w:t>
      </w:r>
      <w:hyperlink w:anchor="table-3.1">
        <w:r>
          <w:rPr>
            <w:rStyle w:val="Hyperlink"/>
          </w:rPr>
          <w:t xml:space="preserve">Table 3.1</w:t>
        </w:r>
      </w:hyperlink>
      <w:r>
        <w:t xml:space="preserve">]–was perceived to be beneficial. The expected benefits (and challenges) of such an approach are explored in</w:t>
      </w:r>
      <w:r>
        <w:t xml:space="preserve">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GDPR and Everyday Data Context</w:t>
      </w:r>
    </w:p>
    <w:p>
      <w:pPr>
        <w:pStyle w:val="FirstParagraph"/>
      </w:pPr>
      <w:r>
        <w:rPr>
          <w:bCs/>
          <w:b/>
        </w:rPr>
        <w:t xml:space="preserve">C10: A model to understand the five different origins of held personal data</w:t>
      </w:r>
    </w:p>
    <w:p>
      <w:pPr>
        <w:pStyle w:val="BodyText"/>
      </w:pPr>
      <w:hyperlink w:anchor="table-5.2">
        <w:r>
          <w:rPr>
            <w:rStyle w:val="Hyperlink"/>
          </w:rPr>
          <w:t xml:space="preserve">Table 5.2</w:t>
        </w:r>
      </w:hyperlink>
      <w:r>
        <w:t xml:space="preserve"> </w:t>
      </w:r>
      <w:r>
        <w:t xml:space="preserve">describes five different types of data organisations can hold about individuals:</w:t>
      </w:r>
    </w:p>
    <w:p>
      <w:pPr>
        <w:numPr>
          <w:ilvl w:val="0"/>
          <w:numId w:val="1013"/>
        </w:numPr>
        <w:pStyle w:val="Compact"/>
      </w:pPr>
      <w:r>
        <w:t xml:space="preserve">Volunteered Data</w:t>
      </w:r>
    </w:p>
    <w:p>
      <w:pPr>
        <w:numPr>
          <w:ilvl w:val="0"/>
          <w:numId w:val="1013"/>
        </w:numPr>
        <w:pStyle w:val="Compact"/>
      </w:pPr>
      <w:r>
        <w:t xml:space="preserve">Observed Data</w:t>
      </w:r>
    </w:p>
    <w:p>
      <w:pPr>
        <w:numPr>
          <w:ilvl w:val="0"/>
          <w:numId w:val="1013"/>
        </w:numPr>
        <w:pStyle w:val="Compact"/>
      </w:pPr>
      <w:r>
        <w:t xml:space="preserve">Derived Data</w:t>
      </w:r>
    </w:p>
    <w:p>
      <w:pPr>
        <w:numPr>
          <w:ilvl w:val="0"/>
          <w:numId w:val="1013"/>
        </w:numPr>
        <w:pStyle w:val="Compact"/>
      </w:pPr>
      <w:r>
        <w:t xml:space="preserve">Acquired Data</w:t>
      </w:r>
    </w:p>
    <w:p>
      <w:pPr>
        <w:numPr>
          <w:ilvl w:val="0"/>
          <w:numId w:val="1013"/>
        </w:numPr>
        <w:pStyle w:val="Compact"/>
      </w:pPr>
      <w:r>
        <w:t xml:space="preserve">Metadata</w:t>
      </w:r>
    </w:p>
    <w:p>
      <w:pPr>
        <w:pStyle w:val="FirstParagraph"/>
      </w:pPr>
      <w:r>
        <w:t xml:space="preserve">This model has been used as both during design and ideation sessions at BBC R&amp;D as well as being used and cited within Sitra/Hestia.ai’s</w:t>
      </w:r>
      <w:r>
        <w:t xml:space="preserve"> </w:t>
      </w:r>
      <w:r>
        <w:rPr>
          <w:iCs/>
          <w:i/>
        </w:rPr>
        <w:t xml:space="preserve">digipower</w:t>
      </w:r>
      <w:r>
        <w:t xml:space="preserve"> </w:t>
      </w:r>
      <w:r>
        <w:t xml:space="preserve">investigation [</w:t>
      </w:r>
      <w:hyperlink w:anchor="ARI7.2">
        <w:r>
          <w:rPr>
            <w:rStyle w:val="Hyperlink"/>
          </w:rPr>
          <w:t xml:space="preserve">ARI7.2</w:t>
        </w:r>
      </w:hyperlink>
      <w:r>
        <w:t xml:space="preserve">],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iCs/>
          <w:i/>
        </w:rPr>
        <w:t xml:space="preserve">decrease</w:t>
      </w:r>
      <w:r>
        <w:t xml:space="preserve"> </w:t>
      </w:r>
      <w:r>
        <w:t xml:space="preserve">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4"/>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4"/>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previously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 </w:t>
      </w:r>
      <w:r>
        <w:t xml:space="preserve">and</w:t>
      </w:r>
      <w:r>
        <w:t xml:space="preserve"> </w:t>
      </w:r>
      <w:hyperlink w:anchor="chapter-6">
        <w:r>
          <w:rPr>
            <w:rStyle w:val="Hyperlink"/>
          </w:rPr>
          <w:t xml:space="preserve">6</w:t>
        </w:r>
      </w:hyperlink>
      <w:r>
        <w:t xml:space="preserve"> </w:t>
      </w:r>
      <w:r>
        <w:t xml:space="preserve">and in</w:t>
      </w:r>
      <w:r>
        <w:t xml:space="preserve"> </w:t>
      </w:r>
      <w:hyperlink w:anchor="chapter-7">
        <w:r>
          <w:rPr>
            <w:rStyle w:val="Hyperlink"/>
          </w:rPr>
          <w:t xml:space="preserve">Part Two</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journal paper is in prep.</w:t>
      </w:r>
    </w:p>
    <w:p>
      <w:pPr>
        <w:pStyle w:val="CaptionedFigure"/>
      </w:pPr>
      <w:bookmarkStart w:id="36" w:name="figure-1.1"/>
      <w:r>
        <w:drawing>
          <wp:inline>
            <wp:extent cx="5334000" cy="7541887"/>
            <wp:effectExtent b="0" l="0" r="0" t="0"/>
            <wp:docPr descr="Figure 1.1: Poster Presentation of Case Study One at CHI 2019"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 at CHI 2019</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These outputs included material from, or directly contributed to, this thesis and its arguments.</w:t>
      </w:r>
    </w:p>
    <w:p>
      <w:pPr>
        <w:numPr>
          <w:ilvl w:val="0"/>
          <w:numId w:val="1018"/>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a lecture about my research that I was invited to give to undergraduate students at both Northumbria University and Newcastle University in early 2020, just prior to the pandemic;</w:t>
      </w:r>
    </w:p>
    <w:p>
      <w:pPr>
        <w:numPr>
          <w:ilvl w:val="0"/>
          <w:numId w:val="1018"/>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my entry into Newcastle University’s 3-minute thesis competition in April 2021, for which I was co-winner of the people’s choice prize;</w:t>
      </w:r>
    </w:p>
    <w:p>
      <w:pPr>
        <w:numPr>
          <w:ilvl w:val="0"/>
          <w:numId w:val="1018"/>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9"/>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2021, pp. 129–130</w:t>
        </w:r>
      </w:hyperlink>
      <w:r>
        <w:t xml:space="preserve">)</w:t>
      </w:r>
      <w:r>
        <w:t xml:space="preserve">.</w:t>
      </w:r>
    </w:p>
    <w:p>
      <w:pPr>
        <w:numPr>
          <w:ilvl w:val="0"/>
          <w:numId w:val="1019"/>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9"/>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and wrote and presented a</w:t>
      </w:r>
      <w:r>
        <w:t xml:space="preserve"> </w:t>
      </w:r>
      <w:r>
        <w:t xml:space="preserve">‘</w:t>
      </w:r>
      <w:r>
        <w:t xml:space="preserve">stimulus presentation</w:t>
      </w:r>
      <w:r>
        <w:t xml:space="preserve">’</w:t>
      </w:r>
      <w:r>
        <w:t xml:space="preserve"> </w:t>
      </w:r>
      <w:r>
        <w:t xml:space="preserve">to launch an internal hack week.</w:t>
      </w:r>
    </w:p>
    <w:p>
      <w:pPr>
        <w:numPr>
          <w:ilvl w:val="0"/>
          <w:numId w:val="1019"/>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in answer to RQ1 and RQ2, what people want from data and from data holders, concluding the academic investigation.</w:t>
      </w:r>
    </w:p>
    <w:p>
      <w:pPr>
        <w:pStyle w:val="BodyText"/>
      </w:pPr>
      <w:r>
        <w:t xml:space="preserve">Part Two is adversarial design work and strategic planning, expanding the original research question to examine how the desires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w:t>
      </w:r>
      <w:r>
        <w:t xml:space="preserve"> </w:t>
      </w:r>
      <w:hyperlink w:anchor="chapter-8">
        <w:r>
          <w:rPr>
            <w:rStyle w:val="Hyperlink"/>
          </w:rPr>
          <w:t xml:space="preserve">Chapter 8</w:t>
        </w:r>
      </w:hyperlink>
      <w:r>
        <w:t xml:space="preserve">. Four specific strategic approaches to change, including detailed designs, are laid out in</w:t>
      </w:r>
      <w:r>
        <w:t xml:space="preserve"> </w:t>
      </w:r>
      <w:hyperlink w:anchor="chapter-9">
        <w:r>
          <w:rPr>
            <w:rStyle w:val="Hyperlink"/>
          </w:rPr>
          <w:t xml:space="preserve">Chapter 9</w:t>
        </w:r>
      </w:hyperlink>
      <w:r>
        <w:t xml:space="preserve"> </w:t>
      </w:r>
      <w:r>
        <w:t xml:space="preserve">as recommendations for future work, before the thesis is concluded in</w:t>
      </w:r>
      <w:r>
        <w:t xml:space="preserve">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w:t>
      </w:r>
      <w:r>
        <w:t xml:space="preserve"> </w:t>
      </w:r>
      <w:r>
        <w:rPr>
          <w:iCs/>
          <w:i/>
        </w:rPr>
        <w:t xml:space="preserve">Personal Information Management</w:t>
      </w:r>
      <w:r>
        <w:t xml:space="preserve"> </w:t>
      </w:r>
      <w:r>
        <w:t xml:space="preserve">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want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above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 Making.</w:t>
      </w:r>
    </w:p>
    <w:p>
      <w:pPr>
        <w:pStyle w:val="BodyText"/>
      </w:pPr>
      <w:hyperlink w:anchor="chapter-5">
        <w:r>
          <w:rPr>
            <w:rStyle w:val="Hyperlink"/>
          </w:rPr>
          <w:t xml:space="preserve">Chapter 5</w:t>
        </w:r>
      </w:hyperlink>
      <w:r>
        <w:t xml:space="preserve"> </w:t>
      </w:r>
      <w:r>
        <w:t xml:space="preserve">reports on Case Study Two.</w:t>
      </w:r>
      <w:r>
        <w:t xml:space="preserve"> </w:t>
      </w:r>
      <w:hyperlink w:anchor="X746a82081d852d58b152584407d5b80d3ac43f3">
        <w:r>
          <w:rPr>
            <w:rStyle w:val="Hyperlink"/>
          </w:rPr>
          <w:t xml:space="preserve">5.1</w:t>
        </w:r>
      </w:hyperlink>
      <w:r>
        <w:t xml:space="preserve"> </w:t>
      </w:r>
      <w:r>
        <w:t xml:space="preserve">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w:t>
      </w:r>
      <w:r>
        <w:t xml:space="preserve"> </w:t>
      </w:r>
      <w:hyperlink w:anchor="X3c10c50990743199cc887aaacd3f88a0a0a026e">
        <w:r>
          <w:rPr>
            <w:rStyle w:val="Hyperlink"/>
          </w:rPr>
          <w:t xml:space="preserve">6.3</w:t>
        </w:r>
      </w:hyperlink>
      <w:r>
        <w:t xml:space="preserve"> </w:t>
      </w:r>
      <w:r>
        <w:t xml:space="preserve">concludes the chapter and Part One, by outlining this thesis’s purpose to address the power imbalance over personal data, positions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 pursuing four objectives [</w:t>
      </w:r>
      <w:hyperlink w:anchor="Xa53a7020f5014c3c46abf7c2e460206e04bf007">
        <w:r>
          <w:rPr>
            <w:rStyle w:val="Hyperlink"/>
          </w:rPr>
          <w:t xml:space="preserve">7.7</w:t>
        </w:r>
      </w:hyperlink>
      <w:r>
        <w:t xml:space="preserve">]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(2021)</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2022-08-25T13:27:23Z</dcterms:created>
  <dcterms:modified xsi:type="dcterms:W3CDTF">2022-08-25T13:27:23Z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