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 </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Through academic inquiry over two Case Studies, it makes a novel contribution to knowledge, arriving at a deep understanding of how people relate to data, what capabilities people need, and how they would like service providers to handle their data. Existing Human-Computer Interaction (HCI) research tends to focus upon the mechanisms by which humans interact with data without considering the sociotechnical perspective. This thesis defines a new, broader frame for this problem space,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to encompass sociotechnical and commercial realities of today’s data-centric world. The new framing offered (and explained in depth) is</w:t>
      </w:r>
      <w:r>
        <w:t xml:space="preserve"> </w:t>
      </w:r>
      <w:r>
        <w:rPr>
          <w:bCs/>
          <w:b/>
        </w:rPr>
        <w:t xml:space="preserve">Human Data Relations (HDR)</w:t>
      </w:r>
      <w:r>
        <w:t xml:space="preserve">. If societal benefits are to be achieved, these data needs must be pursued in practice. This motivates the second discussion chapter, which seeks to extend the contribution of the thesis by mapping out the landscape of obstacles, opportunities and insights in HDR, so that future researchers and innovators will be better equipped to explore and pursue the empowerment of individuals through personal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where, through the digitalisation of businesses and the shift to data-centric cloud-centric business models, we began, and continue to, lose the ability to harness computers for our own ends.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shadow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need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t xml:space="preserve">‘</w:t>
      </w:r>
      <w:r>
        <w:t xml:space="preserve">look behind the curtain</w:t>
      </w:r>
      <w: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 generation of a descriptive model to address the research gap,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 designerly thoughts, models and ideas 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in related industrial research as well as the work of other researchers and innovators in this space, this thesis prioritises the documentation of obstacles, important insights and opportunities for future work. The primary contribution here, as the thesis concludes, is to map out current, emergent and future approaches for improving people’s agency and negotiability,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4"/>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4"/>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4"/>
        </w:numPr>
        <w:pStyle w:val="Compact"/>
      </w:pPr>
      <w:r>
        <w:rPr>
          <w:bCs/>
          <w:b/>
        </w:rPr>
        <w:t xml:space="preserve">useable</w:t>
      </w:r>
      <w:hyperlink w:anchor="fn13">
        <w:r>
          <w:rPr>
            <w:rStyle w:val="Hyperlink"/>
          </w:rPr>
          <w:t xml:space="preserve">13</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5"/>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5"/>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5"/>
        </w:numPr>
        <w:pStyle w:val="Compact"/>
      </w:pPr>
      <w:r>
        <w:rPr>
          <w:bCs/>
          <w:b/>
        </w:rPr>
        <w:t xml:space="preserve">involvement</w:t>
      </w:r>
      <w:r>
        <w:t xml:space="preserve"> </w:t>
      </w:r>
      <w:r>
        <w:t xml:space="preserve">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6"/>
        </w:numPr>
        <w:pStyle w:val="Compact"/>
      </w:pPr>
      <w:r>
        <w:rPr>
          <w:bCs/>
          <w:b/>
        </w:rPr>
        <w:t xml:space="preserve">data awareness and understanding</w:t>
      </w:r>
    </w:p>
    <w:p>
      <w:pPr>
        <w:numPr>
          <w:ilvl w:val="0"/>
          <w:numId w:val="1006"/>
        </w:numPr>
        <w:pStyle w:val="Compact"/>
      </w:pPr>
      <w:r>
        <w:rPr>
          <w:bCs/>
          <w:b/>
        </w:rPr>
        <w:t xml:space="preserve">data useability</w:t>
      </w:r>
    </w:p>
    <w:p>
      <w:pPr>
        <w:numPr>
          <w:ilvl w:val="0"/>
          <w:numId w:val="1006"/>
        </w:numPr>
        <w:pStyle w:val="Compact"/>
      </w:pPr>
      <w:r>
        <w:rPr>
          <w:bCs/>
          <w:b/>
        </w:rPr>
        <w:t xml:space="preserve">ecosystem awareness and understanding</w:t>
      </w:r>
    </w:p>
    <w:p>
      <w:pPr>
        <w:numPr>
          <w:ilvl w:val="0"/>
          <w:numId w:val="1006"/>
        </w:numPr>
        <w:pStyle w:val="Compact"/>
      </w:pPr>
      <w:r>
        <w:rPr>
          <w:bCs/>
          <w:b/>
        </w:rPr>
        <w:t xml:space="preserve">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7"/>
        </w:numPr>
        <w:pStyle w:val="Compact"/>
      </w:pPr>
      <w:r>
        <w:rPr>
          <w:bCs/>
          <w:b/>
        </w:rPr>
        <w:t xml:space="preserve">Life Information Utilisation</w:t>
      </w:r>
      <w:r>
        <w:t xml:space="preserve">, and</w:t>
      </w:r>
    </w:p>
    <w:p>
      <w:pPr>
        <w:numPr>
          <w:ilvl w:val="0"/>
          <w:numId w:val="1007"/>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09"/>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09"/>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09"/>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09"/>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0"/>
        </w:numPr>
        <w:pStyle w:val="Compact"/>
      </w:pPr>
      <w:r>
        <w:t xml:space="preserve">appreciating the value of personal data;</w:t>
      </w:r>
    </w:p>
    <w:p>
      <w:pPr>
        <w:numPr>
          <w:ilvl w:val="0"/>
          <w:numId w:val="1010"/>
        </w:numPr>
        <w:pStyle w:val="Compact"/>
      </w:pPr>
      <w:r>
        <w:t xml:space="preserve">understanding the implications of organisational data use;</w:t>
      </w:r>
    </w:p>
    <w:p>
      <w:pPr>
        <w:numPr>
          <w:ilvl w:val="0"/>
          <w:numId w:val="1010"/>
        </w:numPr>
        <w:pStyle w:val="Compact"/>
      </w:pPr>
      <w:r>
        <w:t xml:space="preserve">recognising why portable data and app/data separation is important;</w:t>
      </w:r>
    </w:p>
    <w:p>
      <w:pPr>
        <w:numPr>
          <w:ilvl w:val="0"/>
          <w:numId w:val="1010"/>
        </w:numPr>
        <w:pStyle w:val="Compact"/>
      </w:pPr>
      <w:r>
        <w:t xml:space="preserve">knowing how to exercise data rights and evaluate responses;</w:t>
      </w:r>
    </w:p>
    <w:p>
      <w:pPr>
        <w:numPr>
          <w:ilvl w:val="0"/>
          <w:numId w:val="1010"/>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1"/>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1"/>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1"/>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2"/>
        </w:numPr>
        <w:pStyle w:val="Compact"/>
      </w:pPr>
      <w:r>
        <w:rPr>
          <w:bCs/>
          <w:b/>
        </w:rPr>
        <w:t xml:space="preserve">Volunteered Data</w:t>
      </w:r>
    </w:p>
    <w:p>
      <w:pPr>
        <w:numPr>
          <w:ilvl w:val="0"/>
          <w:numId w:val="1012"/>
        </w:numPr>
        <w:pStyle w:val="Compact"/>
      </w:pPr>
      <w:r>
        <w:rPr>
          <w:bCs/>
          <w:b/>
        </w:rPr>
        <w:t xml:space="preserve">Observed Data</w:t>
      </w:r>
    </w:p>
    <w:p>
      <w:pPr>
        <w:numPr>
          <w:ilvl w:val="0"/>
          <w:numId w:val="1012"/>
        </w:numPr>
        <w:pStyle w:val="Compact"/>
      </w:pPr>
      <w:r>
        <w:rPr>
          <w:bCs/>
          <w:b/>
        </w:rPr>
        <w:t xml:space="preserve">Derived Data</w:t>
      </w:r>
    </w:p>
    <w:p>
      <w:pPr>
        <w:numPr>
          <w:ilvl w:val="0"/>
          <w:numId w:val="1012"/>
        </w:numPr>
        <w:pStyle w:val="Compact"/>
      </w:pPr>
      <w:r>
        <w:rPr>
          <w:bCs/>
          <w:b/>
        </w:rPr>
        <w:t xml:space="preserve">Acquired Data</w:t>
      </w:r>
    </w:p>
    <w:p>
      <w:pPr>
        <w:numPr>
          <w:ilvl w:val="0"/>
          <w:numId w:val="1012"/>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5">
        <w:r>
          <w:rPr>
            <w:rStyle w:val="Hyperlink"/>
          </w:rPr>
          <w:t xml:space="preserve">Table 5.5</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3"/>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3"/>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4"/>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5"/>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6"/>
        </w:numPr>
        <w:pStyle w:val="Compact"/>
      </w:pPr>
      <w:hyperlink r:id="rId38">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7"/>
        </w:numPr>
        <w:pStyle w:val="Compact"/>
      </w:pPr>
      <w:hyperlink r:id="rId39">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7"/>
        </w:numPr>
        <w:pStyle w:val="Compact"/>
      </w:pPr>
      <w:hyperlink r:id="rId40">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7"/>
        </w:numPr>
        <w:pStyle w:val="Compact"/>
      </w:pPr>
      <w:hyperlink r:id="rId41">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2">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lecture">
        <w:r>
          <w:rPr>
            <w:rStyle w:val="Hyperlink"/>
          </w:rPr>
          <w:t xml:space="preserve">Bowyer, 2020b</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3">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7"/>
        </w:numPr>
        <w:pStyle w:val="Compact"/>
      </w:pPr>
      <w:hyperlink r:id="rId44">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04ca063b6845d470c10139c5272853c062aa84e">
        <w:r>
          <w:rPr>
            <w:rStyle w:val="Hyperlink"/>
          </w:rPr>
          <w:t xml:space="preserve">7.1.2</w:t>
        </w:r>
      </w:hyperlink>
      <w:r>
        <w:t xml:space="preserve">]:</w:t>
      </w:r>
    </w:p>
    <w:p>
      <w:pPr>
        <w:numPr>
          <w:ilvl w:val="0"/>
          <w:numId w:val="1018"/>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and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w:t>
      </w:r>
    </w:p>
    <w:p>
      <w:pPr>
        <w:numPr>
          <w:ilvl w:val="0"/>
          <w:numId w:val="1018"/>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8"/>
        </w:numPr>
        <w:pStyle w:val="Compact"/>
      </w:pPr>
      <w:r>
        <w:t xml:space="preserve">I was co-author to two research publications</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research intern at BBC R&amp;D [#ari-4],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as well as a</w:t>
      </w:r>
      <w:r>
        <w:t xml:space="preserve"> </w:t>
      </w:r>
      <w:r>
        <w:t xml:space="preserve">‘</w:t>
      </w:r>
      <w:r>
        <w:t xml:space="preserve">stimulus presentation</w:t>
      </w:r>
      <w:r>
        <w:t xml:space="preserve">’</w:t>
      </w:r>
      <w:r>
        <w:t xml:space="preserve"> </w:t>
      </w:r>
      <w:r>
        <w:t xml:space="preserve">to launch an internal hack week.</w:t>
      </w:r>
    </w:p>
    <w:p>
      <w:pPr>
        <w:numPr>
          <w:ilvl w:val="0"/>
          <w:numId w:val="1018"/>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In [</w:t>
      </w:r>
      <w:hyperlink w:anchor="chapter-6">
        <w:r>
          <w:rPr>
            <w:rStyle w:val="Hyperlink"/>
          </w:rPr>
          <w:t xml:space="preserve">Chapter 6</w:t>
        </w:r>
      </w:hyperlink>
      <w:r>
        <w:t xml:space="preserve">] the findings and insights from the Case Studies are synthesised to explain what people want from data and from data holders, concluding the academic investigation of the two research questions. [</w:t>
      </w:r>
      <w:hyperlink w:anchor="chapter-7">
        <w:r>
          <w:rPr>
            <w:rStyle w:val="Hyperlink"/>
          </w:rPr>
          <w:t xml:space="preserve">Chapter 7</w:t>
        </w:r>
      </w:hyperlink>
      <w:r>
        <w:t xml:space="preserve">] looks beyond the theoretical to the practical, making recommendations for future research and innovation in the HDR landscape.</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56" w:name="figure-1.2"/>
      <w:r>
        <w:drawing>
          <wp:inline>
            <wp:extent cx="5334000" cy="2160253"/>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160253"/>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w:t>
      </w:r>
      <w:r>
        <w:t xml:space="preserve"> </w:t>
      </w:r>
      <w:r>
        <w:rPr>
          <w:iCs/>
          <w:i/>
        </w:rPr>
        <w:t xml:space="preserve">HCI</w:t>
      </w:r>
      <w:r>
        <w:t xml:space="preserve"> </w:t>
      </w:r>
      <w:r>
        <w:t xml:space="preserve">and</w:t>
      </w:r>
      <w:r>
        <w:t xml:space="preserve"> </w:t>
      </w:r>
      <w:r>
        <w:rPr>
          <w:iCs/>
          <w:i/>
        </w:rPr>
        <w:t xml:space="preserve">Human-Data Interaction</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RQ from Chapter 2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and discussed [</w:t>
      </w:r>
      <w:hyperlink w:anchor="X3883f9a9f04a04af0c790df93d414e14826cfb7">
        <w:r>
          <w:rPr>
            <w:rStyle w:val="Hyperlink"/>
          </w:rPr>
          <w:t xml:space="preserve">4.4</w:t>
        </w:r>
      </w:hyperlink>
      <w:r>
        <w:t xml:space="preserve">] in terms of involving people with their data, effective data access, and shifting the Locus of Decision-making.</w:t>
      </w:r>
    </w:p>
    <w:p>
      <w:pPr>
        <w:pStyle w:val="BodyText"/>
      </w:pPr>
      <w:hyperlink w:anchor="chapter-5">
        <w:r>
          <w:rPr>
            <w:rStyle w:val="Hyperlink"/>
          </w:rPr>
          <w:t xml:space="preserve">Chapter 5</w:t>
        </w:r>
      </w:hyperlink>
      <w:r>
        <w:t xml:space="preserve"> </w:t>
      </w:r>
      <w:r>
        <w:t xml:space="preserve">reports on Case Study Two. [</w:t>
      </w:r>
      <w:hyperlink w:anchor="X746a82081d852d58b152584407d5b80d3ac43f3">
        <w:r>
          <w:rPr>
            <w:rStyle w:val="Hyperlink"/>
          </w:rPr>
          <w:t xml:space="preserve">5.1</w:t>
        </w:r>
      </w:hyperlink>
      <w:r>
        <w:t xml:space="preserve">] contextualises data access in light of the GDPR and explains the human-centric approach to this study, which is detailed in</w:t>
      </w:r>
      <w:r>
        <w:t xml:space="preserve">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 [</w:t>
      </w:r>
      <w:hyperlink w:anchor="X3c10c50990743199cc887aaacd3f88a0a0a026e">
        <w:r>
          <w:rPr>
            <w:rStyle w:val="Hyperlink"/>
          </w:rPr>
          <w:t xml:space="preserve">6.3</w:t>
        </w:r>
      </w:hyperlink>
      <w:r>
        <w:t xml:space="preserve">] concludes the chapter by outlining this thesis’s perspective on addressing the power imbalance over personal data, and positions of these six</w:t>
      </w:r>
      <w:r>
        <w:t xml:space="preserve"> </w:t>
      </w:r>
      <w:r>
        <w:t xml:space="preserve">‘</w:t>
      </w:r>
      <w:r>
        <w:t xml:space="preserve">data wants</w:t>
      </w:r>
      <w:r>
        <w:t xml:space="preserve">’</w:t>
      </w:r>
      <w:r>
        <w:t xml:space="preserve"> </w:t>
      </w:r>
      <w:r>
        <w:t xml:space="preserve">as</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is a deliberately broad and open-ended chapter, exploring the pursuit of the goals of the previous chapter in order to draw out designerly and practical insights. It extends the traditional thesis structure in order to provide ideas on</w:t>
      </w:r>
      <w:r>
        <w:t xml:space="preserve"> </w:t>
      </w:r>
      <w:r>
        <w:rPr>
          <w:iCs/>
          <w:i/>
        </w:rPr>
        <w:t xml:space="preserve">how human-centric empowerment might be achieved</w:t>
      </w:r>
      <w:r>
        <w:t xml:space="preserve">. These ideas can become valuable and actionable reference material for future researchers, activists and innovators. [</w:t>
      </w:r>
      <w:hyperlink w:anchor="Xc8e800b130e88f8d15b2c092b8d2fd1e5eaa830">
        <w:r>
          <w:rPr>
            <w:rStyle w:val="Hyperlink"/>
          </w:rPr>
          <w:t xml:space="preserve">7.1</w:t>
        </w:r>
      </w:hyperlink>
      <w:r>
        <w:t xml:space="preserve">] introduces the peripheral contexts from which the insights arise. In [</w:t>
      </w:r>
      <w:hyperlink w:anchor="Xd90f00e19f5543904caf9ab2abd5b800e0613c0">
        <w:r>
          <w:rPr>
            <w:rStyle w:val="Hyperlink"/>
          </w:rPr>
          <w:t xml:space="preserve">7.2</w:t>
        </w:r>
      </w:hyperlink>
      <w:r>
        <w:t xml:space="preserve">], insights from the thesis’s findings and external experiences are synthesised to frame the pursuit of this thesis’s data wants as a defined field of future research, called</w:t>
      </w:r>
      <w:r>
        <w:t xml:space="preserve"> </w:t>
      </w:r>
      <w:r>
        <w:rPr>
          <w:bCs/>
          <w:b/>
        </w:rPr>
        <w:t xml:space="preserve">Human Data Relations (HDR)</w:t>
      </w:r>
      <w:r>
        <w:t xml:space="preserve">, whose practitioners act as a</w:t>
      </w:r>
      <w:r>
        <w:t xml:space="preserve"> </w:t>
      </w:r>
      <w:r>
        <w:rPr>
          <w:iCs/>
          <w:i/>
        </w:rPr>
        <w:t xml:space="preserve">recursive public</w:t>
      </w:r>
      <w:r>
        <w:t xml:space="preserve">, pursuing four objectives for increased awareness, understanding and negotiability. The landscape of HDR is mapped out in two parts. [</w:t>
      </w:r>
      <w:hyperlink w:anchor="X96c51c3d98f021d42ee8c458ed421add6b4adde">
        <w:r>
          <w:rPr>
            <w:rStyle w:val="Hyperlink"/>
          </w:rPr>
          <w:t xml:space="preserve">7.3</w:t>
        </w:r>
      </w:hyperlink>
      <w:r>
        <w:t xml:space="preserve">], focuses on identifying obstacles 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 (ToC)</w:t>
      </w:r>
      <w:r>
        <w:t xml:space="preserve"> </w:t>
      </w:r>
      <w:r>
        <w:t xml:space="preserve">framing, introduces opportunities for progress, arranged as</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13 actionable</w:t>
      </w:r>
      <w:r>
        <w:t xml:space="preserve"> </w:t>
      </w:r>
      <w:r>
        <w:rPr>
          <w:iCs/>
          <w:i/>
        </w:rPr>
        <w:t xml:space="preserve">insights</w:t>
      </w:r>
      <w:r>
        <w:t xml:space="preserve"> </w:t>
      </w:r>
      <w:r>
        <w:t xml:space="preserve">that could help tackle the obstacles and pursue the change trajectories.</w:t>
      </w:r>
    </w:p>
    <w:p>
      <w:pPr>
        <w:pStyle w:val="BodyText"/>
      </w:pPr>
      <w:hyperlink w:anchor="chapter-8">
        <w:r>
          <w:rPr>
            <w:rStyle w:val="Hyperlink"/>
          </w:rPr>
          <w:t xml:space="preserve">Chapter 8</w:t>
        </w:r>
      </w:hyperlink>
      <w:r>
        <w:t xml:space="preserve"> </w:t>
      </w:r>
      <w:r>
        <w:t xml:space="preserve">concludes the thesis, reflecting first on this researcher’s journey, before summarising the legacy and contributions of this body of work,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4" w:name="bibliography"/>
    <w:p>
      <w:pPr>
        <w:pStyle w:val="Heading1"/>
      </w:pPr>
      <w:r>
        <w:t xml:space="preserve">Bibliography</w:t>
      </w:r>
    </w:p>
    <w:bookmarkStart w:id="133"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79"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79"/>
    <w:bookmarkStart w:id="81"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0">
        <w:r>
          <w:rPr>
            <w:rStyle w:val="Hyperlink"/>
          </w:rPr>
          <w:t xml:space="preserve">https://bit.ly/bbc-pds-research-bowyer</w:t>
        </w:r>
      </w:hyperlink>
      <w:r>
        <w:t xml:space="preserve">.</w:t>
      </w:r>
    </w:p>
    <w:bookmarkEnd w:id="81"/>
    <w:bookmarkStart w:id="82"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9" w:name="ref-bowyer2009human"/>
    <w:p>
      <w:pPr>
        <w:pStyle w:val="Bibliography"/>
      </w:pPr>
      <w:r>
        <w:t xml:space="preserve">Bowyer, A. and Croll, A. (2009-2011)</w:t>
      </w:r>
      <w:r>
        <w:t xml:space="preserve"> </w:t>
      </w:r>
      <w:r>
        <w:t xml:space="preserve">‘Human 2.0’</w:t>
      </w:r>
      <w:r>
        <w:t xml:space="preserve">. Available at:</w:t>
      </w:r>
      <w:r>
        <w:t xml:space="preserve"> </w:t>
      </w:r>
      <w:hyperlink r:id="rId88">
        <w:r>
          <w:rPr>
            <w:rStyle w:val="Hyperlink"/>
          </w:rPr>
          <w:t xml:space="preserve">https://web.archive.org/web/20111231165329/http://www.human20.com/</w:t>
        </w:r>
      </w:hyperlink>
      <w:r>
        <w:t xml:space="preserve">.</w:t>
      </w:r>
    </w:p>
    <w:bookmarkEnd w:id="89"/>
    <w:bookmarkStart w:id="90"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0"/>
    <w:bookmarkStart w:id="92"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1">
        <w:r>
          <w:rPr>
            <w:rStyle w:val="Hyperlink"/>
          </w:rPr>
          <w:t xml:space="preserve">10.1145/1011870.1011885</w:t>
        </w:r>
      </w:hyperlink>
      <w:r>
        <w:t xml:space="preserve">.</w:t>
      </w:r>
    </w:p>
    <w:bookmarkEnd w:id="92"/>
    <w:bookmarkStart w:id="94"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3">
        <w:r>
          <w:rPr>
            <w:rStyle w:val="Hyperlink"/>
          </w:rPr>
          <w:t xml:space="preserve">https://www.businessinsider.com/cambridge-analytica-whistleblower-christopher-wylie-facebook-data-2019-10?r=US&amp;IR=T</w:t>
        </w:r>
      </w:hyperlink>
      <w:r>
        <w:t xml:space="preserve">.</w:t>
      </w:r>
    </w:p>
    <w:bookmarkEnd w:id="94"/>
    <w:bookmarkStart w:id="96"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5">
        <w:r>
          <w:rPr>
            <w:rStyle w:val="Hyperlink"/>
          </w:rPr>
          <w:t xml:space="preserve">https://www.collinsdictionary.com/dictionary/english/bleeding-edge</w:t>
        </w:r>
      </w:hyperlink>
      <w:r>
        <w:t xml:space="preserve"> </w:t>
      </w:r>
      <w:r>
        <w:t xml:space="preserve">(Accessed: 29 July 2022).</w:t>
      </w:r>
    </w:p>
    <w:bookmarkEnd w:id="96"/>
    <w:bookmarkStart w:id="97"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7"/>
    <w:bookmarkStart w:id="99"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8">
        <w:r>
          <w:rPr>
            <w:rStyle w:val="Hyperlink"/>
          </w:rPr>
          <w:t xml:space="preserve">10.1016/j.ipm.2020.102307</w:t>
        </w:r>
      </w:hyperlink>
      <w:r>
        <w:t xml:space="preserve">.</w:t>
      </w:r>
    </w:p>
    <w:bookmarkEnd w:id="99"/>
    <w:bookmarkStart w:id="100"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0"/>
    <w:bookmarkStart w:id="101"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1"/>
    <w:bookmarkStart w:id="102"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2"/>
    <w:bookmarkStart w:id="104"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3">
        <w:r>
          <w:rPr>
            <w:rStyle w:val="Hyperlink"/>
          </w:rPr>
          <w:t xml:space="preserve">https://www.sitra.fi/en/publications/tracking-digipower/</w:t>
        </w:r>
      </w:hyperlink>
      <w:r>
        <w:t xml:space="preserve">.</w:t>
      </w:r>
    </w:p>
    <w:bookmarkEnd w:id="104"/>
    <w:bookmarkStart w:id="106" w:name="ref-härkönen2022project"/>
    <w:p>
      <w:pPr>
        <w:pStyle w:val="Bibliography"/>
      </w:pPr>
      <w:r>
        <w:t xml:space="preserve">Härkönen, T. and Vänskä, R. (2021). Sitra. Available at:</w:t>
      </w:r>
      <w:r>
        <w:t xml:space="preserve"> </w:t>
      </w:r>
      <w:hyperlink r:id="rId105">
        <w:r>
          <w:rPr>
            <w:rStyle w:val="Hyperlink"/>
          </w:rPr>
          <w:t xml:space="preserve">https://www.sitra.fi/en/projects/digipower-investigation/#what-is-it-about</w:t>
        </w:r>
      </w:hyperlink>
      <w:r>
        <w:t xml:space="preserve">.</w:t>
      </w:r>
    </w:p>
    <w:bookmarkEnd w:id="106"/>
    <w:bookmarkStart w:id="108"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7">
        <w:r>
          <w:rPr>
            <w:rStyle w:val="Hyperlink"/>
          </w:rPr>
          <w:t xml:space="preserve">http://www3.weforum.org/docs/WEF_RethinkingPersonalData_TrustandContext_Report_2014.pdf</w:t>
        </w:r>
      </w:hyperlink>
      <w:r>
        <w:t xml:space="preserve">.</w:t>
      </w:r>
    </w:p>
    <w:bookmarkEnd w:id="108"/>
    <w:bookmarkStart w:id="110"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09">
        <w:r>
          <w:rPr>
            <w:rStyle w:val="Hyperlink"/>
          </w:rPr>
          <w:t xml:space="preserve">https://perma.cc/92LZ-B8DN].</w:t>
        </w:r>
      </w:hyperlink>
    </w:p>
    <w:bookmarkEnd w:id="110"/>
    <w:bookmarkStart w:id="112"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1">
        <w:r>
          <w:rPr>
            <w:rStyle w:val="Hyperlink"/>
          </w:rPr>
          <w:t xml:space="preserve">10.1145/2493432.2493446</w:t>
        </w:r>
      </w:hyperlink>
      <w:r>
        <w:t xml:space="preserve">.</w:t>
      </w:r>
    </w:p>
    <w:bookmarkEnd w:id="112"/>
    <w:bookmarkStart w:id="114"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3">
        <w:r>
          <w:rPr>
            <w:rStyle w:val="Hyperlink"/>
          </w:rPr>
          <w:t xml:space="preserve">10.5210/fm.v17i5.4013</w:t>
        </w:r>
      </w:hyperlink>
      <w:r>
        <w:t xml:space="preserve">.</w:t>
      </w:r>
    </w:p>
    <w:bookmarkEnd w:id="114"/>
    <w:bookmarkStart w:id="11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5">
        <w:r>
          <w:rPr>
            <w:rStyle w:val="Hyperlink"/>
          </w:rPr>
          <w:t xml:space="preserve">10.2139/ssrn.2508051</w:t>
        </w:r>
      </w:hyperlink>
      <w:r>
        <w:t xml:space="preserve">.</w:t>
      </w:r>
    </w:p>
    <w:bookmarkEnd w:id="116"/>
    <w:bookmarkStart w:id="11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7">
        <w:r>
          <w:rPr>
            <w:rStyle w:val="Hyperlink"/>
          </w:rPr>
          <w:t xml:space="preserve">https://web.archive.org/web/20180727024332/https://digitalcivics.io/apply/</w:t>
        </w:r>
      </w:hyperlink>
      <w:r>
        <w:t xml:space="preserve"> </w:t>
      </w:r>
      <w:r>
        <w:t xml:space="preserve">(Accessed: 6 July 2022).</w:t>
      </w:r>
    </w:p>
    <w:bookmarkEnd w:id="118"/>
    <w:bookmarkStart w:id="11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19"/>
    <w:bookmarkStart w:id="12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0">
        <w:r>
          <w:rPr>
            <w:rStyle w:val="Hyperlink"/>
          </w:rPr>
          <w:t xml:space="preserve">10.1016/b978-1-55860-092-8.50006-x</w:t>
        </w:r>
      </w:hyperlink>
      <w:r>
        <w:t xml:space="preserve">.</w:t>
      </w:r>
    </w:p>
    <w:bookmarkEnd w:id="121"/>
    <w:bookmarkStart w:id="12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2"/>
    <w:bookmarkStart w:id="12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3">
        <w:r>
          <w:rPr>
            <w:rStyle w:val="Hyperlink"/>
          </w:rPr>
          <w:t xml:space="preserve">https://memory.ai/timely-blog/the-attention-economy</w:t>
        </w:r>
      </w:hyperlink>
      <w:r>
        <w:t xml:space="preserve">.</w:t>
      </w:r>
    </w:p>
    <w:bookmarkEnd w:id="124"/>
    <w:bookmarkStart w:id="12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5">
        <w:r>
          <w:rPr>
            <w:rStyle w:val="Hyperlink"/>
          </w:rPr>
          <w:t xml:space="preserve">https://www.wired.com/insights/2014/07/data-new-oil-digital-economy/</w:t>
        </w:r>
      </w:hyperlink>
      <w:r>
        <w:t xml:space="preserve">.</w:t>
      </w:r>
    </w:p>
    <w:bookmarkEnd w:id="126"/>
    <w:bookmarkStart w:id="12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7">
        <w:r>
          <w:rPr>
            <w:rStyle w:val="Hyperlink"/>
          </w:rPr>
          <w:t xml:space="preserve">https://www.ted.com/talks/zeynep_tufekci_we_re_building_a_dystopia_just_to_make_people_click_on_ads</w:t>
        </w:r>
      </w:hyperlink>
      <w:r>
        <w:t xml:space="preserve">.</w:t>
      </w:r>
    </w:p>
    <w:bookmarkEnd w:id="128"/>
    <w:bookmarkStart w:id="13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9">
        <w:r>
          <w:rPr>
            <w:rStyle w:val="Hyperlink"/>
          </w:rPr>
          <w:t xml:space="preserve">10.1145/2851581.2886436</w:t>
        </w:r>
      </w:hyperlink>
      <w:r>
        <w:t xml:space="preserve">.</w:t>
      </w:r>
    </w:p>
    <w:bookmarkEnd w:id="130"/>
    <w:bookmarkStart w:id="13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1">
        <w:r>
          <w:rPr>
            <w:rStyle w:val="Hyperlink"/>
          </w:rPr>
          <w:t xml:space="preserve">https://books.google.co.uk/books?id=W7ZEDgAAQBAJ</w:t>
        </w:r>
      </w:hyperlink>
      <w:r>
        <w:t xml:space="preserve">.</w:t>
      </w:r>
    </w:p>
    <w:bookmarkEnd w:id="132"/>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7"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1"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0" Target="https://doi.org/10.1016/b978-1-55860-092-8.50006-x" TargetMode="External" /><Relationship Type="http://schemas.openxmlformats.org/officeDocument/2006/relationships/hyperlink" Id="rId98"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1"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29"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113"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3" Target="https://memory.ai/timely-blog/the-attention-economy" TargetMode="External" /><Relationship Type="http://schemas.openxmlformats.org/officeDocument/2006/relationships/hyperlink" Id="rId109"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5" Target="https://www.sitra.fi/en/projects/digipower-investigation/#what-is-it-about" TargetMode="External" /><Relationship Type="http://schemas.openxmlformats.org/officeDocument/2006/relationships/hyperlink" Id="rId103" Target="https://www.sitra.fi/en/publications/tracking-digipower/" TargetMode="External" /><Relationship Type="http://schemas.openxmlformats.org/officeDocument/2006/relationships/hyperlink" Id="rId127" Target="https://www.ted.com/talks/zeynep_tufekci_we_re_building_a_dystopia_just_to_make_people_click_on_ads" TargetMode="External" /><Relationship Type="http://schemas.openxmlformats.org/officeDocument/2006/relationships/hyperlink" Id="rId125"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7"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1"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0" Target="https://doi.org/10.1016/b978-1-55860-092-8.50006-x" TargetMode="External" /><Relationship Type="http://schemas.openxmlformats.org/officeDocument/2006/relationships/hyperlink" Id="rId98"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1"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29"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5" Target="https://doi.org/10.2139/ssrn.2508051" TargetMode="External" /><Relationship Type="http://schemas.openxmlformats.org/officeDocument/2006/relationships/hyperlink" Id="rId113"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3" Target="https://memory.ai/timely-blog/the-attention-economy" TargetMode="External" /><Relationship Type="http://schemas.openxmlformats.org/officeDocument/2006/relationships/hyperlink" Id="rId109"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7"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5" Target="https://www.sitra.fi/en/projects/digipower-investigation/#what-is-it-about" TargetMode="External" /><Relationship Type="http://schemas.openxmlformats.org/officeDocument/2006/relationships/hyperlink" Id="rId103" Target="https://www.sitra.fi/en/publications/tracking-digipower/" TargetMode="External" /><Relationship Type="http://schemas.openxmlformats.org/officeDocument/2006/relationships/hyperlink" Id="rId127" Target="https://www.ted.com/talks/zeynep_tufekci_we_re_building_a_dystopia_just_to_make_people_click_on_ads" TargetMode="External" /><Relationship Type="http://schemas.openxmlformats.org/officeDocument/2006/relationships/hyperlink" Id="rId125"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2022-08-19T19:45:10Z</dcterms:created>
  <dcterms:modified xsi:type="dcterms:W3CDTF">2022-08-19T19:45:10Z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