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6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5"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w:t>
      </w:r>
      <w:r>
        <w:t xml:space="preserve"> </w:t>
      </w:r>
      <w:r>
        <w:rPr>
          <w:bCs/>
          <w:b/>
        </w:rPr>
        <w:t xml:space="preserve">a more effective relationship with their own data</w:t>
      </w:r>
      <w:r>
        <w:t xml:space="preserve">.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First, through academic inquiry, it makes a novel contribution to knowledge, examining deeply how people relate to data, what capabilities people need, and how they would like service providers to handle their data. The thesis takes a broader perspective than current work in the field of Human-Computer Interaction (HCI), which tends to focus upon the mechanisms by which humans interact with data without considering the problem of asymmetric power over data from a sociotechnical perspective, which is necessary if societal benefits are to be achieved.</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(8.1)]</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 </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w:t>
      </w:r>
      <w:r>
        <w:t xml:space="preserve"> </w:t>
      </w:r>
      <w:r>
        <w:rPr>
          <w:bCs/>
          <w:b/>
        </w:rPr>
        <w:t xml:space="preserve">how people relate to data</w:t>
      </w:r>
      <w:r>
        <w:t xml:space="preserve">, how they understand and use it, and</w:t>
      </w:r>
      <w:r>
        <w:t xml:space="preserve"> </w:t>
      </w:r>
      <w:r>
        <w:rPr>
          <w:bCs/>
          <w:b/>
        </w:rPr>
        <w:t xml:space="preserve">what they need from it and its holders</w:t>
      </w:r>
      <w:r>
        <w:t xml:space="preserve"> </w:t>
      </w:r>
      <w:r>
        <w:t xml:space="preserve">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numPr>
          <w:ilvl w:val="0"/>
          <w:numId w:val="1001"/>
        </w:numPr>
        <w:pStyle w:val="Compact"/>
      </w:pPr>
      <w:r>
        <w:rPr>
          <w:bCs/>
          <w:b/>
        </w:rPr>
        <w:t xml:space="preserve">RQ1. What is the human experience of personal data, and what do people want from their data?</w:t>
      </w:r>
      <w:r>
        <w:t xml:space="preserve"> </w:t>
      </w:r>
      <w:r>
        <w:t xml:space="preserve">[</w:t>
      </w:r>
      <w:hyperlink w:anchor="RQ1">
        <w:r>
          <w:rPr>
            <w:rStyle w:val="Hyperlink"/>
          </w:rPr>
          <w:t xml:space="preserve">3.3.1</w:t>
        </w:r>
      </w:hyperlink>
      <w:r>
        <w:t xml:space="preserve">]</w:t>
      </w:r>
    </w:p>
    <w:p>
      <w:pPr>
        <w:numPr>
          <w:ilvl w:val="0"/>
          <w:numId w:val="1001"/>
        </w:numPr>
        <w:pStyle w:val="Compact"/>
      </w:pPr>
      <w:r>
        <w:rPr>
          <w:bCs/>
          <w:b/>
        </w:rPr>
        <w:t xml:space="preserve">RQ2. What role does data play in people’s service relationships, and how could relationships involving data be improved?</w:t>
      </w:r>
      <w:r>
        <w:t xml:space="preserve"> </w:t>
      </w:r>
      <w:r>
        <w:t xml:space="preserve">[</w:t>
      </w:r>
      <w:hyperlink w:anchor="RQ2">
        <w:r>
          <w:rPr>
            <w:rStyle w:val="Hyperlink"/>
          </w:rPr>
          <w:t xml:space="preserve">3.3.2</w:t>
        </w:r>
      </w:hyperlink>
      <w:r>
        <w:t xml:space="preserve">]</w:t>
      </w:r>
    </w:p>
    <w:p>
      <w:pPr>
        <w:pStyle w:val="FirstParagraph"/>
      </w:pPr>
      <w:r>
        <w:t xml:space="preserve">This thesis assumes that if the</w:t>
      </w:r>
      <w:r>
        <w:t xml:space="preserve"> </w:t>
      </w:r>
      <w:r>
        <w:rPr>
          <w:bCs/>
          <w:b/>
        </w:rPr>
        <w:t xml:space="preserve">asymmetry over data access and use between individuals and organisations holding data is to be addressed</w:t>
      </w:r>
      <w:r>
        <w:t xml:space="preserve">, that a greater understanding of current data use issues is needed by all parties, and that the</w:t>
      </w:r>
      <w:r>
        <w:t xml:space="preserve"> </w:t>
      </w:r>
      <w:r>
        <w:rPr>
          <w:bCs/>
          <w:b/>
        </w:rPr>
        <w:t xml:space="preserve">production of knowledge and insights</w:t>
      </w:r>
      <w:r>
        <w:t xml:space="preserve"> </w:t>
      </w:r>
      <w:r>
        <w:t xml:space="preserve">is therefore a vital first step towards the pursuit of a more balanced model of data use that can deliver</w:t>
      </w:r>
      <w:r>
        <w:t xml:space="preserve"> </w:t>
      </w:r>
      <w:r>
        <w:rPr>
          <w:bCs/>
          <w:b/>
        </w:rPr>
        <w:t xml:space="preserve">increased agency and negotiability</w:t>
      </w:r>
      <w:r>
        <w:t xml:space="preserve">.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rPr>
          <w:iCs/>
          <w:i/>
        </w:rPr>
        <w:t xml:space="preserve">‘</w:t>
      </w:r>
      <w:r>
        <w:rPr>
          <w:iCs/>
          <w:i/>
        </w:rPr>
        <w:t xml:space="preserve">look behind the curtain</w:t>
      </w:r>
      <w:r>
        <w:rPr>
          <w:iCs/>
          <w:i/>
        </w:rP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2"/>
        </w:numPr>
        <w:pStyle w:val="Compact"/>
      </w:pPr>
      <w:r>
        <w:rPr>
          <w:bCs/>
          <w:b/>
        </w:rPr>
        <w:t xml:space="preserve">Case Study One</w:t>
      </w:r>
      <w:r>
        <w:t xml:space="preserve">: 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2"/>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w:t>
      </w:r>
      <w:r>
        <w:t xml:space="preserve"> </w:t>
      </w:r>
      <w:r>
        <w:rPr>
          <w:bCs/>
          <w:b/>
        </w:rPr>
        <w:t xml:space="preserve">synthesis and analyis of interview data</w:t>
      </w:r>
      <w:r>
        <w:t xml:space="preserve"> </w:t>
      </w:r>
      <w:r>
        <w:t xml:space="preserve">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w:t>
      </w:r>
      <w:r>
        <w:t xml:space="preserve"> </w:t>
      </w:r>
      <w:r>
        <w:rPr>
          <w:bCs/>
          <w:b/>
        </w:rPr>
        <w:t xml:space="preserve">generation of a descriptive model to address the research gap</w:t>
      </w:r>
      <w:r>
        <w:t xml:space="preserve">,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w:t>
      </w:r>
      <w:r>
        <w:t xml:space="preserve"> </w:t>
      </w:r>
      <w:r>
        <w:rPr>
          <w:bCs/>
          <w:b/>
        </w:rPr>
        <w:t xml:space="preserve">designerly thoughts, models and ideas</w:t>
      </w:r>
      <w:r>
        <w:t xml:space="preserve"> </w:t>
      </w:r>
      <w:r>
        <w:t xml:space="preserve">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rPr>
          <w:iCs/>
          <w:i/>
        </w:rPr>
        <w:t xml:space="preserve">‘</w:t>
      </w:r>
      <w:r>
        <w:rPr>
          <w:iCs/>
          <w:i/>
        </w:rPr>
        <w:t xml:space="preserve">in the wild</w:t>
      </w:r>
      <w:r>
        <w:rPr>
          <w:iCs/>
          <w:i/>
        </w:rPr>
        <w:t xml:space="preserve">’</w:t>
      </w:r>
      <w:r>
        <w:t xml:space="preserve"> </w:t>
      </w:r>
      <w:r>
        <w:t xml:space="preserve">evaluation of particular data interaction approaches or interface designs. Instead, drawing upon</w:t>
      </w:r>
      <w:r>
        <w:t xml:space="preserve"> </w:t>
      </w:r>
      <w:r>
        <w:rPr>
          <w:bCs/>
          <w:b/>
        </w:rPr>
        <w:t xml:space="preserve">direct experience in related industrial research</w:t>
      </w:r>
      <w:r>
        <w:t xml:space="preserve"> </w:t>
      </w:r>
      <w:r>
        <w:t xml:space="preserve">as well as the work of other researchers and innovators in this space, this thesis prioritises the documentation of obstacles, important insights and oppoortunities for future work. The primary contribution here, as the thesis concludes, is to</w:t>
      </w:r>
      <w:r>
        <w:t xml:space="preserve"> </w:t>
      </w:r>
      <w:r>
        <w:rPr>
          <w:bCs/>
          <w:b/>
        </w:rPr>
        <w:t xml:space="preserve">map out current, emergent and future approaches for improving people’s agency and negotiability</w:t>
      </w:r>
      <w:r>
        <w:t xml:space="preserve">, enabling future research, design and innovation work to pursue these goals with a more targeted and well-understood approach, both philosophically and in practice.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 :</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data-centricism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7"/>
        </w:numPr>
        <w:pStyle w:val="Compact"/>
      </w:pPr>
      <w:r>
        <w:rPr>
          <w:bCs/>
          <w:b/>
        </w:rPr>
        <w:t xml:space="preserve">data awareness and understanding</w:t>
      </w:r>
    </w:p>
    <w:p>
      <w:pPr>
        <w:numPr>
          <w:ilvl w:val="0"/>
          <w:numId w:val="1007"/>
        </w:numPr>
        <w:pStyle w:val="Compact"/>
      </w:pPr>
      <w:r>
        <w:rPr>
          <w:bCs/>
          <w:b/>
        </w:rPr>
        <w:t xml:space="preserve">data useability</w:t>
      </w:r>
    </w:p>
    <w:p>
      <w:pPr>
        <w:numPr>
          <w:ilvl w:val="0"/>
          <w:numId w:val="1007"/>
        </w:numPr>
        <w:pStyle w:val="Compact"/>
      </w:pPr>
      <w:r>
        <w:rPr>
          <w:bCs/>
          <w:b/>
        </w:rPr>
        <w:t xml:space="preserve">ecosystem awareness and understanding</w:t>
      </w:r>
    </w:p>
    <w:p>
      <w:pPr>
        <w:numPr>
          <w:ilvl w:val="0"/>
          <w:numId w:val="1007"/>
        </w:numPr>
        <w:pStyle w:val="Compact"/>
      </w:pPr>
      <w:r>
        <w:rPr>
          <w:bCs/>
          <w:b/>
        </w:rPr>
        <w:t xml:space="preserve">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8"/>
        </w:numPr>
        <w:pStyle w:val="Compact"/>
      </w:pPr>
      <w:r>
        <w:rPr>
          <w:bCs/>
          <w:b/>
        </w:rPr>
        <w:t xml:space="preserve">Life Information Utilisation</w:t>
      </w:r>
      <w:r>
        <w:t xml:space="preserve">, and</w:t>
      </w:r>
    </w:p>
    <w:p>
      <w:pPr>
        <w:numPr>
          <w:ilvl w:val="0"/>
          <w:numId w:val="1008"/>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9"/>
        </w:numPr>
        <w:pStyle w:val="Compact"/>
      </w:pPr>
      <w:r>
        <w:t xml:space="preserve">the personal data diaspora,</w:t>
      </w:r>
    </w:p>
    <w:p>
      <w:pPr>
        <w:numPr>
          <w:ilvl w:val="0"/>
          <w:numId w:val="1009"/>
        </w:numPr>
        <w:pStyle w:val="Compact"/>
      </w:pPr>
      <w:r>
        <w:t xml:space="preserve">the intractable data self,</w:t>
      </w:r>
    </w:p>
    <w:p>
      <w:pPr>
        <w:numPr>
          <w:ilvl w:val="0"/>
          <w:numId w:val="1009"/>
        </w:numPr>
        <w:pStyle w:val="Compact"/>
      </w:pPr>
      <w:r>
        <w:t xml:space="preserve">immobile, illegible and unmalleable data,</w:t>
      </w:r>
    </w:p>
    <w:p>
      <w:pPr>
        <w:numPr>
          <w:ilvl w:val="0"/>
          <w:numId w:val="1009"/>
        </w:numPr>
        <w:pStyle w:val="Compact"/>
      </w:pPr>
      <w:r>
        <w:t xml:space="preserve">hegemony and active diminishing of user agency by data holders,</w:t>
      </w:r>
    </w:p>
    <w:p>
      <w:pPr>
        <w:numPr>
          <w:ilvl w:val="0"/>
          <w:numId w:val="1009"/>
        </w:numPr>
        <w:pStyle w:val="Compact"/>
      </w:pPr>
      <w:r>
        <w:t xml:space="preserve">closed, introspective and insular practices,</w:t>
      </w:r>
    </w:p>
    <w:p>
      <w:pPr>
        <w:numPr>
          <w:ilvl w:val="0"/>
          <w:numId w:val="1009"/>
        </w:numPr>
        <w:pStyle w:val="Compact"/>
      </w:pPr>
      <w:r>
        <w:t xml:space="preserve">a lack of demand and investment in HDR from individuals and organisations, and</w:t>
      </w:r>
    </w:p>
    <w:p>
      <w:pPr>
        <w:numPr>
          <w:ilvl w:val="0"/>
          <w:numId w:val="1009"/>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SourceCode"/>
      </w:pPr>
      <w:r>
        <w:rPr>
          <w:rStyle w:val="VerbatimChar"/>
        </w:rPr>
        <w:t xml:space="preserve">[1](#insight-1). Life information makes data relatable.</w:t>
      </w:r>
      <w:r>
        <w:br/>
      </w:r>
      <w:r>
        <w:rPr>
          <w:rStyle w:val="VerbatimChar"/>
        </w:rPr>
        <w:t xml:space="preserve">[2](#insight-2). Data needs to be united and unified.</w:t>
      </w:r>
      <w:r>
        <w:br/>
      </w:r>
      <w:r>
        <w:rPr>
          <w:rStyle w:val="VerbatimChar"/>
        </w:rPr>
        <w:t xml:space="preserve">[3](#insight-3). Data must be transformed into a versatile material.</w:t>
      </w:r>
      <w:r>
        <w:br/>
      </w:r>
      <w:r>
        <w:rPr>
          <w:rStyle w:val="VerbatimChar"/>
        </w:rPr>
        <w:t xml:space="preserve">[4](#insight-4). Ecosystem information is an antidote to digital life complexity.</w:t>
      </w:r>
      <w:r>
        <w:br/>
      </w:r>
      <w:r>
        <w:rPr>
          <w:rStyle w:val="VerbatimChar"/>
        </w:rPr>
        <w:t xml:space="preserve">[5](#insight-5). We must know data's provenance.</w:t>
      </w:r>
      <w:r>
        <w:br/>
      </w:r>
      <w:r>
        <w:rPr>
          <w:rStyle w:val="VerbatimChar"/>
        </w:rPr>
        <w:t xml:space="preserve">[6](#insight-6). Data holders exploit four levers of power to manipulate the digital landscape.</w:t>
      </w:r>
      <w:r>
        <w:br/>
      </w:r>
      <w:r>
        <w:rPr>
          <w:rStyle w:val="VerbatimChar"/>
        </w:rPr>
        <w:t xml:space="preserve">[7](#insight-7). We need new human-centred information systems that serve human values, relieve pain and deliver new life capabilities.</w:t>
      </w:r>
      <w:r>
        <w:br/>
      </w:r>
      <w:r>
        <w:rPr>
          <w:rStyle w:val="VerbatimChar"/>
        </w:rPr>
        <w:t xml:space="preserve">[8](#insight-8). We need to teach computers to understand human information.</w:t>
      </w:r>
      <w:r>
        <w:br/>
      </w:r>
      <w:r>
        <w:rPr>
          <w:rStyle w:val="VerbatimChar"/>
        </w:rPr>
        <w:t xml:space="preserve">[9](#insight-9). Individual GDPR requests can compel companies to change data practices.</w:t>
      </w:r>
      <w:r>
        <w:br/>
      </w:r>
      <w:r>
        <w:rPr>
          <w:rStyle w:val="VerbatimChar"/>
        </w:rPr>
        <w:t xml:space="preserve">[10](#insight-10). Collectives can compare and unify their data and use it to demand change.</w:t>
      </w:r>
      <w:r>
        <w:br/>
      </w:r>
      <w:r>
        <w:rPr>
          <w:rStyle w:val="VerbatimChar"/>
        </w:rPr>
        <w:t xml:space="preserve">[11](#insight-11). Automating the identification of entities can enhance machine understanding and unburden life interface users.</w:t>
      </w:r>
      <w:r>
        <w:br/>
      </w:r>
      <w:r>
        <w:rPr>
          <w:rStyle w:val="VerbatimChar"/>
        </w:rPr>
        <w:t xml:space="preserve">[12](#insight-12). The 'seams' of Digital Services need to be identified, exploited and protected.</w:t>
      </w:r>
      <w:r>
        <w:br/>
      </w:r>
      <w:r>
        <w:rPr>
          <w:rStyle w:val="VerbatimChar"/>
        </w:rPr>
        <w:t xml:space="preserve">[13](#insight-13). It is possible (and necessary) to demonstrate business benefits of transparency and human-centricity.</w:t>
      </w:r>
    </w:p>
    <w:p>
      <w:pPr>
        <w:pStyle w:val="FirstParagraph"/>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pStyle w:val="SourceCode"/>
      </w:pPr>
      <w:r>
        <w:rPr>
          <w:rStyle w:val="VerbatimChar"/>
        </w:rPr>
        <w:t xml:space="preserve">1. **Discovery-Driven Activism** [[7.4.2](#approach-1)]</w:t>
      </w:r>
      <w:r>
        <w:br/>
      </w:r>
      <w:r>
        <w:rPr>
          <w:rStyle w:val="VerbatimChar"/>
        </w:rPr>
        <w:t xml:space="preserve">2. **Building the Human-Centric Future** [[7.4.3](#approach-2)]</w:t>
      </w:r>
      <w:r>
        <w:br/>
      </w:r>
      <w:r>
        <w:rPr>
          <w:rStyle w:val="VerbatimChar"/>
        </w:rPr>
        <w:t xml:space="preserve">3. **Defending User Autonomy and Hacking the Information Landscape** [[7.4.4](#approach-3)]</w:t>
      </w:r>
      <w:r>
        <w:br/>
      </w:r>
      <w:r>
        <w:rPr>
          <w:rStyle w:val="VerbatimChar"/>
        </w:rPr>
        <w:t xml:space="preserve">4. **Teaching, Championing and Selling the HDR Vision** [[7.4.5](#approach-4)]</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analysies and arguing using data, to describe additional skills that people will need to develop if they are to become fully</w:t>
      </w:r>
      <w:r>
        <w:t xml:space="preserve"> </w:t>
      </w:r>
      <w:r>
        <w:rPr>
          <w:bCs/>
          <w:b/>
          <w:iCs/>
          <w:i/>
        </w:rPr>
        <w:t xml:space="preserve">HDR literate</w:t>
      </w:r>
      <w:r>
        <w:t xml:space="preserve">:</w:t>
      </w:r>
    </w:p>
    <w:p>
      <w:pPr>
        <w:pStyle w:val="SourceCode"/>
      </w:pPr>
      <w:r>
        <w:rPr>
          <w:rStyle w:val="VerbatimChar"/>
        </w:rPr>
        <w:t xml:space="preserve">- appreciating the value of personal data;</w:t>
      </w:r>
      <w:r>
        <w:br/>
      </w:r>
      <w:r>
        <w:rPr>
          <w:rStyle w:val="VerbatimChar"/>
        </w:rPr>
        <w:t xml:space="preserve">- understanding the implications of organisational data use;</w:t>
      </w:r>
      <w:r>
        <w:br/>
      </w:r>
      <w:r>
        <w:rPr>
          <w:rStyle w:val="VerbatimChar"/>
        </w:rPr>
        <w:t xml:space="preserve">- recognising why portable data and app/data separation is important;</w:t>
      </w:r>
      <w:r>
        <w:br/>
      </w:r>
      <w:r>
        <w:rPr>
          <w:rStyle w:val="VerbatimChar"/>
        </w:rPr>
        <w:t xml:space="preserve">- knowing how to exercise data rights and evaluate responses;</w:t>
      </w:r>
      <w:r>
        <w:br/>
      </w:r>
      <w:r>
        <w:rPr>
          <w:rStyle w:val="VerbatimChar"/>
        </w:rPr>
        <w:t xml:space="preserve">- identifying diminishing agency and erosions of a free and fair information landscape.</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X">
        <w:r>
          <w:rPr>
            <w:rStyle w:val="Hyperlink"/>
          </w:rPr>
          <w:t xml:space="preserve">Table 5.X</w:t>
        </w:r>
      </w:hyperlink>
      <w:r>
        <w:t xml:space="preserve">] describes five different types of data organisations can hold about individuals:</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X">
        <w:r>
          <w:rPr>
            <w:rStyle w:val="Hyperlink"/>
          </w:rPr>
          <w:t xml:space="preserve">Table 5.X</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.g</w:t>
      </w:r>
    </w:p>
    <w:bookmarkEnd w:id="29"/>
    <w:bookmarkEnd w:id="30"/>
    <w:bookmarkStart w:id="59"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4"/>
    <w:bookmarkStart w:id="44" w:name="X12922418c775c428a953a3113e443ec31059d4f"/>
    <w:p>
      <w:pPr>
        <w:pStyle w:val="Heading3"/>
      </w:pPr>
      <w:r>
        <w:rPr>
          <w:rStyle w:val="SectionNumber"/>
        </w:rPr>
        <w:t xml:space="preserve">1.3.2</w:t>
      </w:r>
      <w:r>
        <w:tab/>
      </w:r>
      <w:r>
        <w:t xml:space="preserve">Primary Case studies</w:t>
      </w:r>
    </w:p>
    <w:bookmarkStart w:id="40"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9" w:name="figure-1.1"/>
      <w:r>
        <w:drawing>
          <wp:inline>
            <wp:extent cx="5334000" cy="7541887"/>
            <wp:effectExtent b="0" l="0" r="0" t="0"/>
            <wp:docPr descr="Figure 1.1: Poster Presentation of Case Study One" title="" id="37" name="Picture"/>
            <a:graphic>
              <a:graphicData uri="http://schemas.openxmlformats.org/drawingml/2006/picture">
                <pic:pic>
                  <pic:nvPicPr>
                    <pic:cNvPr descr="./src/figs/fig1.1-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bookmarkEnd w:id="39"/>
    </w:p>
    <w:p>
      <w:pPr>
        <w:pStyle w:val="ImageCaption"/>
      </w:pPr>
      <w:r>
        <w:t xml:space="preserve">Figure 1.1: Poster Presentation of Case Study One</w:t>
      </w:r>
    </w:p>
    <w:bookmarkEnd w:id="40"/>
    <w:bookmarkStart w:id="43"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1">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2">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3"/>
    <w:bookmarkEnd w:id="44"/>
    <w:bookmarkStart w:id="51"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argments.</w:t>
      </w:r>
    </w:p>
    <w:p>
      <w:pPr>
        <w:numPr>
          <w:ilvl w:val="0"/>
          <w:numId w:val="1016"/>
        </w:numPr>
        <w:pStyle w:val="Compact"/>
      </w:pPr>
      <w:hyperlink r:id="rId45">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6"/>
        </w:numPr>
        <w:pStyle w:val="Compact"/>
      </w:pPr>
      <w:hyperlink r:id="rId46">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6"/>
        </w:numPr>
        <w:pStyle w:val="Compact"/>
      </w:pPr>
      <w:hyperlink r:id="rId47">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6"/>
        </w:numPr>
        <w:pStyle w:val="Compact"/>
      </w:pPr>
      <w:hyperlink r:id="rId48">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9">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50">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51"/>
    <w:bookmarkStart w:id="58"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52">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3">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4">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5">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6">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7">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8"/>
    <w:bookmarkEnd w:id="59"/>
    <w:bookmarkStart w:id="64"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3" w:name="figure-1.2"/>
      <w:r>
        <w:drawing>
          <wp:inline>
            <wp:extent cx="5334000" cy="2160253"/>
            <wp:effectExtent b="0" l="0" r="0" t="0"/>
            <wp:docPr descr="Figure 1.2: The Structure of This Thesis" title="" id="61" name="Picture"/>
            <a:graphic>
              <a:graphicData uri="http://schemas.openxmlformats.org/drawingml/2006/picture">
                <pic:pic>
                  <pic:nvPicPr>
                    <pic:cNvPr descr="./src/figs/fig1.2-thesis-structure.jpg" id="62" name="Picture"/>
                    <pic:cNvPicPr>
                      <a:picLocks noChangeArrowheads="1" noChangeAspect="1"/>
                    </pic:cNvPicPr>
                  </pic:nvPicPr>
                  <pic:blipFill>
                    <a:blip r:embed="rId60"/>
                    <a:stretch>
                      <a:fillRect/>
                    </a:stretch>
                  </pic:blipFill>
                  <pic:spPr bwMode="auto">
                    <a:xfrm>
                      <a:off x="0" y="0"/>
                      <a:ext cx="5334000" cy="2160253"/>
                    </a:xfrm>
                    <a:prstGeom prst="rect">
                      <a:avLst/>
                    </a:prstGeom>
                    <a:noFill/>
                    <a:ln w="9525">
                      <a:noFill/>
                      <a:headEnd/>
                      <a:tailEnd/>
                    </a:ln>
                  </pic:spPr>
                </pic:pic>
              </a:graphicData>
            </a:graphic>
          </wp:inline>
        </w:drawing>
      </w:r>
      <w:bookmarkEnd w:id="63"/>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p>
      <w:r>
        <w:pict>
          <v:rect style="width:0;height:1.5pt" o:hralign="center" o:hrstd="t" o:hr="t"/>
        </w:pict>
      </w:r>
    </w:p>
    <w:bookmarkEnd w:id="64"/>
    <w:bookmarkEnd w:id="65"/>
    <w:bookmarkStart w:id="130" w:name="bibliography"/>
    <w:p>
      <w:pPr>
        <w:pStyle w:val="Heading1"/>
      </w:pPr>
      <w:r>
        <w:t xml:space="preserve">Bibliography</w:t>
      </w:r>
    </w:p>
    <w:bookmarkStart w:id="129" w:name="refs"/>
    <w:bookmarkStart w:id="6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6">
        <w:r>
          <w:rPr>
            <w:rStyle w:val="Hyperlink"/>
          </w:rPr>
          <w:t xml:space="preserve">10.1145/2670528</w:t>
        </w:r>
      </w:hyperlink>
      <w:r>
        <w:t xml:space="preserve">.</w:t>
      </w:r>
    </w:p>
    <w:bookmarkEnd w:id="67"/>
    <w:bookmarkStart w:id="6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8">
        <w:r>
          <w:rPr>
            <w:rStyle w:val="Hyperlink"/>
          </w:rPr>
          <w:t xml:space="preserve">www.irissproject.eu https://papers.ssrn.com/sol3/papers.cfm?abstract_id=3106632</w:t>
        </w:r>
      </w:hyperlink>
      <w:r>
        <w:t xml:space="preserve">.</w:t>
      </w:r>
    </w:p>
    <w:bookmarkEnd w:id="69"/>
    <w:bookmarkStart w:id="71"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70">
        <w:r>
          <w:rPr>
            <w:rStyle w:val="Hyperlink"/>
          </w:rPr>
          <w:t xml:space="preserve">10.1145/2804405</w:t>
        </w:r>
      </w:hyperlink>
      <w:r>
        <w:t xml:space="preserve">.</w:t>
      </w:r>
    </w:p>
    <w:bookmarkEnd w:id="71"/>
    <w:bookmarkStart w:id="73"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5"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4">
        <w:r>
          <w:rPr>
            <w:rStyle w:val="Hyperlink"/>
          </w:rPr>
          <w:t xml:space="preserve">https://eprints.ncl.ac.uk/273829</w:t>
        </w:r>
      </w:hyperlink>
      <w:r>
        <w:t xml:space="preserve">.</w:t>
      </w:r>
    </w:p>
    <w:bookmarkEnd w:id="75"/>
    <w:bookmarkStart w:id="76"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5">
        <w:r>
          <w:rPr>
            <w:rStyle w:val="Hyperlink"/>
          </w:rPr>
          <w:t xml:space="preserve">https://eprints.ncl.ac.uk/273832</w:t>
        </w:r>
      </w:hyperlink>
      <w:r>
        <w:t xml:space="preserve">.</w:t>
      </w:r>
    </w:p>
    <w:bookmarkEnd w:id="76"/>
    <w:bookmarkStart w:id="77"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7">
        <w:r>
          <w:rPr>
            <w:rStyle w:val="Hyperlink"/>
          </w:rPr>
          <w:t xml:space="preserve">https://eprints.ncl.ac.uk/273826</w:t>
        </w:r>
      </w:hyperlink>
      <w:r>
        <w:t xml:space="preserve">.</w:t>
      </w:r>
    </w:p>
    <w:bookmarkEnd w:id="77"/>
    <w:bookmarkStart w:id="78"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6">
        <w:r>
          <w:rPr>
            <w:rStyle w:val="Hyperlink"/>
          </w:rPr>
          <w:t xml:space="preserve">https://eprints.ncl.ac.uk/273825</w:t>
        </w:r>
      </w:hyperlink>
      <w:r>
        <w:t xml:space="preserve">.</w:t>
      </w:r>
    </w:p>
    <w:bookmarkEnd w:id="78"/>
    <w:bookmarkStart w:id="8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9">
        <w:r>
          <w:rPr>
            <w:rStyle w:val="Hyperlink"/>
          </w:rPr>
          <w:t xml:space="preserve">10.1145/3173574.3173710</w:t>
        </w:r>
      </w:hyperlink>
      <w:r>
        <w:t xml:space="preserve">.</w:t>
      </w:r>
    </w:p>
    <w:bookmarkEnd w:id="80"/>
    <w:bookmarkStart w:id="81"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81"/>
    <w:bookmarkStart w:id="82"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8">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9">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6">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8"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3">
        <w:r>
          <w:rPr>
            <w:rStyle w:val="Hyperlink"/>
          </w:rPr>
          <w:t xml:space="preserve">https://eprints.ncl.ac.uk/273839</w:t>
        </w:r>
      </w:hyperlink>
      <w:r>
        <w:t xml:space="preserve">.</w:t>
      </w:r>
    </w:p>
    <w:bookmarkEnd w:id="88"/>
    <w:bookmarkStart w:id="90"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9">
        <w:r>
          <w:rPr>
            <w:rStyle w:val="Hyperlink"/>
          </w:rPr>
          <w:t xml:space="preserve">10.1145/1011870.1011885</w:t>
        </w:r>
      </w:hyperlink>
      <w:r>
        <w:t xml:space="preserve">.</w:t>
      </w:r>
    </w:p>
    <w:bookmarkEnd w:id="90"/>
    <w:bookmarkStart w:id="92"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1">
        <w:r>
          <w:rPr>
            <w:rStyle w:val="Hyperlink"/>
          </w:rPr>
          <w:t xml:space="preserve">https://www.businessinsider.com/cambridge-analytica-whistleblower-christopher-wylie-facebook-data-2019-10?r=US&amp;IR=T</w:t>
        </w:r>
      </w:hyperlink>
      <w:r>
        <w:t xml:space="preserve">.</w:t>
      </w:r>
    </w:p>
    <w:bookmarkEnd w:id="92"/>
    <w:bookmarkStart w:id="94"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3">
        <w:r>
          <w:rPr>
            <w:rStyle w:val="Hyperlink"/>
          </w:rPr>
          <w:t xml:space="preserve">https://www.collinsdictionary.com/dictionary/english/bleeding-edge</w:t>
        </w:r>
      </w:hyperlink>
      <w:r>
        <w:t xml:space="preserve"> </w:t>
      </w:r>
      <w:r>
        <w:t xml:space="preserve">(Accessed: 29 July 2022).</w:t>
      </w:r>
    </w:p>
    <w:bookmarkEnd w:id="94"/>
    <w:bookmarkStart w:id="95"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52">
        <w:r>
          <w:rPr>
            <w:rStyle w:val="Hyperlink"/>
          </w:rPr>
          <w:t xml:space="preserve">https://web.archive.org/web/20211225192408/https://www.chc-impact-report.co.uk/</w:t>
        </w:r>
      </w:hyperlink>
      <w:r>
        <w:t xml:space="preserve"> </w:t>
      </w:r>
      <w:r>
        <w:t xml:space="preserve">(Accessed: 25 December 2021).</w:t>
      </w:r>
    </w:p>
    <w:bookmarkEnd w:id="95"/>
    <w:bookmarkStart w:id="97"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6">
        <w:r>
          <w:rPr>
            <w:rStyle w:val="Hyperlink"/>
          </w:rPr>
          <w:t xml:space="preserve">10.1016/j.ipm.2020.102307</w:t>
        </w:r>
      </w:hyperlink>
      <w:r>
        <w:t xml:space="preserve">.</w:t>
      </w:r>
    </w:p>
    <w:bookmarkEnd w:id="97"/>
    <w:bookmarkStart w:id="9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8"/>
    <w:bookmarkStart w:id="9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9"/>
    <w:bookmarkStart w:id="100"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0"/>
    <w:bookmarkStart w:id="102"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1">
        <w:r>
          <w:rPr>
            <w:rStyle w:val="Hyperlink"/>
          </w:rPr>
          <w:t xml:space="preserve">https://www.sitra.fi/en/publications/tracking-digipower/</w:t>
        </w:r>
      </w:hyperlink>
      <w:r>
        <w:t xml:space="preserve">.</w:t>
      </w:r>
    </w:p>
    <w:bookmarkEnd w:id="102"/>
    <w:bookmarkStart w:id="104" w:name="ref-härkönen2022project"/>
    <w:p>
      <w:pPr>
        <w:pStyle w:val="Bibliography"/>
      </w:pPr>
      <w:r>
        <w:t xml:space="preserve">Härkönen, T. and Vänskä, R. (2021). Sitra. Available at:</w:t>
      </w:r>
      <w:r>
        <w:t xml:space="preserve"> </w:t>
      </w:r>
      <w:hyperlink r:id="rId103">
        <w:r>
          <w:rPr>
            <w:rStyle w:val="Hyperlink"/>
          </w:rPr>
          <w:t xml:space="preserve">https://www.sitra.fi/en/projects/digipower-investigation/#what-is-it-about</w:t>
        </w:r>
      </w:hyperlink>
      <w:r>
        <w:t xml:space="preserve">.</w:t>
      </w:r>
    </w:p>
    <w:bookmarkEnd w:id="104"/>
    <w:bookmarkStart w:id="106"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5">
        <w:r>
          <w:rPr>
            <w:rStyle w:val="Hyperlink"/>
          </w:rPr>
          <w:t xml:space="preserve">http://www3.weforum.org/docs/WEF_RethinkingPersonalData_TrustandContext_Report_2014.pdf</w:t>
        </w:r>
      </w:hyperlink>
      <w:r>
        <w:t xml:space="preserve">.</w:t>
      </w:r>
    </w:p>
    <w:bookmarkEnd w:id="106"/>
    <w:bookmarkStart w:id="108"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07">
        <w:r>
          <w:rPr>
            <w:rStyle w:val="Hyperlink"/>
          </w:rPr>
          <w:t xml:space="preserve">https://perma.cc/92LZ-B8DN].</w:t>
        </w:r>
      </w:hyperlink>
    </w:p>
    <w:bookmarkEnd w:id="108"/>
    <w:bookmarkStart w:id="11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09">
        <w:r>
          <w:rPr>
            <w:rStyle w:val="Hyperlink"/>
          </w:rPr>
          <w:t xml:space="preserve">10.1145/2493432.2493446</w:t>
        </w:r>
      </w:hyperlink>
      <w:r>
        <w:t xml:space="preserve">.</w:t>
      </w:r>
    </w:p>
    <w:bookmarkEnd w:id="110"/>
    <w:bookmarkStart w:id="11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1">
        <w:r>
          <w:rPr>
            <w:rStyle w:val="Hyperlink"/>
          </w:rPr>
          <w:t xml:space="preserve">10.2139/ssrn.2508051</w:t>
        </w:r>
      </w:hyperlink>
      <w:r>
        <w:t xml:space="preserve">.</w:t>
      </w:r>
    </w:p>
    <w:bookmarkEnd w:id="112"/>
    <w:bookmarkStart w:id="114"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3">
        <w:r>
          <w:rPr>
            <w:rStyle w:val="Hyperlink"/>
          </w:rPr>
          <w:t xml:space="preserve">https://web.archive.org/web/20180727024332/https://digitalcivics.io/apply/</w:t>
        </w:r>
      </w:hyperlink>
      <w:r>
        <w:t xml:space="preserve"> </w:t>
      </w:r>
      <w:r>
        <w:t xml:space="preserve">(Accessed: 6 July 2022).</w:t>
      </w:r>
    </w:p>
    <w:bookmarkEnd w:id="114"/>
    <w:bookmarkStart w:id="115"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7">
        <w:r>
          <w:rPr>
            <w:rStyle w:val="Hyperlink"/>
          </w:rPr>
          <w:t xml:space="preserve">10.5281/zenodo.6554155</w:t>
        </w:r>
      </w:hyperlink>
      <w:r>
        <w:t xml:space="preserve">.</w:t>
      </w:r>
    </w:p>
    <w:bookmarkEnd w:id="115"/>
    <w:bookmarkStart w:id="117"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16">
        <w:r>
          <w:rPr>
            <w:rStyle w:val="Hyperlink"/>
          </w:rPr>
          <w:t xml:space="preserve">10.1016/b978-1-55860-092-8.50006-x</w:t>
        </w:r>
      </w:hyperlink>
      <w:r>
        <w:t xml:space="preserve">.</w:t>
      </w:r>
    </w:p>
    <w:bookmarkEnd w:id="117"/>
    <w:bookmarkStart w:id="118"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18"/>
    <w:bookmarkStart w:id="120"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19">
        <w:r>
          <w:rPr>
            <w:rStyle w:val="Hyperlink"/>
          </w:rPr>
          <w:t xml:space="preserve">https://memory.ai/timely-blog/the-attention-economy</w:t>
        </w:r>
      </w:hyperlink>
      <w:r>
        <w:t xml:space="preserve">.</w:t>
      </w:r>
    </w:p>
    <w:bookmarkEnd w:id="120"/>
    <w:bookmarkStart w:id="122"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1">
        <w:r>
          <w:rPr>
            <w:rStyle w:val="Hyperlink"/>
          </w:rPr>
          <w:t xml:space="preserve">https://www.wired.com/insights/2014/07/data-new-oil-digital-economy/</w:t>
        </w:r>
      </w:hyperlink>
      <w:r>
        <w:t xml:space="preserve">.</w:t>
      </w:r>
    </w:p>
    <w:bookmarkEnd w:id="122"/>
    <w:bookmarkStart w:id="124"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3">
        <w:r>
          <w:rPr>
            <w:rStyle w:val="Hyperlink"/>
          </w:rPr>
          <w:t xml:space="preserve">https://www.ted.com/talks/zeynep_tufekci_we_re_building_a_dystopia_just_to_make_people_click_on_ads</w:t>
        </w:r>
      </w:hyperlink>
      <w:r>
        <w:t xml:space="preserve">.</w:t>
      </w:r>
    </w:p>
    <w:bookmarkEnd w:id="124"/>
    <w:bookmarkStart w:id="126"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5">
        <w:r>
          <w:rPr>
            <w:rStyle w:val="Hyperlink"/>
          </w:rPr>
          <w:t xml:space="preserve">10.1145/2851581.2886436</w:t>
        </w:r>
      </w:hyperlink>
      <w:r>
        <w:t xml:space="preserve">.</w:t>
      </w:r>
    </w:p>
    <w:bookmarkEnd w:id="126"/>
    <w:bookmarkStart w:id="128"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27">
        <w:r>
          <w:rPr>
            <w:rStyle w:val="Hyperlink"/>
          </w:rPr>
          <w:t xml:space="preserve">https://books.google.co.uk/books?id=W7ZEDgAAQBAJ</w:t>
        </w:r>
      </w:hyperlink>
      <w:r>
        <w:t xml:space="preserve">.</w:t>
      </w:r>
    </w:p>
    <w:bookmarkEnd w:id="128"/>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60" Target="media/rId60.jpg" /><Relationship Type="http://schemas.openxmlformats.org/officeDocument/2006/relationships/hyperlink" Id="rId22" Target="7.1.1" TargetMode="External" /><Relationship Type="http://schemas.openxmlformats.org/officeDocument/2006/relationships/hyperlink" Id="rId72"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7"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6"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55"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66" Target="https://doi.org/10.1145/2670528" TargetMode="External" /><Relationship Type="http://schemas.openxmlformats.org/officeDocument/2006/relationships/hyperlink" Id="rId70" Target="https://doi.org/10.1145/2804405" TargetMode="External" /><Relationship Type="http://schemas.openxmlformats.org/officeDocument/2006/relationships/hyperlink" Id="rId125" Target="https://doi.org/10.1145/2851581.2886436" TargetMode="External" /><Relationship Type="http://schemas.openxmlformats.org/officeDocument/2006/relationships/hyperlink" Id="rId79"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2" Target="https://doi.org/10.1145/3491102.3501947" TargetMode="External" /><Relationship Type="http://schemas.openxmlformats.org/officeDocument/2006/relationships/hyperlink" Id="rId54"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7" Target="https://doi.org/10.5281/zenodo.6554155" TargetMode="External" /><Relationship Type="http://schemas.openxmlformats.org/officeDocument/2006/relationships/hyperlink" Id="rId56" Target="https://doi.org/10.5281/zenodo.6554177" TargetMode="External" /><Relationship Type="http://schemas.openxmlformats.org/officeDocument/2006/relationships/hyperlink" Id="rId46" Target="https://eprints.ncl.ac.uk/273825" TargetMode="External" /><Relationship Type="http://schemas.openxmlformats.org/officeDocument/2006/relationships/hyperlink" Id="rId47"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5"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8" Target="https://eprints.ncl.ac.uk/273834" TargetMode="External" /><Relationship Type="http://schemas.openxmlformats.org/officeDocument/2006/relationships/hyperlink" Id="rId53" Target="https://eprints.ncl.ac.uk/273839" TargetMode="External" /><Relationship Type="http://schemas.openxmlformats.org/officeDocument/2006/relationships/hyperlink" Id="rId50" Target="https://eprints.ncl.ac.uk/274297" TargetMode="External" /><Relationship Type="http://schemas.openxmlformats.org/officeDocument/2006/relationships/hyperlink" Id="rId119"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52" Target="https://web.archive.org/web/20211225192408/https://www.chc-impact-report.co.uk/"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3" Target="https://www.ted.com/talks/zeynep_tufekci_we_re_building_a_dystopia_just_to_make_people_click_on_ads" TargetMode="External" /><Relationship Type="http://schemas.openxmlformats.org/officeDocument/2006/relationships/hyperlink" Id="rId121" Target="https://www.wired.com/insights/2014/07/data-new-oil-digital-economy/" TargetMode="External" /><Relationship Type="http://schemas.openxmlformats.org/officeDocument/2006/relationships/hyperlink" Id="rId49" Target="https://www.youtube.com/watch?v=YFHXc_TfM5c" TargetMode="External" /><Relationship Type="http://schemas.openxmlformats.org/officeDocument/2006/relationships/hyperlink" Id="rId41" Target="https://www.youtube.com/watch?v=hf-XjsCgBJY&amp;t=32465s" TargetMode="External" /><Relationship Type="http://schemas.openxmlformats.org/officeDocument/2006/relationships/hyperlink" Id="rId6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2"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7"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6"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55"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66" Target="https://doi.org/10.1145/2670528" TargetMode="External" /><Relationship Type="http://schemas.openxmlformats.org/officeDocument/2006/relationships/hyperlink" Id="rId70" Target="https://doi.org/10.1145/2804405" TargetMode="External" /><Relationship Type="http://schemas.openxmlformats.org/officeDocument/2006/relationships/hyperlink" Id="rId125" Target="https://doi.org/10.1145/2851581.2886436" TargetMode="External" /><Relationship Type="http://schemas.openxmlformats.org/officeDocument/2006/relationships/hyperlink" Id="rId79"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2" Target="https://doi.org/10.1145/3491102.3501947" TargetMode="External" /><Relationship Type="http://schemas.openxmlformats.org/officeDocument/2006/relationships/hyperlink" Id="rId54"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7" Target="https://doi.org/10.5281/zenodo.6554155" TargetMode="External" /><Relationship Type="http://schemas.openxmlformats.org/officeDocument/2006/relationships/hyperlink" Id="rId56" Target="https://doi.org/10.5281/zenodo.6554177" TargetMode="External" /><Relationship Type="http://schemas.openxmlformats.org/officeDocument/2006/relationships/hyperlink" Id="rId46" Target="https://eprints.ncl.ac.uk/273825" TargetMode="External" /><Relationship Type="http://schemas.openxmlformats.org/officeDocument/2006/relationships/hyperlink" Id="rId47"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5"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8" Target="https://eprints.ncl.ac.uk/273834" TargetMode="External" /><Relationship Type="http://schemas.openxmlformats.org/officeDocument/2006/relationships/hyperlink" Id="rId53" Target="https://eprints.ncl.ac.uk/273839" TargetMode="External" /><Relationship Type="http://schemas.openxmlformats.org/officeDocument/2006/relationships/hyperlink" Id="rId50" Target="https://eprints.ncl.ac.uk/274297" TargetMode="External" /><Relationship Type="http://schemas.openxmlformats.org/officeDocument/2006/relationships/hyperlink" Id="rId119"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52" Target="https://web.archive.org/web/20211225192408/https://www.chc-impact-report.co.uk/"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3" Target="https://www.ted.com/talks/zeynep_tufekci_we_re_building_a_dystopia_just_to_make_people_click_on_ads" TargetMode="External" /><Relationship Type="http://schemas.openxmlformats.org/officeDocument/2006/relationships/hyperlink" Id="rId121" Target="https://www.wired.com/insights/2014/07/data-new-oil-digital-economy/" TargetMode="External" /><Relationship Type="http://schemas.openxmlformats.org/officeDocument/2006/relationships/hyperlink" Id="rId49" Target="https://www.youtube.com/watch?v=YFHXc_TfM5c" TargetMode="External" /><Relationship Type="http://schemas.openxmlformats.org/officeDocument/2006/relationships/hyperlink" Id="rId41" Target="https://www.youtube.com/watch?v=hf-XjsCgBJY&amp;t=32465s" TargetMode="External" /><Relationship Type="http://schemas.openxmlformats.org/officeDocument/2006/relationships/hyperlink" Id="rId6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2022-08-07T13:16:39Z</dcterms:created>
  <dcterms:modified xsi:type="dcterms:W3CDTF">2022-08-07T13:16:39Z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