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w:t>
      </w:r>
      <w:r>
        <w:t xml:space="preserve"> </w:t>
      </w:r>
      <w:r>
        <w:rPr>
          <w:bCs/>
          <w:b/>
        </w:rPr>
        <w:t xml:space="preserve">data-centric</w:t>
      </w:r>
      <w:r>
        <w:t xml:space="preserve"> </w:t>
      </w:r>
      <w:r>
        <w:t xml:space="preserve">world, where direct and indirect interactions with computer systems depend upon the collection, storage and use of personal data about individuals. Motivated to reduce costly human interaction and scale to serve more customers, organisations</w:t>
      </w:r>
      <w:r>
        <w:t xml:space="preserve"> </w:t>
      </w:r>
      <w:r>
        <w:rPr>
          <w:bCs/>
          <w:b/>
        </w:rPr>
        <w:t xml:space="preserve">capture and represent individuals as data</w:t>
      </w:r>
      <w:r>
        <w:t xml:space="preserve"> </w:t>
      </w:r>
      <w:r>
        <w:t xml:space="preserve">and rely increasingly on the</w:t>
      </w:r>
      <w:r>
        <w:t xml:space="preserve"> </w:t>
      </w:r>
      <w:r>
        <w:rPr>
          <w:bCs/>
          <w:b/>
        </w:rPr>
        <w:t xml:space="preserve">interpretation of those datapoints to make decisions</w:t>
      </w:r>
      <w:r>
        <w:t xml:space="preserve"> </w:t>
      </w:r>
      <w:r>
        <w:t xml:space="preserve">- decisions that affect our everyday life in myriad ways, from determining eligibility to access particular services, benefits or products or targeting advertisements or recommendations to influence how people behave. Thus, data about people has become extremely valuable;</w:t>
      </w:r>
      <w:r>
        <w:t xml:space="preserve"> </w:t>
      </w:r>
      <w:r>
        <w:rPr>
          <w:iCs/>
          <w:i/>
        </w:rPr>
        <w:t xml:space="preserve">‘</w:t>
      </w:r>
      <w:r>
        <w:rPr>
          <w:iCs/>
          <w:i/>
        </w:rPr>
        <w:t xml:space="preserve">the new oil</w:t>
      </w:r>
      <w:r>
        <w:rPr>
          <w:iCs/>
          <w:i/>
        </w:rP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at the core of a model of</w:t>
      </w:r>
      <w:r>
        <w:t xml:space="preserve"> </w:t>
      </w:r>
      <w:r>
        <w:rPr>
          <w:bCs/>
          <w:b/>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extracts and exploits data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t xml:space="preserve">‘</w:t>
      </w:r>
      <w:r>
        <w:t xml:space="preserve">digital selves</w:t>
      </w:r>
      <w:r>
        <w:t xml:space="preserve">’</w:t>
      </w:r>
      <w:r>
        <w:t xml:space="preserve"> </w:t>
      </w:r>
      <w:r>
        <w:t xml:space="preserve">across hundreds of different organisations’ computer systems, creating</w:t>
      </w:r>
      <w:r>
        <w:t xml:space="preserve"> </w:t>
      </w:r>
      <w:r>
        <w:rPr>
          <w:iCs/>
          <w:i/>
        </w:rPr>
        <w:t xml:space="preserve">“</w:t>
      </w:r>
      <w:r>
        <w:rPr>
          <w:iCs/>
          <w:i/>
        </w:rPr>
        <w:t xml:space="preserve">a chaos of multiplicity</w:t>
      </w:r>
      <w:r>
        <w:rPr>
          <w:iCs/>
          <w:i/>
        </w:rP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w:t>
      </w:r>
      <w:r>
        <w:t xml:space="preserve"> </w:t>
      </w:r>
      <w:r>
        <w:rPr>
          <w:bCs/>
          <w:b/>
        </w:rPr>
        <w:t xml:space="preserve">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w:t>
      </w:r>
      <w:r>
        <w:t xml:space="preserve"> </w:t>
      </w:r>
      <w:r>
        <w:rPr>
          <w:bCs/>
          <w:b/>
        </w:rPr>
        <w:t xml:space="preserve">cause harm to individuals</w:t>
      </w:r>
      <w:r>
        <w:t xml:space="preserve"> </w:t>
      </w:r>
      <w:r>
        <w:t xml:space="preserve">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Many people believe</w:t>
      </w:r>
      <w:r>
        <w:t xml:space="preserve"> </w:t>
      </w:r>
      <w:r>
        <w:rPr>
          <w:bCs/>
          <w:b/>
        </w:rPr>
        <w:t xml:space="preserve">data use harms society too</w:t>
      </w:r>
      <w:r>
        <w:t xml:space="preserve">,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 there is</w:t>
      </w:r>
      <w:r>
        <w:t xml:space="preserve"> </w:t>
      </w:r>
      <w:r>
        <w:rPr>
          <w:bCs/>
          <w:b/>
        </w:rPr>
        <w:t xml:space="preserve">a power imbalance</w:t>
      </w:r>
      <w:r>
        <w:t xml:space="preserve"> </w:t>
      </w:r>
      <w:r>
        <w:rPr>
          <w:iCs/>
          <w:i/>
        </w:rPr>
        <w:t xml:space="preserve">“</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 </w:t>
      </w:r>
      <w:r>
        <w:t xml:space="preserve">(</w:t>
      </w:r>
      <w:hyperlink w:anchor="ref-wef2014context">
        <w:r>
          <w:rPr>
            <w:rStyle w:val="Hyperlink"/>
          </w:rPr>
          <w:t xml:space="preserve">Hoffman, 2014</w:t>
        </w:r>
      </w:hyperlink>
      <w:r>
        <w:t xml:space="preserve">)</w:t>
      </w:r>
      <w:r>
        <w:t xml:space="preserve">.</w:t>
      </w:r>
    </w:p>
    <w:p>
      <w:pPr>
        <w:pStyle w:val="BodyText"/>
      </w:pPr>
      <w:r>
        <w:t xml:space="preserve">To address this power imbalance, people need to achieve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w:t>
      </w:r>
      <w:r>
        <w:rPr>
          <w:iCs/>
          <w:i/>
        </w:rPr>
        <w:t xml:space="preserve">point of severance</w:t>
      </w:r>
      <w:r>
        <w:rPr>
          <w:iCs/>
          <w:i/>
        </w:rPr>
        <w:t xml:space="preserv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then cut out of the loop. Without understanding of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the apparent power imbalance and explores ways in which individual agency, legibility and negotiability can be improved. Through academic inquiry over two Case Studies, it makes a novel contribution to knowledge, arriving at a deep understanding of how people relate to data, what capabilities people need, and how they would like service providers to handle their data. Existing Human-Computer Interaction (HCI) research tends to focus upon the mechanisms by which humans interact with data without considering the sociotechnical perspective. This thesis defines a new, broader frame for this problem space,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to encompass sociotechnical and commercial realities of today’s data-centric world. The new framing offered (and explained in depth) is</w:t>
      </w:r>
      <w:r>
        <w:t xml:space="preserve"> </w:t>
      </w:r>
      <w:r>
        <w:rPr>
          <w:bCs/>
          <w:b/>
        </w:rPr>
        <w:t xml:space="preserve">Human Data Relations (HDR)</w:t>
      </w:r>
      <w:r>
        <w:t xml:space="preserve">. If societal benefits are to be achieved, these data needs must be pursued in practice. This motivates the second discussion chapter, which seeks to extend the contribution of the thesis by mapping out the landscape of obstacles, opportunities and insights in HDR, so that future researchers and innovators will be better equipped to explore and pursue the empowerment of individuals through personal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home computing revolution of the 1980s and 1990s,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so that I might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where, through the digitalisation of businesses and the shift to data-centric cloud-centric business models, we began, and continue to, lose the ability to harness computers for our own ends. I began to explore the reasons and implications of this loss of agency and the possibilities for more human-centric computing, through several published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was squashed and withered away in the shadow of new data giants Google, Facebook, Apple and Amazon and their reshaping and usurping of Internet and smartphone technologies. Against a backdrop of a social media revolution which was literally breaking society and democracy to further the pursuit of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for-profit IT in order to seek ways to research, design and help to build a better digital future, with the objective of making computers useful again. This led me to join the</w:t>
      </w:r>
      <w:r>
        <w:t xml:space="preserve"> </w:t>
      </w:r>
      <w:r>
        <w:rPr>
          <w:iCs/>
          <w:i/>
        </w:rPr>
        <w:t xml:space="preserve">Digital Civics</w:t>
      </w:r>
      <w:r>
        <w:t xml:space="preserve"> </w:t>
      </w:r>
      <w:r>
        <w:t xml:space="preserve">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need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 To acquire this understanding, a participatory research design is employed, collecting interview transcripts from two contexts to enable qualitative analysis that can identify themes to inform a descriptive model of human-centred data empowerment.</w:t>
      </w:r>
    </w:p>
    <w:p>
      <w:pPr>
        <w:pStyle w:val="BodyText"/>
      </w:pPr>
      <w:r>
        <w:t xml:space="preserve">The thesis reports on two studies that invited participants to</w:t>
      </w:r>
      <w:r>
        <w:t xml:space="preserve"> </w:t>
      </w:r>
      <w:r>
        <w:t xml:space="preserve">‘</w:t>
      </w:r>
      <w:r>
        <w:t xml:space="preserve">look behind the curtain</w:t>
      </w:r>
      <w:r>
        <w:t xml:space="preserve">’</w:t>
      </w:r>
      <w:r>
        <w:t xml:space="preserve"> </w:t>
      </w:r>
      <w:r>
        <w:t xml:space="preserve">of previously opaque data-centric organisations they interact with, enabling them to consider more deeply the collection, storage and use of their personal data by service organisations. In both cases the focus was upon examining current practices, identifying attitudes to those practices, and imagining alternative designs and approaches for data use by service providers and the participants themselves. The participants of the two studies are: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forms the core academic research of this PhD [</w:t>
      </w:r>
      <w:hyperlink w:anchor="chapter-6">
        <w:r>
          <w:rPr>
            <w:rStyle w:val="Hyperlink"/>
          </w:rPr>
          <w:t xml:space="preserve">Chapter 6</w:t>
        </w:r>
      </w:hyperlink>
      <w:r>
        <w:t xml:space="preserve">].</w:t>
      </w:r>
    </w:p>
    <w:p>
      <w:pPr>
        <w:pStyle w:val="BodyText"/>
      </w:pPr>
      <w:r>
        <w:t xml:space="preserve">This research is situated in the Human-Computer Interaction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Within this space, there has been a great deal of focus on direct interaction with data and upon interface design, but more sociotechnical examination of individual attitudes to data and individual needs in a data-centric context is an under-researched area. To support the creation of improved interfaces and processes that can redress the power imbalance, this thesis focuses upon the generation of a descriptive model to address the research gap, producing detailed models and insights that recognise the multi-party complexity of data interaction today and thus can be directly of use to inform future design and innovation in the building of systems that recognise the unique challenges of the status quo.</w:t>
      </w:r>
    </w:p>
    <w:p>
      <w:pPr>
        <w:pStyle w:val="BodyText"/>
      </w:pPr>
      <w:r>
        <w:t xml:space="preserve">In particular, in</w:t>
      </w:r>
      <w:r>
        <w:t xml:space="preserve"> </w:t>
      </w:r>
      <w:hyperlink w:anchor="chapter-7">
        <w:r>
          <w:rPr>
            <w:rStyle w:val="Hyperlink"/>
          </w:rPr>
          <w:t xml:space="preserve">Chapter 7</w:t>
        </w:r>
      </w:hyperlink>
      <w:r>
        <w:t xml:space="preserve"> </w:t>
      </w:r>
      <w:r>
        <w:t xml:space="preserve">this thesis moves beyond academic inquiry and provides designerly thoughts, models and ideas that explore how the findings from the academic inquiry could be applied in practice, expanding the scope of the thesis from merely understanding the world towards planning how to change it.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in related industrial research as well as the work of other researchers and innovators in this space, this thesis prioritises the documentation of obstacles, important insights and opportunities for future work. The primary contribution here, as the thesis concludes, is to map out current, emergent and future approaches for improving people’s agency and negotiability, enabling future research, design and innovation work to pursue these goals with a more targeted and well-understood approach, both philosophically and in practice.</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need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w:t>
      </w:r>
      <w:r>
        <w:t xml:space="preserve"> </w:t>
      </w:r>
      <w:hyperlink w:anchor="RQ1">
        <w:r>
          <w:rPr>
            <w:rStyle w:val="Hyperlink"/>
          </w:rPr>
          <w:t xml:space="preserve">RQ1</w:t>
        </w:r>
      </w:hyperlink>
      <w:r>
        <w:t xml:space="preserve"> </w:t>
      </w:r>
      <w:r>
        <w:t xml:space="preserve">and</w:t>
      </w:r>
      <w:r>
        <w:t xml:space="preserve"> </w:t>
      </w:r>
      <w:hyperlink w:anchor="RQ2">
        <w:r>
          <w:rPr>
            <w:rStyle w:val="Hyperlink"/>
          </w:rPr>
          <w:t xml:space="preserve">RQ2</w:t>
        </w:r>
      </w:hyperlink>
      <w:r>
        <w:t xml:space="preserve">, which form the first two contributions C1 and C2:</w:t>
      </w:r>
    </w:p>
    <w:p>
      <w:pPr>
        <w:pStyle w:val="BodyText"/>
      </w:pPr>
      <w:r>
        <w:rPr>
          <w:bCs/>
          <w:b/>
        </w:rPr>
        <w:t xml:space="preserve">C1: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w:t>
      </w:r>
      <w:r>
        <w:t xml:space="preserve"> </w:t>
      </w:r>
      <w:hyperlink w:anchor="RQ1">
        <w:r>
          <w:rPr>
            <w:rStyle w:val="Hyperlink"/>
          </w:rPr>
          <w:t xml:space="preserve">RQ1</w:t>
        </w:r>
      </w:hyperlink>
      <w:r>
        <w:t xml:space="preserve"> </w:t>
      </w:r>
      <w:r>
        <w:t xml:space="preserve">by explaining people’s three specific needs for direct relations with data:</w:t>
      </w:r>
    </w:p>
    <w:p>
      <w:pPr>
        <w:numPr>
          <w:ilvl w:val="0"/>
          <w:numId w:val="1004"/>
        </w:numPr>
        <w:pStyle w:val="Compact"/>
      </w:pPr>
      <w:r>
        <w:t xml:space="preserve">for data to be</w:t>
      </w:r>
      <w:r>
        <w:t xml:space="preserve"> </w:t>
      </w:r>
      <w:r>
        <w:rPr>
          <w:bCs/>
          <w:b/>
        </w:rPr>
        <w:t xml:space="preserve">visible</w:t>
      </w:r>
      <w:r>
        <w:t xml:space="preserve"> </w:t>
      </w:r>
      <w:r>
        <w:t xml:space="preserve">[</w:t>
      </w:r>
      <w:hyperlink w:anchor="Xecaf8be5654f259a19f021dd696c8aed0425326">
        <w:r>
          <w:rPr>
            <w:rStyle w:val="Hyperlink"/>
          </w:rPr>
          <w:t xml:space="preserve">6.1.1</w:t>
        </w:r>
      </w:hyperlink>
      <w:r>
        <w:t xml:space="preserve">],</w:t>
      </w:r>
    </w:p>
    <w:p>
      <w:pPr>
        <w:numPr>
          <w:ilvl w:val="0"/>
          <w:numId w:val="1004"/>
        </w:numPr>
        <w:pStyle w:val="Compact"/>
      </w:pPr>
      <w:r>
        <w:rPr>
          <w:bCs/>
          <w:b/>
        </w:rPr>
        <w:t xml:space="preserve">understandable</w:t>
      </w:r>
      <w:r>
        <w:t xml:space="preserve"> </w:t>
      </w:r>
      <w:r>
        <w:t xml:space="preserve">[</w:t>
      </w:r>
      <w:hyperlink w:anchor="X238446be5e2d7d8b7b5d3c3f92842c91d895c1e">
        <w:r>
          <w:rPr>
            <w:rStyle w:val="Hyperlink"/>
          </w:rPr>
          <w:t xml:space="preserve">6.1.2</w:t>
        </w:r>
      </w:hyperlink>
      <w:r>
        <w:t xml:space="preserve">], and</w:t>
      </w:r>
    </w:p>
    <w:p>
      <w:pPr>
        <w:numPr>
          <w:ilvl w:val="0"/>
          <w:numId w:val="1004"/>
        </w:numPr>
        <w:pStyle w:val="Compact"/>
      </w:pPr>
      <w:r>
        <w:rPr>
          <w:bCs/>
          <w:b/>
        </w:rP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w:t>
      </w:r>
      <w:r>
        <w:t xml:space="preserve"> </w:t>
      </w:r>
      <w:hyperlink w:anchor="RQ2">
        <w:r>
          <w:rPr>
            <w:rStyle w:val="Hyperlink"/>
          </w:rPr>
          <w:t xml:space="preserve">RQ2</w:t>
        </w:r>
      </w:hyperlink>
      <w:r>
        <w:t xml:space="preserve"> </w:t>
      </w:r>
      <w:r>
        <w:t xml:space="preserve">by explaining the three things people need when they have an indirect relationship to their data because it is held by someone else, such as a service provider:</w:t>
      </w:r>
    </w:p>
    <w:p>
      <w:pPr>
        <w:numPr>
          <w:ilvl w:val="0"/>
          <w:numId w:val="1005"/>
        </w:numPr>
        <w:pStyle w:val="Compact"/>
      </w:pPr>
      <w:r>
        <w:rPr>
          <w:bCs/>
          <w:b/>
        </w:rPr>
        <w:t xml:space="preserve">process transparency</w:t>
      </w:r>
      <w:r>
        <w:t xml:space="preserve"> </w:t>
      </w:r>
      <w:r>
        <w:t xml:space="preserve">[</w:t>
      </w:r>
      <w:hyperlink w:anchor="Xffca9b2145cbe8b44269c74219f807eace99c3e">
        <w:r>
          <w:rPr>
            <w:rStyle w:val="Hyperlink"/>
          </w:rPr>
          <w:t xml:space="preserve">6.2.1</w:t>
        </w:r>
      </w:hyperlink>
      <w:r>
        <w:t xml:space="preserve">],</w:t>
      </w:r>
    </w:p>
    <w:p>
      <w:pPr>
        <w:numPr>
          <w:ilvl w:val="0"/>
          <w:numId w:val="1005"/>
        </w:numPr>
        <w:pStyle w:val="Compact"/>
      </w:pPr>
      <w:r>
        <w:rPr>
          <w:bCs/>
          <w:b/>
        </w:rPr>
        <w:t xml:space="preserve">individual oversight</w:t>
      </w:r>
      <w:r>
        <w:t xml:space="preserve"> </w:t>
      </w:r>
      <w:r>
        <w:t xml:space="preserve">[</w:t>
      </w:r>
      <w:hyperlink w:anchor="Xa12d3bdce91425575a83cf92ced2c2e796b4046">
        <w:r>
          <w:rPr>
            <w:rStyle w:val="Hyperlink"/>
          </w:rPr>
          <w:t xml:space="preserve">6.2.2</w:t>
        </w:r>
      </w:hyperlink>
      <w:r>
        <w:t xml:space="preserve">], and</w:t>
      </w:r>
    </w:p>
    <w:p>
      <w:pPr>
        <w:numPr>
          <w:ilvl w:val="0"/>
          <w:numId w:val="1005"/>
        </w:numPr>
        <w:pStyle w:val="Compact"/>
      </w:pPr>
      <w:r>
        <w:rPr>
          <w:bCs/>
          <w:b/>
        </w:rPr>
        <w:t xml:space="preserve">involvement</w:t>
      </w:r>
      <w:r>
        <w:t xml:space="preserve"> </w:t>
      </w:r>
      <w:r>
        <w:t xml:space="preserve">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bCs/>
          <w:b/>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inquiry into the lived realities data relationships described in Chapters</w:t>
      </w:r>
      <w:r>
        <w:t xml:space="preserve"> </w:t>
      </w:r>
      <w:hyperlink w:anchor="chapter-4">
        <w:r>
          <w:rPr>
            <w:rStyle w:val="Hyperlink"/>
          </w:rPr>
          <w:t xml:space="preserve">4</w:t>
        </w:r>
      </w:hyperlink>
      <w:r>
        <w:t xml:space="preserve">,</w:t>
      </w:r>
      <w:r>
        <w:t xml:space="preserve"> </w:t>
      </w:r>
      <w:hyperlink w:anchor="chapter-5">
        <w:r>
          <w:rPr>
            <w:rStyle w:val="Hyperlink"/>
          </w:rPr>
          <w:t xml:space="preserve">5</w:t>
        </w:r>
      </w:hyperlink>
      <w:r>
        <w:t xml:space="preserve">, and</w:t>
      </w:r>
      <w:r>
        <w:t xml:space="preserve"> </w:t>
      </w:r>
      <w:hyperlink w:anchor="chapter-6">
        <w:r>
          <w:rPr>
            <w:rStyle w:val="Hyperlink"/>
          </w:rPr>
          <w:t xml:space="preserve">6</w:t>
        </w:r>
      </w:hyperlink>
      <w:r>
        <w:t xml:space="preserve">, leads to a synthesis of what people need in data relations.</w:t>
      </w:r>
      <w:r>
        <w:t xml:space="preserve"> </w:t>
      </w:r>
      <w:hyperlink w:anchor="chapter-7">
        <w:r>
          <w:rPr>
            <w:rStyle w:val="Hyperlink"/>
          </w:rPr>
          <w:t xml:space="preserve">Chapter 7</w:t>
        </w:r>
      </w:hyperlink>
      <w:r>
        <w:t xml:space="preserve"> </w:t>
      </w:r>
      <w:r>
        <w:t xml:space="preserve">maps out and contextualises both existing work and new designerly insights and models that could service those needs, and formalises the pursuit a defined field of academic and practical endeavour, Human Data Relations [</w:t>
      </w:r>
      <w:hyperlink w:anchor="Xd90f00e19f5543904caf9ab2abd5b800e0613c0">
        <w:r>
          <w:rPr>
            <w:rStyle w:val="Hyperlink"/>
          </w:rPr>
          <w:t xml:space="preserve">7.2</w:t>
        </w:r>
      </w:hyperlink>
      <w:r>
        <w:t xml:space="preserve">] as the pursuit of four specific objectives:</w:t>
      </w:r>
    </w:p>
    <w:p>
      <w:pPr>
        <w:numPr>
          <w:ilvl w:val="0"/>
          <w:numId w:val="1006"/>
        </w:numPr>
        <w:pStyle w:val="Compact"/>
      </w:pPr>
      <w:r>
        <w:rPr>
          <w:bCs/>
          <w:b/>
        </w:rPr>
        <w:t xml:space="preserve">data awareness and understanding</w:t>
      </w:r>
    </w:p>
    <w:p>
      <w:pPr>
        <w:numPr>
          <w:ilvl w:val="0"/>
          <w:numId w:val="1006"/>
        </w:numPr>
        <w:pStyle w:val="Compact"/>
      </w:pPr>
      <w:r>
        <w:rPr>
          <w:bCs/>
          <w:b/>
        </w:rPr>
        <w:t xml:space="preserve">data useability</w:t>
      </w:r>
    </w:p>
    <w:p>
      <w:pPr>
        <w:numPr>
          <w:ilvl w:val="0"/>
          <w:numId w:val="1006"/>
        </w:numPr>
        <w:pStyle w:val="Compact"/>
      </w:pPr>
      <w:r>
        <w:rPr>
          <w:bCs/>
          <w:b/>
        </w:rPr>
        <w:t xml:space="preserve">data ecosystem awareness and understanding</w:t>
      </w:r>
    </w:p>
    <w:p>
      <w:pPr>
        <w:numPr>
          <w:ilvl w:val="0"/>
          <w:numId w:val="1006"/>
        </w:numPr>
        <w:pStyle w:val="Compact"/>
      </w:pPr>
      <w:r>
        <w:rPr>
          <w:bCs/>
          <w:b/>
        </w:rPr>
        <w:t xml:space="preserve">data ecosystem negotiability</w:t>
      </w:r>
    </w:p>
    <w:p>
      <w:pPr>
        <w:pStyle w:val="FirstParagraph"/>
      </w:pPr>
      <w:r>
        <w:rPr>
          <w:bCs/>
          <w:b/>
        </w:rPr>
        <w:t xml:space="preserve">C4: A clear delineation of two primary motivators for individuals seeking better HDR</w:t>
      </w:r>
    </w:p>
    <w:p>
      <w:pPr>
        <w:pStyle w:val="BodyText"/>
      </w:pPr>
      <w:hyperlink w:anchor="X973e4eb80bdcbcdcf80cb82c61a4bcd0034ab9c">
        <w:r>
          <w:rPr>
            <w:rStyle w:val="Hyperlink"/>
          </w:rPr>
          <w:t xml:space="preserve">7.2.3</w:t>
        </w:r>
      </w:hyperlink>
      <w:r>
        <w:t xml:space="preserve">, informed by both the Case Studies and the peripheral activities [</w:t>
      </w:r>
      <w:hyperlink w:anchor="X04ca063b6845d470c10139c5272853c062aa84e">
        <w:r>
          <w:rPr>
            <w:rStyle w:val="Hyperlink"/>
          </w:rPr>
          <w:t xml:space="preserve">7.1.2</w:t>
        </w:r>
      </w:hyperlink>
      <w:r>
        <w:t xml:space="preserve">], clarifies the two driving motivations for pursuing better HDR:</w:t>
      </w:r>
    </w:p>
    <w:p>
      <w:pPr>
        <w:numPr>
          <w:ilvl w:val="0"/>
          <w:numId w:val="1007"/>
        </w:numPr>
        <w:pStyle w:val="Compact"/>
      </w:pPr>
      <w:r>
        <w:rPr>
          <w:bCs/>
          <w:b/>
        </w:rPr>
        <w:t xml:space="preserve">Life Information Utilisation</w:t>
      </w:r>
      <w:r>
        <w:t xml:space="preserve">, and</w:t>
      </w:r>
    </w:p>
    <w:p>
      <w:pPr>
        <w:numPr>
          <w:ilvl w:val="0"/>
          <w:numId w:val="1007"/>
        </w:numPr>
        <w:pStyle w:val="Compact"/>
      </w:pPr>
      <w:r>
        <w:rPr>
          <w:bCs/>
          <w:b/>
        </w:rPr>
        <w:t xml:space="preserve">Personal Data Ecosystem Control</w:t>
      </w:r>
      <w:r>
        <w:t xml:space="preserve">.</w:t>
      </w:r>
    </w:p>
    <w:p>
      <w:pPr>
        <w:pStyle w:val="FirstParagraph"/>
      </w:pPr>
      <w:r>
        <w:rPr>
          <w:bCs/>
          <w:b/>
        </w:rPr>
        <w:t xml:space="preserve">C5: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the landscape of HDR is mapped out from multiple perspectives.</w:t>
      </w:r>
    </w:p>
    <w:p>
      <w:pPr>
        <w:pStyle w:val="BodyText"/>
      </w:pPr>
      <w:hyperlink w:anchor="X96c51c3d98f021d42ee8c458ed421add6b4adde">
        <w:r>
          <w:rPr>
            <w:rStyle w:val="Hyperlink"/>
          </w:rPr>
          <w:t xml:space="preserve">7.3</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w:t>
      </w:r>
      <w:r>
        <w:t xml:space="preserve"> </w:t>
      </w:r>
      <w:hyperlink w:anchor="hdr-insights">
        <w:r>
          <w:rPr>
            <w:rStyle w:val="Hyperlink"/>
          </w:rPr>
          <w:t xml:space="preserve">thirteen insights</w:t>
        </w:r>
      </w:hyperlink>
      <w:r>
        <w:t xml:space="preserve"> </w:t>
      </w:r>
      <w:r>
        <w:t xml:space="preserve">are explained that could seed future research and innovation towards tackling these obstacles:</w:t>
      </w:r>
    </w:p>
    <w:p>
      <w:pPr>
        <w:pStyle w:val="BodyText"/>
      </w:pPr>
      <w:hyperlink w:anchor="insight-1">
        <w:r>
          <w:rPr>
            <w:rStyle w:val="Hyperlink"/>
          </w:rPr>
          <w:t xml:space="preserve">1</w:t>
        </w:r>
      </w:hyperlink>
      <w:r>
        <w:t xml:space="preserve">. Life information makes data relatable.</w:t>
      </w:r>
      <w:r>
        <w:t xml:space="preserve"> </w:t>
      </w:r>
      <w:hyperlink w:anchor="insight-2">
        <w:r>
          <w:rPr>
            <w:rStyle w:val="Hyperlink"/>
          </w:rPr>
          <w:t xml:space="preserve">2</w:t>
        </w:r>
      </w:hyperlink>
      <w:r>
        <w:t xml:space="preserve">. Data needs to be united and unified.</w:t>
      </w:r>
      <w:r>
        <w:t xml:space="preserve"> </w:t>
      </w:r>
      <w:hyperlink w:anchor="insight-3">
        <w:r>
          <w:rPr>
            <w:rStyle w:val="Hyperlink"/>
          </w:rPr>
          <w:t xml:space="preserve">3</w:t>
        </w:r>
      </w:hyperlink>
      <w:r>
        <w:t xml:space="preserve">. Data must be transformed into a versatile material.</w:t>
      </w:r>
      <w:r>
        <w:t xml:space="preserve"> </w:t>
      </w:r>
      <w:hyperlink w:anchor="insight-4">
        <w:r>
          <w:rPr>
            <w:rStyle w:val="Hyperlink"/>
          </w:rPr>
          <w:t xml:space="preserve">4</w:t>
        </w:r>
      </w:hyperlink>
      <w:r>
        <w:t xml:space="preserve">. Ecosystem information is an antidote to digital life complexity.</w:t>
      </w:r>
      <w:r>
        <w:t xml:space="preserve"> </w:t>
      </w:r>
      <w:hyperlink w:anchor="insight-5">
        <w:r>
          <w:rPr>
            <w:rStyle w:val="Hyperlink"/>
          </w:rPr>
          <w:t xml:space="preserve">5</w:t>
        </w:r>
      </w:hyperlink>
      <w:r>
        <w:t xml:space="preserve">. We must know data’s provenance.</w:t>
      </w:r>
      <w:r>
        <w:t xml:space="preserve"> </w:t>
      </w:r>
      <w:hyperlink w:anchor="insight-6">
        <w:r>
          <w:rPr>
            <w:rStyle w:val="Hyperlink"/>
          </w:rPr>
          <w:t xml:space="preserve">6</w:t>
        </w:r>
      </w:hyperlink>
      <w:r>
        <w:t xml:space="preserve">. Data holders exploit four levers of power to manipulate the digital landscape.</w:t>
      </w:r>
      <w:r>
        <w:t xml:space="preserve"> </w:t>
      </w:r>
      <w:hyperlink w:anchor="insight-7">
        <w:r>
          <w:rPr>
            <w:rStyle w:val="Hyperlink"/>
          </w:rPr>
          <w:t xml:space="preserve">7</w:t>
        </w:r>
      </w:hyperlink>
      <w:r>
        <w:t xml:space="preserve">. We need new human-centred information systems that serve human values, relieve pain and deliver new life capabilities.</w:t>
      </w:r>
      <w:r>
        <w:t xml:space="preserve"> </w:t>
      </w:r>
      <w:hyperlink w:anchor="insight-8">
        <w:r>
          <w:rPr>
            <w:rStyle w:val="Hyperlink"/>
          </w:rPr>
          <w:t xml:space="preserve">8</w:t>
        </w:r>
      </w:hyperlink>
      <w:r>
        <w:t xml:space="preserve">. We need to teach computers to understand human information.</w:t>
      </w:r>
      <w:r>
        <w:t xml:space="preserve"> </w:t>
      </w:r>
      <w:hyperlink w:anchor="insight-9">
        <w:r>
          <w:rPr>
            <w:rStyle w:val="Hyperlink"/>
          </w:rPr>
          <w:t xml:space="preserve">9</w:t>
        </w:r>
      </w:hyperlink>
      <w:r>
        <w:t xml:space="preserve">. Individual GDPR requests can compel companies to change data practices.</w:t>
      </w:r>
      <w:r>
        <w:t xml:space="preserve"> </w:t>
      </w:r>
      <w:hyperlink w:anchor="insight-10">
        <w:r>
          <w:rPr>
            <w:rStyle w:val="Hyperlink"/>
          </w:rPr>
          <w:t xml:space="preserve">10</w:t>
        </w:r>
      </w:hyperlink>
      <w:r>
        <w:t xml:space="preserve">. Collectives can compare and unify their data and use it to demand change.</w:t>
      </w:r>
      <w:r>
        <w:t xml:space="preserve"> </w:t>
      </w:r>
      <w:hyperlink w:anchor="insight-11">
        <w:r>
          <w:rPr>
            <w:rStyle w:val="Hyperlink"/>
          </w:rPr>
          <w:t xml:space="preserve">11</w:t>
        </w:r>
      </w:hyperlink>
      <w:r>
        <w:t xml:space="preserve">. Automating the identification of entities can enhance machine understanding and unburden life interface users.</w:t>
      </w:r>
      <w:r>
        <w:t xml:space="preserve"> </w:t>
      </w: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r>
        <w:t xml:space="preserve"> </w:t>
      </w:r>
      <w:hyperlink w:anchor="insight-13">
        <w:r>
          <w:rPr>
            <w:rStyle w:val="Hyperlink"/>
          </w:rPr>
          <w:t xml:space="preserve">13</w:t>
        </w:r>
      </w:hyperlink>
      <w:r>
        <w:t xml:space="preserve">. It is possible (and necessary) to demonstrate business benefits of transparency and human-centricity.</w:t>
      </w:r>
    </w:p>
    <w:p>
      <w:pPr>
        <w:pStyle w:val="BodyText"/>
      </w:pPr>
      <w:r>
        <w:rPr>
          <w:bCs/>
          <w:b/>
        </w:rPr>
        <w:t xml:space="preserve">C6: Four identified trajectories for advancing Human Data Relations</w:t>
      </w:r>
    </w:p>
    <w:p>
      <w:pPr>
        <w:pStyle w:val="BodyText"/>
      </w:pPr>
      <w:r>
        <w:t xml:space="preserve">Section</w:t>
      </w:r>
      <w:r>
        <w:t xml:space="preserve"> </w:t>
      </w:r>
      <w:hyperlink w:anchor="X40141584308035bb03b454584dbe23925c8bab3">
        <w:r>
          <w:rPr>
            <w:rStyle w:val="Hyperlink"/>
          </w:rPr>
          <w:t xml:space="preserve">7.4</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09"/>
        </w:numPr>
        <w:pStyle w:val="Compact"/>
      </w:pPr>
      <w:r>
        <w:rPr>
          <w:bCs/>
          <w:b/>
        </w:rPr>
        <w:t xml:space="preserve">Discovery-Driven Activism</w:t>
      </w:r>
      <w:r>
        <w:t xml:space="preserve"> </w:t>
      </w:r>
      <w:r>
        <w:t xml:space="preserve">[</w:t>
      </w:r>
      <w:hyperlink w:anchor="approach-1">
        <w:r>
          <w:rPr>
            <w:rStyle w:val="Hyperlink"/>
          </w:rPr>
          <w:t xml:space="preserve">7.4.2</w:t>
        </w:r>
      </w:hyperlink>
      <w:r>
        <w:t xml:space="preserve">]</w:t>
      </w:r>
    </w:p>
    <w:p>
      <w:pPr>
        <w:numPr>
          <w:ilvl w:val="0"/>
          <w:numId w:val="1009"/>
        </w:numPr>
        <w:pStyle w:val="Compact"/>
      </w:pPr>
      <w:r>
        <w:rPr>
          <w:bCs/>
          <w:b/>
        </w:rPr>
        <w:t xml:space="preserve">Building the Human-Centric Future</w:t>
      </w:r>
      <w:r>
        <w:t xml:space="preserve"> </w:t>
      </w:r>
      <w:r>
        <w:t xml:space="preserve">[</w:t>
      </w:r>
      <w:hyperlink w:anchor="approach-2">
        <w:r>
          <w:rPr>
            <w:rStyle w:val="Hyperlink"/>
          </w:rPr>
          <w:t xml:space="preserve">7.4.3</w:t>
        </w:r>
      </w:hyperlink>
      <w:r>
        <w:t xml:space="preserve">]</w:t>
      </w:r>
    </w:p>
    <w:p>
      <w:pPr>
        <w:numPr>
          <w:ilvl w:val="0"/>
          <w:numId w:val="1009"/>
        </w:numPr>
        <w:pStyle w:val="Compact"/>
      </w:pPr>
      <w:r>
        <w:rPr>
          <w:bCs/>
          <w:b/>
        </w:rPr>
        <w:t xml:space="preserve">Defending User Autonomy and Hacking the Information Landscape</w:t>
      </w:r>
      <w:r>
        <w:t xml:space="preserve"> </w:t>
      </w:r>
      <w:r>
        <w:t xml:space="preserve">[</w:t>
      </w:r>
      <w:hyperlink w:anchor="approach-3">
        <w:r>
          <w:rPr>
            <w:rStyle w:val="Hyperlink"/>
          </w:rPr>
          <w:t xml:space="preserve">7.4.4</w:t>
        </w:r>
      </w:hyperlink>
      <w:r>
        <w:t xml:space="preserve">]</w:t>
      </w:r>
    </w:p>
    <w:p>
      <w:pPr>
        <w:numPr>
          <w:ilvl w:val="0"/>
          <w:numId w:val="1009"/>
        </w:numPr>
        <w:pStyle w:val="Compact"/>
      </w:pPr>
      <w:r>
        <w:rPr>
          <w:bCs/>
          <w:b/>
        </w:rPr>
        <w:t xml:space="preserve">Teaching, Championing and Selling the HDR Vision</w:t>
      </w:r>
      <w:r>
        <w:t xml:space="preserve"> </w:t>
      </w:r>
      <w:r>
        <w:t xml:space="preserve">[</w:t>
      </w:r>
      <w:hyperlink w:anchor="approach-4">
        <w:r>
          <w:rPr>
            <w:rStyle w:val="Hyperlink"/>
          </w:rPr>
          <w:t xml:space="preserve">7.4.5</w:t>
        </w:r>
      </w:hyperlink>
      <w:r>
        <w:t xml:space="preserve">]</w:t>
      </w:r>
    </w:p>
    <w:p>
      <w:pPr>
        <w:pStyle w:val="FirstParagraph"/>
      </w:pPr>
      <w:r>
        <w:rPr>
          <w:bCs/>
          <w:b/>
        </w:rPr>
        <w:t xml:space="preserve">C7: A reframing of data literacy for the HDR space</w:t>
      </w:r>
    </w:p>
    <w:p>
      <w:pPr>
        <w:pStyle w:val="BodyText"/>
      </w:pPr>
      <w:r>
        <w:t xml:space="preserve">Section</w:t>
      </w:r>
      <w:r>
        <w:t xml:space="preserve"> </w:t>
      </w:r>
      <w:hyperlink w:anchor="X33b4cf25384363ac565ef3c7838bb451c8a241b">
        <w:r>
          <w:rPr>
            <w:rStyle w:val="Hyperlink"/>
          </w:rPr>
          <w:t xml:space="preserve">7.4.5</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bCs/>
          <w:b/>
          <w:iCs/>
          <w:i/>
        </w:rPr>
        <w:t xml:space="preserve">HDR literate</w:t>
      </w:r>
      <w:r>
        <w:t xml:space="preserve">:</w:t>
      </w:r>
    </w:p>
    <w:p>
      <w:pPr>
        <w:numPr>
          <w:ilvl w:val="0"/>
          <w:numId w:val="1010"/>
        </w:numPr>
        <w:pStyle w:val="Compact"/>
      </w:pPr>
      <w:r>
        <w:t xml:space="preserve">appreciating the value of personal data;</w:t>
      </w:r>
    </w:p>
    <w:p>
      <w:pPr>
        <w:numPr>
          <w:ilvl w:val="0"/>
          <w:numId w:val="1010"/>
        </w:numPr>
        <w:pStyle w:val="Compact"/>
      </w:pPr>
      <w:r>
        <w:t xml:space="preserve">understanding the implications of organisational data use;</w:t>
      </w:r>
    </w:p>
    <w:p>
      <w:pPr>
        <w:numPr>
          <w:ilvl w:val="0"/>
          <w:numId w:val="1010"/>
        </w:numPr>
        <w:pStyle w:val="Compact"/>
      </w:pPr>
      <w:r>
        <w:t xml:space="preserve">recognising why portable data and app/data separation is important;</w:t>
      </w:r>
    </w:p>
    <w:p>
      <w:pPr>
        <w:numPr>
          <w:ilvl w:val="0"/>
          <w:numId w:val="1010"/>
        </w:numPr>
        <w:pStyle w:val="Compact"/>
      </w:pPr>
      <w:r>
        <w:t xml:space="preserve">knowing how to exercise data rights and evaluate responses;</w:t>
      </w:r>
    </w:p>
    <w:p>
      <w:pPr>
        <w:numPr>
          <w:ilvl w:val="0"/>
          <w:numId w:val="1010"/>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Use context</w:t>
      </w:r>
    </w:p>
    <w:p>
      <w:pPr>
        <w:pStyle w:val="FirstParagraph"/>
      </w:pPr>
      <w:r>
        <w:rPr>
          <w:bCs/>
          <w:b/>
        </w:rPr>
        <w:t xml:space="preserve">C8: Validation and enumeration of supported families’ attitudes and needs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w:t>
      </w:r>
      <w:r>
        <w:t xml:space="preserve"> </w:t>
      </w:r>
      <w:r>
        <w:rPr>
          <w:bCs/>
          <w:b/>
        </w:rPr>
        <w:t xml:space="preserve">continuing rights, control and visibility over their personal data</w:t>
      </w:r>
      <w:r>
        <w:t xml:space="preserve">, so that it remains</w:t>
      </w:r>
      <w:r>
        <w:t xml:space="preserve"> </w:t>
      </w:r>
      <w:r>
        <w:rPr>
          <w:bCs/>
          <w:b/>
        </w:rPr>
        <w:t xml:space="preserve">fair, accurate and meaningful</w:t>
      </w:r>
      <w:r>
        <w:t xml:space="preserve">. Furthermore, the lived experiences of supported families show how</w:t>
      </w:r>
      <w:r>
        <w:t xml:space="preserve"> </w:t>
      </w:r>
      <w:r>
        <w:rPr>
          <w:bCs/>
          <w:b/>
        </w:rPr>
        <w:t xml:space="preserve">data can become a proxy for human involvement</w:t>
      </w:r>
      <w:r>
        <w:t xml:space="preserve">, and that this can be harmful and disempowering. In particular:</w:t>
      </w:r>
    </w:p>
    <w:p>
      <w:pPr>
        <w:numPr>
          <w:ilvl w:val="0"/>
          <w:numId w:val="1011"/>
        </w:numPr>
        <w:pStyle w:val="Compact"/>
      </w:pPr>
      <w:r>
        <w:t xml:space="preserve">Supported families need</w:t>
      </w:r>
      <w:r>
        <w:t xml:space="preserve"> </w:t>
      </w:r>
      <w:r>
        <w:rPr>
          <w:bCs/>
          <w:b/>
        </w:rPr>
        <w:t xml:space="preserve">meaningful interaction</w:t>
      </w:r>
      <w:r>
        <w:t xml:space="preserve"> </w:t>
      </w:r>
      <w:r>
        <w:t xml:space="preserve">with and through data,</w:t>
      </w:r>
    </w:p>
    <w:p>
      <w:pPr>
        <w:numPr>
          <w:ilvl w:val="0"/>
          <w:numId w:val="1011"/>
        </w:numPr>
        <w:pStyle w:val="Compact"/>
      </w:pPr>
      <w:r>
        <w:t xml:space="preserve">They need to be</w:t>
      </w:r>
      <w:r>
        <w:t xml:space="preserve"> </w:t>
      </w:r>
      <w:r>
        <w:rPr>
          <w:bCs/>
          <w:b/>
        </w:rPr>
        <w:t xml:space="preserve">given a voice</w:t>
      </w:r>
      <w:r>
        <w:t xml:space="preserve"> </w:t>
      </w:r>
      <w:r>
        <w:t xml:space="preserve">to explain, challenge or add context to data, and</w:t>
      </w:r>
    </w:p>
    <w:p>
      <w:pPr>
        <w:numPr>
          <w:ilvl w:val="0"/>
          <w:numId w:val="1011"/>
        </w:numPr>
        <w:pStyle w:val="Compact"/>
      </w:pPr>
      <w:r>
        <w:rPr>
          <w:bCs/>
          <w:b/>
        </w:rPr>
        <w:t xml:space="preserve">Transparency over data can improve trust</w:t>
      </w:r>
      <w:r>
        <w:t xml:space="preserve"> </w:t>
      </w:r>
      <w:r>
        <w:t xml:space="preserve">in support services.</w:t>
      </w:r>
    </w:p>
    <w:p>
      <w:pPr>
        <w:pStyle w:val="FirstParagraph"/>
      </w:pPr>
      <w:r>
        <w:rPr>
          <w:bCs/>
          <w:b/>
        </w:rPr>
        <w:t xml:space="preserve">C9:</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Support service providers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 [</w:t>
      </w:r>
      <w:hyperlink w:anchor="Xdecc0e8ff84b4e8fdb98d4490fcb5b15d4e95fa">
        <w:r>
          <w:rPr>
            <w:rStyle w:val="Hyperlink"/>
          </w:rPr>
          <w:t xml:space="preserve">4.2.4</w:t>
        </w:r>
      </w:hyperlink>
      <w:r>
        <w:t xml:space="preserve">] 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 after thorough exploration by participants [</w:t>
      </w:r>
      <w:hyperlink w:anchor="table-3.1">
        <w:r>
          <w:rPr>
            <w:rStyle w:val="Hyperlink"/>
          </w:rPr>
          <w:t xml:space="preserve">Table 3.1</w:t>
        </w:r>
      </w:hyperlink>
      <w:r>
        <w:t xml:space="preserve">] - was perceived to be beneficial. The benefits (and challenges) of such an approach are explored thoroughly in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w:t>
      </w:r>
      <w:r>
        <w:rPr>
          <w:iCs/>
          <w:i/>
        </w:rPr>
        <w:t xml:space="preserve">things to think with</w:t>
      </w:r>
      <w:r>
        <w:rPr>
          <w:iCs/>
          <w:i/>
        </w:rPr>
        <w:t xml:space="preserve">’</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context of GDPR and Everyday Data Access</w:t>
      </w:r>
    </w:p>
    <w:p>
      <w:pPr>
        <w:pStyle w:val="FirstParagraph"/>
      </w:pPr>
      <w:r>
        <w:rPr>
          <w:bCs/>
          <w:b/>
        </w:rPr>
        <w:t xml:space="preserve">C10: A model to understand the five different origins of held personal data</w:t>
      </w:r>
    </w:p>
    <w:p>
      <w:pPr>
        <w:pStyle w:val="BodyText"/>
      </w:pPr>
      <w:r>
        <w:t xml:space="preserve">[</w:t>
      </w:r>
      <w:hyperlink w:anchor="table-5.2">
        <w:r>
          <w:rPr>
            <w:rStyle w:val="Hyperlink"/>
          </w:rPr>
          <w:t xml:space="preserve">Table 5.2</w:t>
        </w:r>
      </w:hyperlink>
      <w:r>
        <w:t xml:space="preserve">] describes five different types of data organisations can hold about individuals:</w:t>
      </w:r>
    </w:p>
    <w:p>
      <w:pPr>
        <w:numPr>
          <w:ilvl w:val="0"/>
          <w:numId w:val="1012"/>
        </w:numPr>
        <w:pStyle w:val="Compact"/>
      </w:pPr>
      <w:r>
        <w:rPr>
          <w:bCs/>
          <w:b/>
        </w:rPr>
        <w:t xml:space="preserve">Volunteered Data</w:t>
      </w:r>
    </w:p>
    <w:p>
      <w:pPr>
        <w:numPr>
          <w:ilvl w:val="0"/>
          <w:numId w:val="1012"/>
        </w:numPr>
        <w:pStyle w:val="Compact"/>
      </w:pPr>
      <w:r>
        <w:rPr>
          <w:bCs/>
          <w:b/>
        </w:rPr>
        <w:t xml:space="preserve">Observed Data</w:t>
      </w:r>
    </w:p>
    <w:p>
      <w:pPr>
        <w:numPr>
          <w:ilvl w:val="0"/>
          <w:numId w:val="1012"/>
        </w:numPr>
        <w:pStyle w:val="Compact"/>
      </w:pPr>
      <w:r>
        <w:rPr>
          <w:bCs/>
          <w:b/>
        </w:rPr>
        <w:t xml:space="preserve">Derived Data</w:t>
      </w:r>
    </w:p>
    <w:p>
      <w:pPr>
        <w:numPr>
          <w:ilvl w:val="0"/>
          <w:numId w:val="1012"/>
        </w:numPr>
        <w:pStyle w:val="Compact"/>
      </w:pPr>
      <w:r>
        <w:rPr>
          <w:bCs/>
          <w:b/>
        </w:rPr>
        <w:t xml:space="preserve">Acquired Data</w:t>
      </w:r>
    </w:p>
    <w:p>
      <w:pPr>
        <w:numPr>
          <w:ilvl w:val="0"/>
          <w:numId w:val="1012"/>
        </w:numPr>
        <w:pStyle w:val="Compact"/>
      </w:pPr>
      <w:r>
        <w:rPr>
          <w:bCs/>
          <w:b/>
        </w:rPr>
        <w:t xml:space="preserve">Metadata</w:t>
      </w:r>
    </w:p>
    <w:p>
      <w:pPr>
        <w:pStyle w:val="FirstParagraph"/>
      </w:pPr>
      <w:r>
        <w:t xml:space="preserve">This model has been used as both during design and ideation sessions at BBC R&amp;D as well as being used and cited within SITRA/Hestia.ai’s digipower study,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w:t>
      </w:r>
      <w:r>
        <w:t xml:space="preserve"> </w:t>
      </w:r>
      <w:r>
        <w:rPr>
          <w:bCs/>
          <w:b/>
        </w:rPr>
        <w:t xml:space="preserve">resignation about data sacrifice</w:t>
      </w:r>
      <w:r>
        <w:t xml:space="preserve">,</w:t>
      </w:r>
      <w:r>
        <w:t xml:space="preserve"> </w:t>
      </w:r>
      <w:r>
        <w:rPr>
          <w:bCs/>
          <w:b/>
        </w:rPr>
        <w:t xml:space="preserve">disappointment in GPDR handling</w:t>
      </w:r>
      <w:r>
        <w:t xml:space="preserve"> </w:t>
      </w:r>
      <w:r>
        <w:t xml:space="preserve">by service providers, and</w:t>
      </w:r>
      <w:r>
        <w:t xml:space="preserve"> </w:t>
      </w:r>
      <w:r>
        <w:rPr>
          <w:bCs/>
          <w:b/>
        </w:rPr>
        <w:t xml:space="preserve">a lack of answers to questions</w:t>
      </w:r>
      <w:r>
        <w:t xml:space="preserve">.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bCs/>
          <w:b/>
        </w:rPr>
        <w:t xml:space="preserve">decrease in trust</w:t>
      </w:r>
      <w:r>
        <w:t xml:space="preserve"> </w:t>
      </w:r>
      <w:r>
        <w:t xml:space="preserve">in those same data holders. At the same time, GDPR use on the whole failed to provide a net increase in perceived individual power; it was</w:t>
      </w:r>
      <w:r>
        <w:t xml:space="preserve"> </w:t>
      </w:r>
      <w:r>
        <w:rPr>
          <w:bCs/>
          <w:b/>
        </w:rPr>
        <w:t xml:space="preserve">not empowering</w:t>
      </w:r>
      <w:r>
        <w:t xml:space="preserve"> </w:t>
      </w:r>
      <w:r>
        <w:t xml:space="preserve">people and hence not meeting its own goals. Further analysis of these patterns also showed that</w:t>
      </w:r>
      <w:r>
        <w:t xml:space="preserve"> </w:t>
      </w:r>
      <w:r>
        <w:rPr>
          <w:bCs/>
          <w:b/>
        </w:rPr>
        <w:t xml:space="preserve">data handling practices are critical to trust and consumer loyalty</w:t>
      </w:r>
      <w:r>
        <w:t xml:space="preserve"> </w:t>
      </w:r>
      <w:r>
        <w:t xml:space="preserve">[</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3"/>
        </w:numPr>
        <w:pStyle w:val="Compact"/>
      </w:pPr>
      <w:r>
        <w:t xml:space="preserve">Policymakers and DPOs should do better at</w:t>
      </w:r>
      <w:r>
        <w:t xml:space="preserve"> </w:t>
      </w:r>
      <w:r>
        <w:rPr>
          <w:bCs/>
          <w:b/>
        </w:rPr>
        <w:t xml:space="preserve">enforcing GDPR rights</w:t>
      </w:r>
      <w:r>
        <w:t xml:space="preserve">, and regulate to</w:t>
      </w:r>
      <w:r>
        <w:t xml:space="preserve"> </w:t>
      </w:r>
      <w:r>
        <w:rPr>
          <w:bCs/>
          <w:b/>
        </w:rPr>
        <w:t xml:space="preserve">improve response quality</w:t>
      </w:r>
      <w:r>
        <w:t xml:space="preserve"> </w:t>
      </w:r>
      <w:r>
        <w:t xml:space="preserve">and legislate to mandate data holders to</w:t>
      </w:r>
      <w:r>
        <w:t xml:space="preserve"> </w:t>
      </w:r>
      <w:r>
        <w:rPr>
          <w:bCs/>
          <w:b/>
        </w:rPr>
        <w:t xml:space="preserve">support data subjects in understanding data</w:t>
      </w:r>
      <w:r>
        <w:t xml:space="preserve">.</w:t>
      </w:r>
    </w:p>
    <w:p>
      <w:pPr>
        <w:numPr>
          <w:ilvl w:val="0"/>
          <w:numId w:val="1013"/>
        </w:numPr>
        <w:pStyle w:val="Compact"/>
      </w:pPr>
      <w:r>
        <w:t xml:space="preserve">Data-holding service providers should</w:t>
      </w:r>
      <w:r>
        <w:t xml:space="preserve"> </w:t>
      </w:r>
      <w:r>
        <w:rPr>
          <w:bCs/>
          <w:b/>
        </w:rPr>
        <w:t xml:space="preserve">improve transparency</w:t>
      </w:r>
      <w:r>
        <w:t xml:space="preserve"> </w:t>
      </w:r>
      <w:r>
        <w:t xml:space="preserve">over data and data handling process, and could seize the opportunities of</w:t>
      </w:r>
      <w:r>
        <w:t xml:space="preserve"> </w:t>
      </w:r>
      <w:r>
        <w:rPr>
          <w:bCs/>
          <w:b/>
        </w:rPr>
        <w:t xml:space="preserve">more inclusive and collaborative models of individual data access</w:t>
      </w:r>
      <w:r>
        <w:t xml:space="preserve"> </w:t>
      </w:r>
      <w:r>
        <w:t xml:space="preserve">to improve trust, empower users and reduce their own liability.</w:t>
      </w:r>
    </w:p>
    <w:p>
      <w:pPr>
        <w:numPr>
          <w:ilvl w:val="0"/>
          <w:numId w:val="1013"/>
        </w:numPr>
        <w:pStyle w:val="Compact"/>
      </w:pPr>
      <w:r>
        <w:t xml:space="preserve">Individuals should recognise the critical role of held personal data in modern life, embrace opportunities to</w:t>
      </w:r>
      <w:r>
        <w:t xml:space="preserve"> </w:t>
      </w:r>
      <w:r>
        <w:rPr>
          <w:bCs/>
          <w:b/>
        </w:rPr>
        <w:t xml:space="preserve">access and exploit their own data</w:t>
      </w:r>
      <w:r>
        <w:t xml:space="preserve"> </w:t>
      </w:r>
      <w:r>
        <w:t xml:space="preserve">and</w:t>
      </w:r>
      <w:r>
        <w:t xml:space="preserve"> </w:t>
      </w:r>
      <w:r>
        <w:rPr>
          <w:bCs/>
          <w:b/>
        </w:rPr>
        <w:t xml:space="preserve">use data access rights to hold service providers to account</w:t>
      </w:r>
      <w:r>
        <w:t xml:space="preserve">.</w:t>
      </w:r>
    </w:p>
    <w:p>
      <w:pPr>
        <w:pStyle w:val="FirstParagraph"/>
      </w:pPr>
      <w:r>
        <w:rPr>
          <w:bCs/>
          <w:b/>
        </w:rPr>
        <w:t xml:space="preserve">C14: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w:t>
      </w:r>
      <w:r>
        <w:t xml:space="preserve"> </w:t>
      </w:r>
      <w:r>
        <w:rPr>
          <w:bCs/>
          <w:b/>
        </w:rPr>
        <w:t xml:space="preserve">highly valuable and replicable</w:t>
      </w:r>
      <w:r>
        <w:t xml:space="preserve"> </w:t>
      </w:r>
      <w:r>
        <w:t xml:space="preserve">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w:t>
      </w:r>
      <w:r>
        <w:t xml:space="preserve"> </w:t>
      </w:r>
      <w:r>
        <w:rPr>
          <w:bCs/>
          <w:b/>
        </w:rPr>
        <w:t xml:space="preserve">adopted Case Study Two’s methodology</w:t>
      </w:r>
      <w:r>
        <w:t xml:space="preserve">,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the data collected,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4"/>
        </w:numPr>
        <w:pStyle w:val="Compact"/>
      </w:pPr>
      <w:r>
        <w:t xml:space="preserve">“</w:t>
      </w:r>
      <w:hyperlink r:id="rId30">
        <w:r>
          <w:rPr>
            <w:rStyle w:val="Hyperlink"/>
          </w:rPr>
          <w:t xml:space="preserve">Understanding the Family Perspective on the Storage Sharing and Handling of Family Civic Data</w:t>
        </w:r>
      </w:hyperlink>
      <w:r>
        <w:t xml:space="preserve">”</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w:t>
      </w:r>
      <w:r>
        <w:t xml:space="preserve"> </w:t>
      </w:r>
      <w:hyperlink w:anchor="chapter-6">
        <w:r>
          <w:rPr>
            <w:rStyle w:val="Hyperlink"/>
          </w:rPr>
          <w:t xml:space="preserve">6</w:t>
        </w:r>
      </w:hyperlink>
      <w:r>
        <w:t xml:space="preserve"> </w:t>
      </w:r>
      <w:r>
        <w:t xml:space="preserve">and</w:t>
      </w:r>
      <w:r>
        <w:t xml:space="preserve"> </w:t>
      </w:r>
      <w:hyperlink w:anchor="chapter-7">
        <w:r>
          <w:rPr>
            <w:rStyle w:val="Hyperlink"/>
          </w:rPr>
          <w:t xml:space="preserve">7</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5"/>
        </w:numPr>
        <w:pStyle w:val="Compact"/>
      </w:pPr>
      <w:r>
        <w:t xml:space="preserve">“</w:t>
      </w:r>
      <w:hyperlink r:id="rId32">
        <w:r>
          <w:rPr>
            <w:rStyle w:val="Hyperlink"/>
          </w:rPr>
          <w:t xml:space="preserve">Human-data interaction in the context of care: Co-designing family civic data interfaces and practices</w:t>
        </w:r>
      </w:hyperlink>
      <w:r>
        <w:t xml:space="preserve">”</w:t>
      </w:r>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full journal paper of Case Study One is in prep.</w:t>
      </w:r>
    </w:p>
    <w:p>
      <w:pPr>
        <w:pStyle w:val="CaptionedFigure"/>
      </w:pPr>
      <w:bookmarkStart w:id="36" w:name="figure-1.1"/>
      <w:r>
        <w:drawing>
          <wp:inline>
            <wp:extent cx="5334000" cy="7541887"/>
            <wp:effectExtent b="0" l="0" r="0" t="0"/>
            <wp:docPr descr="Figure 1.1: Poster Presentation of Case Study One"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6"/>
        </w:numPr>
        <w:pStyle w:val="Compact"/>
      </w:pPr>
      <w:hyperlink r:id="rId38">
        <w:r>
          <w:rPr>
            <w:rStyle w:val="Hyperlink"/>
          </w:rPr>
          <w:t xml:space="preserve">“</w:t>
        </w:r>
        <w:r>
          <w:rPr>
            <w:rStyle w:val="Hyperlink"/>
          </w:rPr>
          <w:t xml:space="preserve">Human-GDPR Interaction: Practical Experiences of Accessing Personal Data</w:t>
        </w:r>
        <w:r>
          <w:rPr>
            <w:rStyle w:val="Hyperlink"/>
          </w:rPr>
          <w:t xml:space="preserve">”</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which included material from, or directly contributed to, this thesis and its arguments.</w:t>
      </w:r>
    </w:p>
    <w:p>
      <w:pPr>
        <w:numPr>
          <w:ilvl w:val="0"/>
          <w:numId w:val="1017"/>
        </w:numPr>
        <w:pStyle w:val="Compact"/>
      </w:pPr>
      <w:hyperlink r:id="rId39">
        <w:r>
          <w:rPr>
            <w:rStyle w:val="Hyperlink"/>
          </w:rPr>
          <w:t xml:space="preserve">“</w:t>
        </w:r>
        <w:r>
          <w:rPr>
            <w:rStyle w:val="Hyperlink"/>
          </w:rPr>
          <w:t xml:space="preserve">Designing for Human Autonomy: The next challenge that civic HCI must address</w:t>
        </w:r>
        <w:r>
          <w:rPr>
            <w:rStyle w:val="Hyperlink"/>
          </w:rPr>
          <w:t xml:space="preserve">”</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7"/>
        </w:numPr>
        <w:pStyle w:val="Compact"/>
      </w:pPr>
      <w:hyperlink r:id="rId40">
        <w:r>
          <w:rPr>
            <w:rStyle w:val="Hyperlink"/>
          </w:rPr>
          <w:t xml:space="preserve">“</w:t>
        </w:r>
        <w:r>
          <w:rPr>
            <w:rStyle w:val="Hyperlink"/>
          </w:rPr>
          <w:t xml:space="preserve">Free Data Interfaces: Taking Human-Data Interaction to the Next Level</w:t>
        </w:r>
        <w:r>
          <w:rPr>
            <w:rStyle w:val="Hyperlink"/>
          </w:rPr>
          <w:t xml:space="preserve">”</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7"/>
        </w:numPr>
        <w:pStyle w:val="Compact"/>
      </w:pPr>
      <w:hyperlink r:id="rId41">
        <w:r>
          <w:rPr>
            <w:rStyle w:val="Hyperlink"/>
          </w:rPr>
          <w:t xml:space="preserve">“</w:t>
        </w:r>
        <w:r>
          <w:rPr>
            <w:rStyle w:val="Hyperlink"/>
          </w:rPr>
          <w:t xml:space="preserve">A Grand Vision for Post-Capitalist HCI: Digital Life Assistants</w:t>
        </w:r>
        <w:r>
          <w:rPr>
            <w:rStyle w:val="Hyperlink"/>
          </w:rPr>
          <w:t xml:space="preserve">”</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7"/>
        </w:numPr>
        <w:pStyle w:val="Compact"/>
      </w:pPr>
      <w:hyperlink r:id="rId42">
        <w:r>
          <w:rPr>
            <w:rStyle w:val="Hyperlink"/>
          </w:rPr>
          <w:t xml:space="preserve">“</w:t>
        </w:r>
        <w:r>
          <w:rPr>
            <w:rStyle w:val="Hyperlink"/>
          </w:rPr>
          <w:t xml:space="preserve">Personal Data Use: A Human-centric Perspective</w:t>
        </w:r>
        <w:r>
          <w:rPr>
            <w:rStyle w:val="Hyperlink"/>
          </w:rPr>
          <w:t xml:space="preserve">”</w:t>
        </w:r>
      </w:hyperlink>
      <w:r>
        <w:t xml:space="preserve"> </w:t>
      </w:r>
      <w:r>
        <w:t xml:space="preserve">(</w:t>
      </w:r>
      <w:hyperlink w:anchor="ref-bowyer2020lecture">
        <w:r>
          <w:rPr>
            <w:rStyle w:val="Hyperlink"/>
          </w:rPr>
          <w:t xml:space="preserve">Bowyer, 2020b</w:t>
        </w:r>
      </w:hyperlink>
      <w:r>
        <w:t xml:space="preserve">)</w:t>
      </w:r>
      <w:r>
        <w:t xml:space="preserve"> </w:t>
      </w:r>
      <w:r>
        <w:t xml:space="preserve">- in early 2020 just prior to the pandemic, I was invited to give lectures on my research to undergraduate students at both Northumbria University and Newcastle University;</w:t>
      </w:r>
    </w:p>
    <w:p>
      <w:pPr>
        <w:numPr>
          <w:ilvl w:val="0"/>
          <w:numId w:val="1017"/>
        </w:numPr>
        <w:pStyle w:val="Compact"/>
      </w:pPr>
      <w:hyperlink r:id="rId43">
        <w:r>
          <w:rPr>
            <w:rStyle w:val="Hyperlink"/>
          </w:rPr>
          <w:t xml:space="preserve">“</w:t>
        </w:r>
        <w:r>
          <w:rPr>
            <w:rStyle w:val="Hyperlink"/>
          </w:rPr>
          <w:t xml:space="preserve">My Thesis in 3 Minutes: Understanding and Designing Human Data Relations</w:t>
        </w:r>
        <w:r>
          <w:rPr>
            <w:rStyle w:val="Hyperlink"/>
          </w:rPr>
          <w:t xml:space="preserve">”</w:t>
        </w:r>
      </w:hyperlink>
      <w:r>
        <w:t xml:space="preserve"> </w:t>
      </w:r>
      <w:r>
        <w:t xml:space="preserve">(</w:t>
      </w:r>
      <w:hyperlink w:anchor="ref-bowyer20213MT">
        <w:r>
          <w:rPr>
            <w:rStyle w:val="Hyperlink"/>
          </w:rPr>
          <w:t xml:space="preserve">Bowyer, 2021b</w:t>
        </w:r>
      </w:hyperlink>
      <w:r>
        <w:t xml:space="preserve">)</w:t>
      </w:r>
      <w:r>
        <w:t xml:space="preserve"> </w:t>
      </w:r>
      <w:r>
        <w:t xml:space="preserve">- in April 2021, I presented my thesis in Newcastle University’s 3-minute thesis competition, and was co-winner of the people’s choice prize;</w:t>
      </w:r>
    </w:p>
    <w:p>
      <w:pPr>
        <w:numPr>
          <w:ilvl w:val="0"/>
          <w:numId w:val="1017"/>
        </w:numPr>
        <w:pStyle w:val="Compact"/>
      </w:pPr>
      <w:hyperlink r:id="rId44">
        <w:r>
          <w:rPr>
            <w:rStyle w:val="Hyperlink"/>
          </w:rPr>
          <w:t xml:space="preserve">“</w:t>
        </w:r>
        <w:r>
          <w:rPr>
            <w:rStyle w:val="Hyperlink"/>
          </w:rPr>
          <w:t xml:space="preserve">Human-Data Interaction has two purposes: Personal Data Control and Life Information Exploration</w:t>
        </w:r>
        <w:r>
          <w:rPr>
            <w:rStyle w:val="Hyperlink"/>
          </w:rPr>
          <w:t xml:space="preserve">”</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where I first outlined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04ca063b6845d470c10139c5272853c062aa84e">
        <w:r>
          <w:rPr>
            <w:rStyle w:val="Hyperlink"/>
          </w:rPr>
          <w:t xml:space="preserve">7.1.2</w:t>
        </w:r>
      </w:hyperlink>
      <w:r>
        <w:t xml:space="preserve">]:</w:t>
      </w:r>
    </w:p>
    <w:p>
      <w:pPr>
        <w:numPr>
          <w:ilvl w:val="0"/>
          <w:numId w:val="1018"/>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and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no date, pp. 129–130</w:t>
        </w:r>
      </w:hyperlink>
      <w:r>
        <w:t xml:space="preserve">)</w:t>
      </w:r>
      <w:r>
        <w:t xml:space="preserve">.</w:t>
      </w:r>
    </w:p>
    <w:p>
      <w:pPr>
        <w:numPr>
          <w:ilvl w:val="0"/>
          <w:numId w:val="1018"/>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no date</w:t>
        </w:r>
      </w:hyperlink>
      <w:r>
        <w:t xml:space="preserve">)</w:t>
      </w:r>
      <w:r>
        <w:t xml:space="preserve"> </w:t>
      </w:r>
      <w:r>
        <w:t xml:space="preserve">of a health data interface prototype developed by myself and Stuart Wheater.</w:t>
      </w:r>
    </w:p>
    <w:p>
      <w:pPr>
        <w:numPr>
          <w:ilvl w:val="0"/>
          <w:numId w:val="1018"/>
        </w:numPr>
        <w:pStyle w:val="Compact"/>
      </w:pPr>
      <w:r>
        <w:t xml:space="preserve">I was co-author to two research publications</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8"/>
        </w:numPr>
        <w:pStyle w:val="Compact"/>
      </w:pPr>
      <w:r>
        <w:t xml:space="preserve">As a presearch intern at BBC R&amp;D](#ari-bbc),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as well as a</w:t>
      </w:r>
      <w:r>
        <w:t xml:space="preserve"> </w:t>
      </w:r>
      <w:r>
        <w:t xml:space="preserve">‘</w:t>
      </w:r>
      <w:r>
        <w:t xml:space="preserve">stimulus presentation</w:t>
      </w:r>
      <w:r>
        <w:t xml:space="preserve">’</w:t>
      </w:r>
      <w:r>
        <w:t xml:space="preserve"> </w:t>
      </w:r>
      <w:r>
        <w:t xml:space="preserve">to launch an internal hack week.</w:t>
      </w:r>
    </w:p>
    <w:p>
      <w:pPr>
        <w:numPr>
          <w:ilvl w:val="0"/>
          <w:numId w:val="1018"/>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This introduction is followed by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 [</w:t>
      </w:r>
      <w:hyperlink w:anchor="chapter-4">
        <w:r>
          <w:rPr>
            <w:rStyle w:val="Hyperlink"/>
          </w:rPr>
          <w:t xml:space="preserve">Chapter 4</w:t>
        </w:r>
      </w:hyperlink>
      <w:r>
        <w:t xml:space="preserve">] and [</w:t>
      </w:r>
      <w:hyperlink w:anchor="chapter-5">
        <w:r>
          <w:rPr>
            <w:rStyle w:val="Hyperlink"/>
          </w:rPr>
          <w:t xml:space="preserve">Chapter 5</w:t>
        </w:r>
      </w:hyperlink>
      <w:r>
        <w:t xml:space="preserve">]. In [</w:t>
      </w:r>
      <w:hyperlink w:anchor="chapter-6">
        <w:r>
          <w:rPr>
            <w:rStyle w:val="Hyperlink"/>
          </w:rPr>
          <w:t xml:space="preserve">Chapter 6</w:t>
        </w:r>
      </w:hyperlink>
      <w:r>
        <w:t xml:space="preserve">] the findings and insights from the Case Studies are synthesised to explain what people want from data and from data holders, concluding the academic investigation of the two research questions. [</w:t>
      </w:r>
      <w:hyperlink w:anchor="chapter-7">
        <w:r>
          <w:rPr>
            <w:rStyle w:val="Hyperlink"/>
          </w:rPr>
          <w:t xml:space="preserve">Chapter 7</w:t>
        </w:r>
      </w:hyperlink>
      <w:r>
        <w:t xml:space="preserve">] looks beyond the theoretical to the practical, making recommendations for future research and innovation in the HDR landscape.</w:t>
      </w:r>
      <w:r>
        <w:t xml:space="preserve"> </w:t>
      </w:r>
      <w:hyperlink w:anchor="chapter-8">
        <w:r>
          <w:rPr>
            <w:rStyle w:val="Hyperlink"/>
          </w:rPr>
          <w:t xml:space="preserve">Chapter 8</w:t>
        </w:r>
      </w:hyperlink>
      <w:r>
        <w:t xml:space="preserve"> </w:t>
      </w:r>
      <w:r>
        <w:t xml:space="preserve">concludes the thesis.</w:t>
      </w:r>
    </w:p>
    <w:p>
      <w:pPr>
        <w:pStyle w:val="CaptionedFigure"/>
      </w:pPr>
      <w:bookmarkStart w:id="56" w:name="figure-1.2"/>
      <w:r>
        <w:drawing>
          <wp:inline>
            <wp:extent cx="5334000" cy="2160253"/>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160253"/>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 Personal Information Management to the emergence of complex digital lives involving relationships with many data-holding providers. Finally, [</w:t>
      </w:r>
      <w:hyperlink w:anchor="Xe0d88c5002b6cf7664052f1fc7d652cbdadccec">
        <w:r>
          <w:rPr>
            <w:rStyle w:val="Hyperlink"/>
          </w:rPr>
          <w:t xml:space="preserve">2.3</w:t>
        </w:r>
      </w:hyperlink>
      <w:r>
        <w:t xml:space="preserve">] charts a path from</w:t>
      </w:r>
      <w:r>
        <w:t xml:space="preserve"> </w:t>
      </w:r>
      <w:r>
        <w:rPr>
          <w:iCs/>
          <w:i/>
        </w:rPr>
        <w:t xml:space="preserve">HCI</w:t>
      </w:r>
      <w:r>
        <w:t xml:space="preserve"> </w:t>
      </w:r>
      <w:r>
        <w:t xml:space="preserve">and</w:t>
      </w:r>
      <w:r>
        <w:t xml:space="preserve"> </w:t>
      </w:r>
      <w:r>
        <w:rPr>
          <w:iCs/>
          <w:i/>
        </w:rPr>
        <w:t xml:space="preserve">Human-Data Interaction</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iCs/>
          <w:i/>
        </w:rPr>
        <w:t xml:space="preserve">“</w:t>
      </w:r>
      <w:r>
        <w:rPr>
          <w:iCs/>
          <w:i/>
        </w:rPr>
        <w:t xml:space="preserve">What relationship do people need with their personal data?</w:t>
      </w:r>
      <w:r>
        <w:rPr>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w:t>
      </w:r>
      <w:r>
        <w:t xml:space="preserve"> </w:t>
      </w:r>
      <w:r>
        <w:rPr>
          <w:iCs/>
          <w:i/>
        </w:rPr>
        <w:t xml:space="preserve">Digital Civics</w:t>
      </w:r>
      <w:r>
        <w:t xml:space="preserve"> </w:t>
      </w:r>
      <w:r>
        <w:t xml:space="preserve">standpoint is explained [</w:t>
      </w:r>
      <w:hyperlink w:anchor="X7ffd93865bc60f6431831db2605565dffbb7509">
        <w:r>
          <w:rPr>
            <w:rStyle w:val="Hyperlink"/>
          </w:rPr>
          <w:t xml:space="preserve">3.2</w:t>
        </w:r>
      </w:hyperlink>
      <w:r>
        <w:t xml:space="preserve">]. The RQ from Chapter 2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and discussed [</w:t>
      </w:r>
      <w:hyperlink w:anchor="X3883f9a9f04a04af0c790df93d414e14826cfb7">
        <w:r>
          <w:rPr>
            <w:rStyle w:val="Hyperlink"/>
          </w:rPr>
          <w:t xml:space="preserve">4.4</w:t>
        </w:r>
      </w:hyperlink>
      <w:r>
        <w:t xml:space="preserve">] in terms of involving people with their data, effective data access, and shifting the Locus of Decision-making.</w:t>
      </w:r>
    </w:p>
    <w:p>
      <w:pPr>
        <w:pStyle w:val="BodyText"/>
      </w:pPr>
      <w:hyperlink w:anchor="chapter-5">
        <w:r>
          <w:rPr>
            <w:rStyle w:val="Hyperlink"/>
          </w:rPr>
          <w:t xml:space="preserve">Chapter 5</w:t>
        </w:r>
      </w:hyperlink>
      <w:r>
        <w:t xml:space="preserve"> </w:t>
      </w:r>
      <w:r>
        <w:t xml:space="preserve">reports on Case Study Two. [</w:t>
      </w:r>
      <w:hyperlink w:anchor="X746a82081d852d58b152584407d5b80d3ac43f3">
        <w:r>
          <w:rPr>
            <w:rStyle w:val="Hyperlink"/>
          </w:rPr>
          <w:t xml:space="preserve">5.1</w:t>
        </w:r>
      </w:hyperlink>
      <w:r>
        <w:t xml:space="preserve">] contextualises data access in light of the GDPR and explains the human-centric approach to this study, which is detailed in</w:t>
      </w:r>
      <w:r>
        <w:t xml:space="preserve">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 [</w:t>
      </w:r>
      <w:hyperlink w:anchor="X3c10c50990743199cc887aaacd3f88a0a0a026e">
        <w:r>
          <w:rPr>
            <w:rStyle w:val="Hyperlink"/>
          </w:rPr>
          <w:t xml:space="preserve">6.3</w:t>
        </w:r>
      </w:hyperlink>
      <w:r>
        <w:t xml:space="preserve">] concludes the chapter by outlining this thesis’s perspective on addressing the power imbalance over personal data, and positions of these six</w:t>
      </w:r>
      <w:r>
        <w:t xml:space="preserve"> </w:t>
      </w:r>
      <w:r>
        <w:t xml:space="preserve">‘</w:t>
      </w:r>
      <w:r>
        <w:t xml:space="preserve">data wants</w:t>
      </w:r>
      <w:r>
        <w:t xml:space="preserve">’</w:t>
      </w:r>
      <w:r>
        <w:t xml:space="preserve"> </w:t>
      </w:r>
      <w:r>
        <w:t xml:space="preserve">as</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is a deliberately broad and open-ended chapter, exploring the pursuit of the goals of the previous chapter in order to draw out designerly and practical insights. It extends the traditional thesis structure in order to provide ideas on</w:t>
      </w:r>
      <w:r>
        <w:t xml:space="preserve"> </w:t>
      </w:r>
      <w:r>
        <w:rPr>
          <w:iCs/>
          <w:i/>
        </w:rPr>
        <w:t xml:space="preserve">how human-centric empowerment might be achieved</w:t>
      </w:r>
      <w:r>
        <w:t xml:space="preserve">. These ideas can become valuable and actionable reference material for future researchers, activists and innovators. [</w:t>
      </w:r>
      <w:hyperlink w:anchor="Xc8e800b130e88f8d15b2c092b8d2fd1e5eaa830">
        <w:r>
          <w:rPr>
            <w:rStyle w:val="Hyperlink"/>
          </w:rPr>
          <w:t xml:space="preserve">7.1</w:t>
        </w:r>
      </w:hyperlink>
      <w:r>
        <w:t xml:space="preserve">] introduces the peripheral contexts from which the insights arise. In [</w:t>
      </w:r>
      <w:hyperlink w:anchor="Xd90f00e19f5543904caf9ab2abd5b800e0613c0">
        <w:r>
          <w:rPr>
            <w:rStyle w:val="Hyperlink"/>
          </w:rPr>
          <w:t xml:space="preserve">7.2</w:t>
        </w:r>
      </w:hyperlink>
      <w:r>
        <w:t xml:space="preserve">], insights from the thesis’s findings and external experiences are synthesised to frame the pursuit of this thesis’s data wants as a defined field of future research, called</w:t>
      </w:r>
      <w:r>
        <w:t xml:space="preserve"> </w:t>
      </w:r>
      <w:r>
        <w:rPr>
          <w:bCs/>
          <w:b/>
        </w:rPr>
        <w:t xml:space="preserve">Human Data Relations (HDR)</w:t>
      </w:r>
      <w:r>
        <w:t xml:space="preserve">, whose practitioners act as a</w:t>
      </w:r>
      <w:r>
        <w:t xml:space="preserve"> </w:t>
      </w:r>
      <w:r>
        <w:rPr>
          <w:iCs/>
          <w:i/>
        </w:rPr>
        <w:t xml:space="preserve">recursive public</w:t>
      </w:r>
      <w:r>
        <w:t xml:space="preserve">, pursuing four objectives for increased awareness, understanding and negotiability. The landscape of HDR is mapped out in two parts. [</w:t>
      </w:r>
      <w:hyperlink w:anchor="X96c51c3d98f021d42ee8c458ed421add6b4adde">
        <w:r>
          <w:rPr>
            <w:rStyle w:val="Hyperlink"/>
          </w:rPr>
          <w:t xml:space="preserve">7.3</w:t>
        </w:r>
      </w:hyperlink>
      <w:r>
        <w:t xml:space="preserve">], focuses on identifying obstacles to pursuit of the HDR objectives. Then [</w:t>
      </w:r>
      <w:hyperlink w:anchor="X40141584308035bb03b454584dbe23925c8bab3">
        <w:r>
          <w:rPr>
            <w:rStyle w:val="Hyperlink"/>
          </w:rPr>
          <w:t xml:space="preserve">7.4</w:t>
        </w:r>
      </w:hyperlink>
      <w:r>
        <w:t xml:space="preserve">], using a</w:t>
      </w:r>
      <w:r>
        <w:t xml:space="preserve"> </w:t>
      </w:r>
      <w:r>
        <w:rPr>
          <w:iCs/>
          <w:i/>
        </w:rPr>
        <w:t xml:space="preserve">Theories of Change (ToC)</w:t>
      </w:r>
      <w:r>
        <w:t xml:space="preserve"> </w:t>
      </w:r>
      <w:r>
        <w:t xml:space="preserve">framing, introduces opportunities for progress, arranged as</w:t>
      </w:r>
      <w:r>
        <w:t xml:space="preserve"> </w:t>
      </w:r>
      <w:r>
        <w:rPr>
          <w:iCs/>
          <w:i/>
        </w:rPr>
        <w:t xml:space="preserve">four different trajectories of change</w:t>
      </w:r>
      <w:r>
        <w:t xml:space="preserve"> </w:t>
      </w:r>
      <w:r>
        <w:t xml:space="preserve">that could be executed to pursue better HDR.</w:t>
      </w:r>
      <w:r>
        <w:t xml:space="preserve"> </w:t>
      </w:r>
      <w:hyperlink w:anchor="X96c51c3d98f021d42ee8c458ed421add6b4adde">
        <w:r>
          <w:rPr>
            <w:rStyle w:val="Hyperlink"/>
          </w:rPr>
          <w:t xml:space="preserve">7.3</w:t>
        </w:r>
      </w:hyperlink>
      <w:r>
        <w:t xml:space="preserve"> </w:t>
      </w:r>
      <w:r>
        <w:t xml:space="preserve">and</w:t>
      </w:r>
      <w:r>
        <w:t xml:space="preserve"> </w:t>
      </w:r>
      <w:hyperlink w:anchor="X40141584308035bb03b454584dbe23925c8bab3">
        <w:r>
          <w:rPr>
            <w:rStyle w:val="Hyperlink"/>
          </w:rPr>
          <w:t xml:space="preserve">7.4</w:t>
        </w:r>
      </w:hyperlink>
      <w:r>
        <w:t xml:space="preserve"> </w:t>
      </w:r>
      <w:r>
        <w:t xml:space="preserve">are interspersed with 13 actionable</w:t>
      </w:r>
      <w:r>
        <w:t xml:space="preserve"> </w:t>
      </w:r>
      <w:r>
        <w:rPr>
          <w:iCs/>
          <w:i/>
        </w:rPr>
        <w:t xml:space="preserve">insights</w:t>
      </w:r>
      <w:r>
        <w:t xml:space="preserve"> </w:t>
      </w:r>
      <w:r>
        <w:t xml:space="preserve">that could help tackle the obstacles and pursue the change trajectories.</w:t>
      </w:r>
    </w:p>
    <w:p>
      <w:pPr>
        <w:pStyle w:val="BodyText"/>
      </w:pPr>
      <w:hyperlink w:anchor="chapter-8">
        <w:r>
          <w:rPr>
            <w:rStyle w:val="Hyperlink"/>
          </w:rPr>
          <w:t xml:space="preserve">Chapter 8</w:t>
        </w:r>
      </w:hyperlink>
      <w:r>
        <w:t xml:space="preserve"> </w:t>
      </w:r>
      <w:r>
        <w:t xml:space="preserve">concludes the thesis, reflecting first on this researcher’s journey, before summarising the legacy and contributions of this body of work,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5" w:name="bibliography"/>
    <w:p>
      <w:pPr>
        <w:pStyle w:val="Heading1"/>
      </w:pPr>
      <w:r>
        <w:t xml:space="preserve">Bibliography</w:t>
      </w:r>
    </w:p>
    <w:bookmarkStart w:id="134"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79"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32">
        <w:r>
          <w:rPr>
            <w:rStyle w:val="Hyperlink"/>
          </w:rPr>
          <w:t xml:space="preserve">10.1145/3290607.3312998</w:t>
        </w:r>
      </w:hyperlink>
      <w:r>
        <w:t xml:space="preserve">.</w:t>
      </w:r>
    </w:p>
    <w:bookmarkEnd w:id="79"/>
    <w:bookmarkStart w:id="81"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0">
        <w:r>
          <w:rPr>
            <w:rStyle w:val="Hyperlink"/>
          </w:rPr>
          <w:t xml:space="preserve">https://bit.ly/bbc-pds-research-bowyer</w:t>
        </w:r>
      </w:hyperlink>
      <w:r>
        <w:t xml:space="preserve">.</w:t>
      </w:r>
    </w:p>
    <w:bookmarkEnd w:id="81"/>
    <w:bookmarkStart w:id="82"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2"/>
    <w:bookmarkStart w:id="84"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3">
        <w:r>
          <w:rPr>
            <w:rStyle w:val="Hyperlink"/>
          </w:rPr>
          <w:t xml:space="preserve">https://eprints.ncl.ac.uk/273832#.</w:t>
        </w:r>
      </w:hyperlink>
    </w:p>
    <w:bookmarkEnd w:id="84"/>
    <w:bookmarkStart w:id="85"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5"/>
    <w:bookmarkStart w:id="86"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6"/>
    <w:bookmarkStart w:id="87"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7"/>
    <w:bookmarkStart w:id="89" w:name="ref-bowyer2009human"/>
    <w:p>
      <w:pPr>
        <w:pStyle w:val="Bibliography"/>
      </w:pPr>
      <w:r>
        <w:t xml:space="preserve">Bowyer, A. and Croll, A. (2009-2011)</w:t>
      </w:r>
      <w:r>
        <w:t xml:space="preserve"> </w:t>
      </w:r>
      <w:r>
        <w:t xml:space="preserve">‘Human 2.0’</w:t>
      </w:r>
      <w:r>
        <w:t xml:space="preserve">. Available at:</w:t>
      </w:r>
      <w:r>
        <w:t xml:space="preserve"> </w:t>
      </w:r>
      <w:hyperlink r:id="rId88">
        <w:r>
          <w:rPr>
            <w:rStyle w:val="Hyperlink"/>
          </w:rPr>
          <w:t xml:space="preserve">https://web.archive.org/web/20111231165329/http://www.human20.com/</w:t>
        </w:r>
      </w:hyperlink>
      <w:r>
        <w:t xml:space="preserve">.</w:t>
      </w:r>
    </w:p>
    <w:bookmarkEnd w:id="89"/>
    <w:bookmarkStart w:id="90" w:name="ref-bowyer2019silvervideo"/>
    <w:p>
      <w:pPr>
        <w:pStyle w:val="Bibliography"/>
      </w:pPr>
      <w:r>
        <w:t xml:space="preserve">Bowyer, A. and Wheater, S. (no date)</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0"/>
    <w:bookmarkStart w:id="92"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1">
        <w:r>
          <w:rPr>
            <w:rStyle w:val="Hyperlink"/>
          </w:rPr>
          <w:t xml:space="preserve">10.1145/1011870.1011885</w:t>
        </w:r>
      </w:hyperlink>
      <w:r>
        <w:t xml:space="preserve">.</w:t>
      </w:r>
    </w:p>
    <w:bookmarkEnd w:id="92"/>
    <w:bookmarkStart w:id="94"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3">
        <w:r>
          <w:rPr>
            <w:rStyle w:val="Hyperlink"/>
          </w:rPr>
          <w:t xml:space="preserve">https://www.businessinsider.com/cambridge-analytica-whistleblower-christopher-wylie-facebook-data-2019-10?r=US&amp;IR=T</w:t>
        </w:r>
      </w:hyperlink>
      <w:r>
        <w:t xml:space="preserve">.</w:t>
      </w:r>
    </w:p>
    <w:bookmarkEnd w:id="94"/>
    <w:bookmarkStart w:id="96"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5">
        <w:r>
          <w:rPr>
            <w:rStyle w:val="Hyperlink"/>
          </w:rPr>
          <w:t xml:space="preserve">https://www.collinsdictionary.com/dictionary/english/bleeding-edge</w:t>
        </w:r>
      </w:hyperlink>
      <w:r>
        <w:t xml:space="preserve"> </w:t>
      </w:r>
      <w:r>
        <w:t xml:space="preserve">(Accessed: 29 July 2022).</w:t>
      </w:r>
    </w:p>
    <w:bookmarkEnd w:id="96"/>
    <w:bookmarkStart w:id="97" w:name="ref-ConnectedHealthCities2021impact"/>
    <w:p>
      <w:pPr>
        <w:pStyle w:val="Bibliography"/>
      </w:pPr>
      <w:r>
        <w:t xml:space="preserve">Connected Health Cities (no date)</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7"/>
    <w:bookmarkStart w:id="98"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8"/>
    <w:bookmarkStart w:id="100"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99">
        <w:r>
          <w:rPr>
            <w:rStyle w:val="Hyperlink"/>
          </w:rPr>
          <w:t xml:space="preserve">10.1016/j.ipm.2020.102307</w:t>
        </w:r>
      </w:hyperlink>
      <w:r>
        <w:t xml:space="preserve">.</w:t>
      </w:r>
    </w:p>
    <w:bookmarkEnd w:id="100"/>
    <w:bookmarkStart w:id="101"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1"/>
    <w:bookmarkStart w:id="102"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2"/>
    <w:bookmarkStart w:id="103"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3"/>
    <w:bookmarkStart w:id="105"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4">
        <w:r>
          <w:rPr>
            <w:rStyle w:val="Hyperlink"/>
          </w:rPr>
          <w:t xml:space="preserve">https://www.sitra.fi/en/publications/tracking-digipower/</w:t>
        </w:r>
      </w:hyperlink>
      <w:r>
        <w:t xml:space="preserve">.</w:t>
      </w:r>
    </w:p>
    <w:bookmarkEnd w:id="105"/>
    <w:bookmarkStart w:id="107" w:name="ref-härkönen2022project"/>
    <w:p>
      <w:pPr>
        <w:pStyle w:val="Bibliography"/>
      </w:pPr>
      <w:r>
        <w:t xml:space="preserve">Härkönen, T. and Vänskä, R. (2021). Sitra. Available at:</w:t>
      </w:r>
      <w:r>
        <w:t xml:space="preserve"> </w:t>
      </w:r>
      <w:hyperlink r:id="rId106">
        <w:r>
          <w:rPr>
            <w:rStyle w:val="Hyperlink"/>
          </w:rPr>
          <w:t xml:space="preserve">https://www.sitra.fi/en/projects/digipower-investigation/#what-is-it-about</w:t>
        </w:r>
      </w:hyperlink>
      <w:r>
        <w:t xml:space="preserve">.</w:t>
      </w:r>
    </w:p>
    <w:bookmarkEnd w:id="107"/>
    <w:bookmarkStart w:id="109"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08">
        <w:r>
          <w:rPr>
            <w:rStyle w:val="Hyperlink"/>
          </w:rPr>
          <w:t xml:space="preserve">http://www3.weforum.org/docs/WEF_RethinkingPersonalData_TrustandContext_Report_2014.pdf</w:t>
        </w:r>
      </w:hyperlink>
      <w:r>
        <w:t xml:space="preserve">.</w:t>
      </w:r>
    </w:p>
    <w:bookmarkEnd w:id="109"/>
    <w:bookmarkStart w:id="111"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0">
        <w:r>
          <w:rPr>
            <w:rStyle w:val="Hyperlink"/>
          </w:rPr>
          <w:t xml:space="preserve">https://perma.cc/92LZ-B8DN].</w:t>
        </w:r>
      </w:hyperlink>
    </w:p>
    <w:bookmarkEnd w:id="111"/>
    <w:bookmarkStart w:id="11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2">
        <w:r>
          <w:rPr>
            <w:rStyle w:val="Hyperlink"/>
          </w:rPr>
          <w:t xml:space="preserve">10.1145/2493432.2493446</w:t>
        </w:r>
      </w:hyperlink>
      <w:r>
        <w:t xml:space="preserve">.</w:t>
      </w:r>
    </w:p>
    <w:bookmarkEnd w:id="113"/>
    <w:bookmarkStart w:id="115"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4">
        <w:r>
          <w:rPr>
            <w:rStyle w:val="Hyperlink"/>
          </w:rPr>
          <w:t xml:space="preserve">10.5210/fm.v17i5.4013</w:t>
        </w:r>
      </w:hyperlink>
      <w:r>
        <w:t xml:space="preserve">.</w:t>
      </w:r>
    </w:p>
    <w:bookmarkEnd w:id="115"/>
    <w:bookmarkStart w:id="117"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6">
        <w:r>
          <w:rPr>
            <w:rStyle w:val="Hyperlink"/>
          </w:rPr>
          <w:t xml:space="preserve">10.2139/ssrn.2508051</w:t>
        </w:r>
      </w:hyperlink>
      <w:r>
        <w:t xml:space="preserve">.</w:t>
      </w:r>
    </w:p>
    <w:bookmarkEnd w:id="117"/>
    <w:bookmarkStart w:id="119"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18">
        <w:r>
          <w:rPr>
            <w:rStyle w:val="Hyperlink"/>
          </w:rPr>
          <w:t xml:space="preserve">https://web.archive.org/web/20180727024332/https://digitalcivics.io/apply/</w:t>
        </w:r>
      </w:hyperlink>
      <w:r>
        <w:t xml:space="preserve"> </w:t>
      </w:r>
      <w:r>
        <w:t xml:space="preserve">(Accessed: 6 July 2022).</w:t>
      </w:r>
    </w:p>
    <w:bookmarkEnd w:id="119"/>
    <w:bookmarkStart w:id="120"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0"/>
    <w:bookmarkStart w:id="122"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1">
        <w:r>
          <w:rPr>
            <w:rStyle w:val="Hyperlink"/>
          </w:rPr>
          <w:t xml:space="preserve">10.1016/b978-1-55860-092-8.50006-x</w:t>
        </w:r>
      </w:hyperlink>
      <w:r>
        <w:t xml:space="preserve">.</w:t>
      </w:r>
    </w:p>
    <w:bookmarkEnd w:id="122"/>
    <w:bookmarkStart w:id="123"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3"/>
    <w:bookmarkStart w:id="125"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4">
        <w:r>
          <w:rPr>
            <w:rStyle w:val="Hyperlink"/>
          </w:rPr>
          <w:t xml:space="preserve">https://memory.ai/timely-blog/the-attention-economy</w:t>
        </w:r>
      </w:hyperlink>
      <w:r>
        <w:t xml:space="preserve">.</w:t>
      </w:r>
    </w:p>
    <w:bookmarkEnd w:id="125"/>
    <w:bookmarkStart w:id="127"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6">
        <w:r>
          <w:rPr>
            <w:rStyle w:val="Hyperlink"/>
          </w:rPr>
          <w:t xml:space="preserve">https://www.wired.com/insights/2014/07/data-new-oil-digital-economy/</w:t>
        </w:r>
      </w:hyperlink>
      <w:r>
        <w:t xml:space="preserve">.</w:t>
      </w:r>
    </w:p>
    <w:bookmarkEnd w:id="127"/>
    <w:bookmarkStart w:id="129"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28">
        <w:r>
          <w:rPr>
            <w:rStyle w:val="Hyperlink"/>
          </w:rPr>
          <w:t xml:space="preserve">https://www.ted.com/talks/zeynep_tufekci_we_re_building_a_dystopia_just_to_make_people_click_on_ads</w:t>
        </w:r>
      </w:hyperlink>
      <w:r>
        <w:t xml:space="preserve">.</w:t>
      </w:r>
    </w:p>
    <w:bookmarkEnd w:id="129"/>
    <w:bookmarkStart w:id="131"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0">
        <w:r>
          <w:rPr>
            <w:rStyle w:val="Hyperlink"/>
          </w:rPr>
          <w:t xml:space="preserve">10.1145/2851581.2886436</w:t>
        </w:r>
      </w:hyperlink>
      <w:r>
        <w:t xml:space="preserve">.</w:t>
      </w:r>
    </w:p>
    <w:bookmarkEnd w:id="131"/>
    <w:bookmarkStart w:id="133"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2">
        <w:r>
          <w:rPr>
            <w:rStyle w:val="Hyperlink"/>
          </w:rPr>
          <w:t xml:space="preserve">https://books.google.co.uk/books?id=W7ZEDgAAQBAJ</w:t>
        </w:r>
      </w:hyperlink>
      <w:r>
        <w:t xml:space="preserve">.</w:t>
      </w:r>
    </w:p>
    <w:bookmarkEnd w:id="133"/>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08" Target="http://www3.weforum.org/docs/WEF_RethinkingPersonalData_TrustandContext_Report_2014.pdf" TargetMode="External" /><Relationship Type="http://schemas.openxmlformats.org/officeDocument/2006/relationships/hyperlink" Id="rId80" Target="https://bit.ly/bbc-pds-research-bowyer" TargetMode="External" /><Relationship Type="http://schemas.openxmlformats.org/officeDocument/2006/relationships/hyperlink" Id="rId132"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1" Target="https://doi.org/10.1016/b978-1-55860-092-8.50006-x" TargetMode="External" /><Relationship Type="http://schemas.openxmlformats.org/officeDocument/2006/relationships/hyperlink" Id="rId99"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1" Target="https://doi.org/10.1145/1011870.1011885" TargetMode="External" /><Relationship Type="http://schemas.openxmlformats.org/officeDocument/2006/relationships/hyperlink" Id="rId112"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0"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32" Target="https://doi.org/10.1145/3290607.33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6" Target="https://doi.org/10.2139/ssrn.2508051" TargetMode="External" /><Relationship Type="http://schemas.openxmlformats.org/officeDocument/2006/relationships/hyperlink" Id="rId114"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3"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4" Target="https://memory.ai/timely-blog/the-attention-economy" TargetMode="External" /><Relationship Type="http://schemas.openxmlformats.org/officeDocument/2006/relationships/hyperlink" Id="rId110" Target="https://perma.cc/92LZ-B8DN]." TargetMode="External" /><Relationship Type="http://schemas.openxmlformats.org/officeDocument/2006/relationships/hyperlink" Id="rId88" Target="https://web.archive.org/web/20111231165329/http://www.human20.com/" TargetMode="External" /><Relationship Type="http://schemas.openxmlformats.org/officeDocument/2006/relationships/hyperlink" Id="rId118"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3" Target="https://www.businessinsider.com/cambridge-analytica-whistleblower-christopher-wylie-facebook-data-2019-10?r=US&amp;IR=T" TargetMode="External" /><Relationship Type="http://schemas.openxmlformats.org/officeDocument/2006/relationships/hyperlink" Id="rId95" Target="https://www.collinsdictionary.com/dictionary/english/bleeding-edge" TargetMode="External" /><Relationship Type="http://schemas.openxmlformats.org/officeDocument/2006/relationships/hyperlink" Id="rId106" Target="https://www.sitra.fi/en/projects/digipower-investigation/#what-is-it-about" TargetMode="External" /><Relationship Type="http://schemas.openxmlformats.org/officeDocument/2006/relationships/hyperlink" Id="rId104" Target="https://www.sitra.fi/en/publications/tracking-digipower/" TargetMode="External" /><Relationship Type="http://schemas.openxmlformats.org/officeDocument/2006/relationships/hyperlink" Id="rId128" Target="https://www.ted.com/talks/zeynep_tufekci_we_re_building_a_dystopia_just_to_make_people_click_on_ads" TargetMode="External" /><Relationship Type="http://schemas.openxmlformats.org/officeDocument/2006/relationships/hyperlink" Id="rId126"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2022-08-21T11:59:06Z</dcterms:created>
  <dcterms:modified xsi:type="dcterms:W3CDTF">2022-08-21T11:59:06Z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