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57"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 </w:t>
      </w:r>
      <w:r>
        <w:t xml:space="preserve">– Imogen Heap (musician and digital rights advocate), speaking at MyData 2019.</w:t>
      </w:r>
    </w:p>
    <w:p>
      <w:pPr>
        <w:pStyle w:val="FirstParagraph"/>
      </w:pPr>
      <w:r>
        <w:t xml:space="preserve">[targets give 3900w]</w:t>
      </w:r>
    </w:p>
    <w:bookmarkStart w:id="24" w:name="Xbe2ff43b4d58d3df50c0ef7ff41a1e548ac0fd1"/>
    <w:p>
      <w:pPr>
        <w:pStyle w:val="Heading2"/>
      </w:pPr>
      <w:r>
        <w:rPr>
          <w:rStyle w:val="SectionNumber"/>
        </w:rPr>
        <w:t xml:space="preserve">1.1</w:t>
      </w:r>
      <w:r>
        <w:tab/>
      </w:r>
      <w:r>
        <w:t xml:space="preserve">Background and Motivation to this Research</w:t>
      </w:r>
    </w:p>
    <w:p>
      <w:pPr>
        <w:pStyle w:val="FirstParagraph"/>
      </w:pPr>
      <w:r>
        <w:t xml:space="preserve">[why this study, what it builds on, why does the world need it, why does it matter][750w?]</w:t>
      </w:r>
    </w:p>
    <w:bookmarkStart w:id="22" w:name="personal-motivations-and-context"/>
    <w:p>
      <w:pPr>
        <w:pStyle w:val="Heading3"/>
      </w:pPr>
      <w:r>
        <w:rPr>
          <w:rStyle w:val="SectionNumber"/>
        </w:rPr>
        <w:t xml:space="preserve">1.1.1</w:t>
      </w:r>
      <w:r>
        <w:tab/>
      </w:r>
      <w:r>
        <w:t xml:space="preserve">Personal motivations and context</w:t>
      </w:r>
    </w:p>
    <w:p>
      <w:pPr>
        <w:pStyle w:val="FirstParagraph"/>
      </w:pPr>
      <w:r>
        <w:t xml:space="preserve">This PhD and this thesis represent the culmination of a passion to get more value from our computers that has been with me for over 25 years. I learned from an early age about computers by programming my Acorn Electron, one of the many 1980s home computers that taught their users that the computer was a tool to be exploited, that you could master it and make it do what you wanted it to. In my formative years at University and beyond, I lived through the birth of the public Internet and marvelled at the ability for computers to connect people across the world and transform the way people interact. Keenly tracking the Web 2.0 revolution and the digitisation and disruption of so many industries since the start of the 21st century and embracing new capabilities, I became fascinated with the ways in which humans were shaping computer systems which in turn were shaping us. As a graduate software engineer at IBM in the 2000s, I podcasted about new ways to be more productive with computers, and participated in an innovation club with colleagues imagining new ways to relate to digital information. I gradually moved from back-end development, to front-end development to user experience, getting closer to a place where I could help end users benefit from technology. From 2009-2011, while working in Canadian startups, I founded and was a lead writer on a blog called Human 2.0</w:t>
      </w:r>
      <w:r>
        <w:rPr>
          <w:rStyle w:val="FootnoteReference"/>
        </w:rPr>
        <w:footnoteReference w:id="20"/>
      </w:r>
      <w:r>
        <w:t xml:space="preserve">, examining the inter-relationship between society and emerging technology. I was witness to a changing world, where we were gaining new capabilities, but also, through the digitalisation of businesses and the shift to data-centric cloud-centric business models, losing our agency to harness computers for our own ends. I presented my developing ideas for better human data interaction four times at Bitnorth conferences</w:t>
      </w:r>
      <w:r>
        <w:rPr>
          <w:rStyle w:val="FootnoteReference"/>
        </w:rPr>
        <w:footnoteReference w:id="21"/>
      </w:r>
      <w:r>
        <w:t xml:space="preserve">. During this time I had essays published at O’Reilly Radar</w:t>
      </w:r>
      <w:r>
        <w:t xml:space="preserve">(</w:t>
      </w:r>
      <w:hyperlink w:anchor="ref-bowyer2011">
        <w:r>
          <w:rPr>
            <w:rStyle w:val="Hyperlink"/>
          </w:rPr>
          <w:t xml:space="preserve">Bowyer, 2011</w:t>
        </w:r>
      </w:hyperlink>
      <w:r>
        <w:t xml:space="preserve">)</w:t>
      </w:r>
      <w:r>
        <w:t xml:space="preserve"> </w:t>
      </w:r>
      <w:r>
        <w:t xml:space="preserve">and in print</w:t>
      </w:r>
      <w:r>
        <w:t xml:space="preserve"> </w:t>
      </w:r>
      <w:r>
        <w:t xml:space="preserve">(</w:t>
      </w:r>
      <w:hyperlink w:anchor="ref-bowyer2012">
        <w:r>
          <w:rPr>
            <w:rStyle w:val="Hyperlink"/>
          </w:rPr>
          <w:t xml:space="preserve">Bowyer, 2012</w:t>
        </w:r>
      </w:hyperlink>
      <w:r>
        <w:t xml:space="preserve">)</w:t>
      </w:r>
      <w:r>
        <w:t xml:space="preserve">. Despite seeing further potential for smarter, more helpful computer systems through my participation in the Semantic Web community and being a senior developer of semantic text analysis software at Open Text, by 2014 it was beyond doubt to me that the software industry had lost its way, prioritising business goals over user agency, reducing features and creating technology designed to limit and corral users to behave in certain ways.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IT and seek ways to research, design and help to build a better digital future, to make computers useful again. This led me, via a web science architect position at citizen science platform Zooniverse that gave further understanding of user motivations, to join the Digital Civics 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on this most important of problems. It has been a tremendous privilege to spend six years understanding in great detail the nature of the problems facing our data-centric society, and to be able to map out the landscape for improving the way we relate to data. As well as the ability to find grounded evidence to quantify and qualify the losses of agency I had observed and theorised, this gave me space to experiment with using using GDPR to access data and push boundaries, and to design and prototype new views of data. Looking forward, this opportunity has opened doors that have enabled me to begin to put these learnings into action, working on important projects with Connected Health Cities, BBC R&amp;D, and Hestia.ai to explore how data interaction reforms can be realised in practice, and how we can come not just innovators but social data activists to begin to have an impact and to build that better future. It is the journey of a lifetime, and also one that is in many ways just beginning. I hope that my work and this thesis can, in some small way, contribute to a better, more human-centric digital world, and I can’t wait to see where this leads.</w:t>
      </w:r>
    </w:p>
    <w:bookmarkEnd w:id="22"/>
    <w:bookmarkStart w:id="23" w:name="statement-of-research-purpose"/>
    <w:p>
      <w:pPr>
        <w:pStyle w:val="Heading3"/>
      </w:pPr>
      <w:r>
        <w:rPr>
          <w:rStyle w:val="SectionNumber"/>
        </w:rPr>
        <w:t xml:space="preserve">1.1.2</w:t>
      </w:r>
      <w:r>
        <w:tab/>
      </w:r>
      <w:r>
        <w:t xml:space="preserve">Statement of Research purpose</w:t>
      </w:r>
    </w:p>
    <w:p>
      <w:pPr>
        <w:pStyle w:val="FirstParagraph"/>
      </w:pPr>
      <w:r>
        <w:t xml:space="preserve">[purpose of this thesis, and its limitations]</w:t>
      </w:r>
      <w:r>
        <w:t xml:space="preserve"> </w:t>
      </w:r>
      <w:r>
        <w:t xml:space="preserve">[include the</w:t>
      </w:r>
      <w:r>
        <w:t xml:space="preserve"> </w:t>
      </w:r>
      <w:r>
        <w:t xml:space="preserve">‘</w:t>
      </w:r>
      <w:r>
        <w:t xml:space="preserve">journey</w:t>
      </w:r>
      <w:r>
        <w:t xml:space="preserve">’</w:t>
      </w:r>
      <w:r>
        <w:t xml:space="preserve"> </w:t>
      </w:r>
      <w:r>
        <w:t xml:space="preserve">of C4 and of C5]</w:t>
      </w:r>
      <w:r>
        <w:t xml:space="preserve"> </w:t>
      </w:r>
      <w:r>
        <w:t xml:space="preserve">[and the parallel journey in practical projects]</w:t>
      </w:r>
      <w:r>
        <w:t xml:space="preserve"> </w:t>
      </w:r>
      <w:r>
        <w:t xml:space="preserve">[be clear about difference between the primary part of thesis and what is not]</w:t>
      </w:r>
      <w:r>
        <w:t xml:space="preserve"> </w:t>
      </w:r>
      <w:r>
        <w:t xml:space="preserve">[signposting][450w?]</w:t>
      </w:r>
    </w:p>
    <w:bookmarkEnd w:id="23"/>
    <w:bookmarkEnd w:id="24"/>
    <w:bookmarkStart w:id="29" w:name="nature-and-contributions-of-the-thesis"/>
    <w:p>
      <w:pPr>
        <w:pStyle w:val="Heading2"/>
      </w:pPr>
      <w:r>
        <w:rPr>
          <w:rStyle w:val="SectionNumber"/>
        </w:rPr>
        <w:t xml:space="preserve">1.2</w:t>
      </w:r>
      <w:r>
        <w:tab/>
      </w:r>
      <w:r>
        <w:t xml:space="preserve">Nature and Contributions of the thesis</w:t>
      </w:r>
    </w:p>
    <w:p>
      <w:pPr>
        <w:pStyle w:val="FirstParagraph"/>
      </w:pPr>
      <w:r>
        <w:t xml:space="preserve">This section lists the contributions (</w:t>
      </w:r>
      <w:r>
        <w:rPr>
          <w:bCs/>
          <w:b/>
        </w:rPr>
        <w:t xml:space="preserve">Cn</w:t>
      </w:r>
      <w:r>
        <w:t xml:space="preserve">) of this thesis: specifically:</w:t>
      </w:r>
    </w:p>
    <w:p>
      <w:pPr>
        <w:numPr>
          <w:ilvl w:val="0"/>
          <w:numId w:val="1001"/>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1"/>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1"/>
        </w:numPr>
        <w:pStyle w:val="Compact"/>
      </w:pPr>
      <w:r>
        <w:t xml:space="preserve">additional contributions specific to the Case Study contexts of</w:t>
      </w:r>
    </w:p>
    <w:p>
      <w:pPr>
        <w:numPr>
          <w:ilvl w:val="1"/>
          <w:numId w:val="1002"/>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2"/>
        </w:numPr>
        <w:pStyle w:val="Compact"/>
      </w:pPr>
      <w:r>
        <w:t xml:space="preserve">GDPR/everyday data access [</w:t>
      </w:r>
      <w:hyperlink w:anchor="Xe0a2228de6a8253c7b565fe8caa7a8bb775cb45">
        <w:r>
          <w:rPr>
            <w:rStyle w:val="Hyperlink"/>
          </w:rPr>
          <w:t xml:space="preserve">1.2.4</w:t>
        </w:r>
      </w:hyperlink>
      <w:r>
        <w:t xml:space="preserve">].</w:t>
      </w:r>
    </w:p>
    <w:bookmarkStart w:id="25"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rPr>
          <w:bCs/>
          <w:b/>
        </w:rPr>
        <w:t xml:space="preserve">C1: An understanding of what People want in Direct Data Relations</w:t>
      </w:r>
    </w:p>
    <w:p>
      <w:pPr>
        <w:pStyle w:val="BodyText"/>
      </w:pPr>
      <w:r>
        <w:t xml:space="preserve">Through the concluding sections of Chapters 4 and 5, the reader will be able to see that research participants across both studies (and the pilot study) shared common issues around personal data. In section</w:t>
      </w:r>
      <w:r>
        <w:t xml:space="preserve"> </w:t>
      </w:r>
      <w:hyperlink w:anchor="X8258c05de79d267cff0777b650c09dd0e24396f">
        <w:r>
          <w:rPr>
            <w:rStyle w:val="Hyperlink"/>
          </w:rPr>
          <w:t xml:space="preserve">6.1</w:t>
        </w:r>
      </w:hyperlink>
      <w:r>
        <w:t xml:space="preserve"> </w:t>
      </w:r>
      <w:r>
        <w:t xml:space="preserve">of Chapter 6, those commonalities that address RQ1</w:t>
      </w:r>
      <w:r>
        <w:t xml:space="preserve"> </w:t>
      </w:r>
      <w:r>
        <w:rPr>
          <w:iCs/>
          <w:i/>
        </w:rPr>
        <w:t xml:space="preserve">what people need in direct data relations</w:t>
      </w:r>
      <w:r>
        <w:t xml:space="preserve"> </w:t>
      </w:r>
      <w:r>
        <w:t xml:space="preserve">are specifically expressed in answer to that question as three specific needs:</w:t>
      </w:r>
    </w:p>
    <w:p>
      <w:pPr>
        <w:numPr>
          <w:ilvl w:val="0"/>
          <w:numId w:val="1003"/>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3"/>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3"/>
        </w:numPr>
        <w:pStyle w:val="Compact"/>
      </w:pPr>
      <w:r>
        <w:rPr>
          <w:bCs/>
          <w:b/>
        </w:rPr>
        <w:t xml:space="preserve">useable</w:t>
      </w:r>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Similarly, in section</w:t>
      </w:r>
      <w:r>
        <w:t xml:space="preserve"> </w:t>
      </w:r>
      <w:hyperlink w:anchor="X86a6a7bbe6a4ae5c1502558f013f6ed6b9ae6f2">
        <w:r>
          <w:rPr>
            <w:rStyle w:val="Hyperlink"/>
          </w:rPr>
          <w:t xml:space="preserve">6.2</w:t>
        </w:r>
      </w:hyperlink>
      <w:r>
        <w:t xml:space="preserve"> </w:t>
      </w:r>
      <w:r>
        <w:t xml:space="preserve">of Chapter 6, those commonalities that address RQ2 –</w:t>
      </w:r>
      <w:r>
        <w:t xml:space="preserve"> </w:t>
      </w:r>
      <w:r>
        <w:rPr>
          <w:iCs/>
          <w:i/>
        </w:rPr>
        <w:t xml:space="preserve">what people need when they have an indirect relationship to their data because it is held by someone else</w:t>
      </w:r>
      <w:r>
        <w:t xml:space="preserve"> </w:t>
      </w:r>
      <w:r>
        <w:t xml:space="preserve">(such as their service provider) – are specifically expressed to answer RQ2 as three specific needs:</w:t>
      </w:r>
    </w:p>
    <w:p>
      <w:pPr>
        <w:numPr>
          <w:ilvl w:val="0"/>
          <w:numId w:val="1004"/>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4"/>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4"/>
        </w:numPr>
        <w:pStyle w:val="Compact"/>
      </w:pPr>
      <w:r>
        <w:rPr>
          <w:bCs/>
          <w:b/>
        </w:rPr>
        <w:t xml:space="preserve">involvement</w:t>
      </w:r>
      <w:r>
        <w:t xml:space="preserve"> </w:t>
      </w:r>
      <w:r>
        <w:t xml:space="preserve">in processes and decision-making [</w:t>
      </w:r>
      <w:hyperlink w:anchor="X7481ad987ac6949d28340eb658a28e09f325713">
        <w:r>
          <w:rPr>
            <w:rStyle w:val="Hyperlink"/>
          </w:rPr>
          <w:t xml:space="preserve">6.2.3</w:t>
        </w:r>
      </w:hyperlink>
      <w:r>
        <w:t xml:space="preserve">].</w:t>
      </w:r>
    </w:p>
    <w:bookmarkEnd w:id="25"/>
    <w:bookmarkStart w:id="26"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the contribution of this thesis is to establish and map out a new field of research and innovation,</w:t>
      </w:r>
      <w:r>
        <w:t xml:space="preserve"> </w:t>
      </w:r>
      <w:r>
        <w:rPr>
          <w:bCs/>
          <w:b/>
        </w:rPr>
        <w:t xml:space="preserve">Human Data Relations</w:t>
      </w:r>
      <w:r>
        <w:t xml:space="preserve"> </w:t>
      </w:r>
      <w:r>
        <w:t xml:space="preserve">(HDR). This begins with a broad literature review in</w:t>
      </w:r>
      <w:r>
        <w:t xml:space="preserve"> </w:t>
      </w:r>
      <w:hyperlink w:anchor="chapter-2">
        <w:r>
          <w:rPr>
            <w:rStyle w:val="Hyperlink"/>
          </w:rPr>
          <w:t xml:space="preserve">Chapter 2</w:t>
        </w:r>
      </w:hyperlink>
      <w:r>
        <w:t xml:space="preserve"> </w:t>
      </w:r>
      <w:r>
        <w:t xml:space="preserve">of prior areas of research and established thinking that contribute to this field, specifically the problems of data-centricism and limited access to data [</w:t>
      </w:r>
      <w:hyperlink w:anchor="X1f566259c1a3f810256e3679e10faa457bb4a0b">
        <w:r>
          <w:rPr>
            <w:rStyle w:val="Hyperlink"/>
          </w:rPr>
          <w:t xml:space="preserve">2.1</w:t>
        </w:r>
      </w:hyperlink>
      <w:r>
        <w:t xml:space="preserve">], a review of prior work in personal information management and interaction [</w:t>
      </w:r>
      <w:hyperlink w:anchor="X0d5f5f3d469570bf8d9559b0daabada2e4fadfc">
        <w:r>
          <w:rPr>
            <w:rStyle w:val="Hyperlink"/>
          </w:rPr>
          <w:t xml:space="preserve">2.2</w:t>
        </w:r>
      </w:hyperlink>
      <w:r>
        <w:t xml:space="preserve">], and of existing research and innovation around human-centric perspectives on data [</w:t>
      </w:r>
      <w:hyperlink w:anchor="Xe0d88c5002b6cf7664052f1fc7d652cbdadccec">
        <w:r>
          <w:rPr>
            <w:rStyle w:val="Hyperlink"/>
          </w:rPr>
          <w:t xml:space="preserve">2.3</w:t>
        </w:r>
      </w:hyperlink>
      <w:r>
        <w:t xml:space="preserve">].</w:t>
      </w:r>
      <w:r>
        <w:t xml:space="preserve"> </w:t>
      </w:r>
      <w:r>
        <w:t xml:space="preserve">The HDR field is then explored and understood through the two research questions RQ1 [</w:t>
      </w:r>
      <w:hyperlink w:anchor="RQ1">
        <w:r>
          <w:rPr>
            <w:rStyle w:val="Hyperlink"/>
          </w:rPr>
          <w:t xml:space="preserve">3.3.1</w:t>
        </w:r>
      </w:hyperlink>
      <w:r>
        <w:t xml:space="preserve">] and RQ2 [</w:t>
      </w:r>
      <w:hyperlink w:anchor="RQ2">
        <w:r>
          <w:rPr>
            <w:rStyle w:val="Hyperlink"/>
          </w:rPr>
          <w:t xml:space="preserve">3.3.2</w:t>
        </w:r>
      </w:hyperlink>
      <w:r>
        <w:t xml:space="preserve">]. Both RQs are explored through participatory research and qualitative data analysis across the two contexts of</w:t>
      </w:r>
      <w:r>
        <w:t xml:space="preserve"> </w:t>
      </w:r>
      <w:hyperlink w:anchor="chapter-4">
        <w:r>
          <w:rPr>
            <w:rStyle w:val="Hyperlink"/>
          </w:rPr>
          <w:t xml:space="preserve">Chapter 4</w:t>
        </w:r>
      </w:hyperlink>
      <w:r>
        <w:t xml:space="preserve"> </w:t>
      </w:r>
      <w:r>
        <w:t xml:space="preserve">and</w:t>
      </w:r>
      <w:r>
        <w:t xml:space="preserve"> </w:t>
      </w:r>
      <w:hyperlink w:anchor="chapter-4">
        <w:r>
          <w:rPr>
            <w:rStyle w:val="Hyperlink"/>
          </w:rPr>
          <w:t xml:space="preserve">Chapter 5</w:t>
        </w:r>
      </w:hyperlink>
      <w:r>
        <w:t xml:space="preserve">, contributing to a synthesis in</w:t>
      </w:r>
      <w:r>
        <w:t xml:space="preserve"> </w:t>
      </w:r>
      <w:hyperlink w:anchor="chapter-6">
        <w:r>
          <w:rPr>
            <w:rStyle w:val="Hyperlink"/>
          </w:rPr>
          <w:t xml:space="preserve">Chapter 6</w:t>
        </w:r>
      </w:hyperlink>
      <w:r>
        <w:t xml:space="preserve"> </w:t>
      </w:r>
      <w:r>
        <w:t xml:space="preserve">of what people want in direct data interaction [RQ1,</w:t>
      </w:r>
      <w:r>
        <w:t xml:space="preserve"> </w:t>
      </w:r>
      <w:hyperlink w:anchor="X8258c05de79d267cff0777b650c09dd0e24396f">
        <w:r>
          <w:rPr>
            <w:rStyle w:val="Hyperlink"/>
          </w:rPr>
          <w:t xml:space="preserve">6.1</w:t>
        </w:r>
      </w:hyperlink>
      <w:r>
        <w:t xml:space="preserve">] and in relationships that involve the use of personal data by the other party [RQ2,</w:t>
      </w:r>
      <w:r>
        <w:t xml:space="preserve"> </w:t>
      </w:r>
      <w:hyperlink w:anchor="X86a6a7bbe6a4ae5c1502558f013f6ed6b9ae6f2">
        <w:r>
          <w:rPr>
            <w:rStyle w:val="Hyperlink"/>
          </w:rPr>
          <w:t xml:space="preserve">6.2</w:t>
        </w:r>
      </w:hyperlink>
      <w:r>
        <w:t xml:space="preserve">].</w:t>
      </w:r>
      <w:r>
        <w:t xml:space="preserve"> </w:t>
      </w:r>
      <w:r>
        <w:t xml:space="preserve">Finally in Chapter 7, the field of HDR is refined [</w:t>
      </w:r>
      <w:hyperlink w:anchor="Xd90f00e19f5543904caf9ab2abd5b800e0613c0">
        <w:r>
          <w:rPr>
            <w:rStyle w:val="Hyperlink"/>
          </w:rPr>
          <w:t xml:space="preserve">7.2</w:t>
        </w:r>
      </w:hyperlink>
      <w:r>
        <w:t xml:space="preserve">], and a landscape of possible approaches to improve HDR is mapped out, including the identification of specific obstacles to progress [</w:t>
      </w:r>
      <w:hyperlink w:anchor="X96c51c3d98f021d42ee8c458ed421add6b4adde">
        <w:r>
          <w:rPr>
            <w:rStyle w:val="Hyperlink"/>
          </w:rPr>
          <w:t xml:space="preserve">7.3</w:t>
        </w:r>
      </w:hyperlink>
      <w:r>
        <w:t xml:space="preserve">] and possible approaches that could be explored [</w:t>
      </w:r>
      <w:hyperlink w:anchor="X96c51c3d98f021d42ee8c458ed421add6b4adde">
        <w:r>
          <w:rPr>
            <w:rStyle w:val="Hyperlink"/>
          </w:rPr>
          <w:t xml:space="preserve">7.4</w:t>
        </w:r>
      </w:hyperlink>
      <w:r>
        <w:t xml:space="preserve">].</w:t>
      </w:r>
    </w:p>
    <w:p>
      <w:pPr>
        <w:pStyle w:val="BodyText"/>
      </w:pPr>
      <w:r>
        <w:rPr>
          <w:bCs/>
          <w:b/>
        </w:rPr>
        <w:t xml:space="preserve">C4: A clear delineation of two primary motivators for individuals seeking better HDR</w:t>
      </w:r>
    </w:p>
    <w:p>
      <w:pPr>
        <w:pStyle w:val="BodyText"/>
      </w:pPr>
      <w:r>
        <w:t xml:space="preserve">In</w:t>
      </w:r>
      <w:r>
        <w:t xml:space="preserve"> </w:t>
      </w:r>
      <w:hyperlink w:anchor="X973e4eb80bdcbcdcf80cb82c61a4bcd0034ab9c">
        <w:r>
          <w:rPr>
            <w:rStyle w:val="Hyperlink"/>
          </w:rPr>
          <w:t xml:space="preserve">7.2.3</w:t>
        </w:r>
      </w:hyperlink>
      <w:r>
        <w:t xml:space="preserve">, informed by both participatory research within this thesis and by the research and design activities conducted in external research settings</w:t>
      </w:r>
      <w:r>
        <w:t xml:space="preserve"> </w:t>
      </w:r>
      <w:hyperlink w:anchor="Xe27230ba01bbc53968feca07aae81d544d0a7c6">
        <w:r>
          <w:rPr>
            <w:rStyle w:val="Hyperlink"/>
          </w:rPr>
          <w:t xml:space="preserve">7.1.1</w:t>
        </w:r>
      </w:hyperlink>
      <w:r>
        <w:t xml:space="preserve">, I outline a first top-level perspective on the HDR space, that there are two key reasons why people need good data relations:</w:t>
      </w:r>
    </w:p>
    <w:p>
      <w:pPr>
        <w:numPr>
          <w:ilvl w:val="0"/>
          <w:numId w:val="1005"/>
        </w:numPr>
        <w:pStyle w:val="Compact"/>
      </w:pPr>
      <w:r>
        <w:rPr>
          <w:iCs/>
          <w:i/>
        </w:rPr>
        <w:t xml:space="preserve">Life Information Utilisation</w:t>
      </w:r>
      <w:r>
        <w:t xml:space="preserve">, and</w:t>
      </w:r>
    </w:p>
    <w:p>
      <w:pPr>
        <w:numPr>
          <w:ilvl w:val="0"/>
          <w:numId w:val="1005"/>
        </w:numPr>
        <w:pStyle w:val="Compact"/>
      </w:pPr>
      <w:r>
        <w:rPr>
          <w:iCs/>
          <w:i/>
        </w:rPr>
        <w:t xml:space="preserve">Personal Data Ecosystem Control</w:t>
      </w:r>
      <w:r>
        <w:t xml:space="preserve">.</w:t>
      </w:r>
    </w:p>
    <w:p>
      <w:pPr>
        <w:pStyle w:val="FirstParagraph"/>
      </w:pPr>
      <w:r>
        <w:rPr>
          <w:bCs/>
          <w:b/>
        </w:rPr>
        <w:t xml:space="preserve">C5: A map of the HDR landscape, identifying obstacles, insights and opportunities</w:t>
      </w:r>
    </w:p>
    <w:p>
      <w:pPr>
        <w:pStyle w:val="BodyText"/>
      </w:pPr>
      <w:r>
        <w:t xml:space="preserve">The goal of this thesis is to set the stage for future research and innovation in the newly-defined space of Human Data Relations. While evaluating methods and approaches</w:t>
      </w:r>
      <w:r>
        <w:t xml:space="preserve"> </w:t>
      </w:r>
      <w:r>
        <w:t xml:space="preserve">‘</w:t>
      </w:r>
      <w:r>
        <w:t xml:space="preserve">in the wild</w:t>
      </w:r>
      <w:r>
        <w:t xml:space="preserve">’</w:t>
      </w:r>
      <w:r>
        <w:t xml:space="preserve"> </w:t>
      </w:r>
      <w:r>
        <w:t xml:space="preserve">was well-beyond the scope of this thesis, my involvement in external research settings allowed a broad and grounded understanding of the HDR landscape and its practicalities to be formed, such that the landscape can be mapped from multiple perspectives.</w:t>
      </w:r>
    </w:p>
    <w:p>
      <w:pPr>
        <w:pStyle w:val="BodyText"/>
      </w:pPr>
      <w:r>
        <w:t xml:space="preserve">In</w:t>
      </w:r>
      <w:r>
        <w:t xml:space="preserve"> </w:t>
      </w:r>
      <w:hyperlink w:anchor="X96c51c3d98f021d42ee8c458ed421add6b4adde">
        <w:r>
          <w:rPr>
            <w:rStyle w:val="Hyperlink"/>
          </w:rPr>
          <w:t xml:space="preserve">7.3</w:t>
        </w:r>
      </w:hyperlink>
      <w:r>
        <w:t xml:space="preserve"> </w:t>
      </w:r>
      <w:r>
        <w:t xml:space="preserve">the specific wants mentioned above in C2 and C3 are reduced to four simple objectives for effective HDR:</w:t>
      </w:r>
    </w:p>
    <w:p>
      <w:pPr>
        <w:numPr>
          <w:ilvl w:val="0"/>
          <w:numId w:val="1006"/>
        </w:numPr>
        <w:pStyle w:val="Compact"/>
      </w:pPr>
      <w:r>
        <w:t xml:space="preserve">data awareness and understanding</w:t>
      </w:r>
    </w:p>
    <w:p>
      <w:pPr>
        <w:numPr>
          <w:ilvl w:val="0"/>
          <w:numId w:val="1006"/>
        </w:numPr>
        <w:pStyle w:val="Compact"/>
      </w:pPr>
      <w:r>
        <w:t xml:space="preserve">data useability</w:t>
      </w:r>
    </w:p>
    <w:p>
      <w:pPr>
        <w:numPr>
          <w:ilvl w:val="0"/>
          <w:numId w:val="1006"/>
        </w:numPr>
        <w:pStyle w:val="Compact"/>
      </w:pPr>
      <w:r>
        <w:t xml:space="preserve">ecosystem awareness and understanding</w:t>
      </w:r>
    </w:p>
    <w:p>
      <w:pPr>
        <w:numPr>
          <w:ilvl w:val="0"/>
          <w:numId w:val="1006"/>
        </w:numPr>
        <w:pStyle w:val="Compact"/>
      </w:pPr>
      <w:r>
        <w:t xml:space="preserve">ecosystem negotiability</w:t>
      </w:r>
    </w:p>
    <w:p>
      <w:pPr>
        <w:pStyle w:val="FirstParagraph"/>
      </w:pPr>
      <w:r>
        <w:t xml:space="preserve">The same section then continues to map out eight obstacles to better HDR that exist in these four areas, as well as four obstacles that exist in the solution space across all four:</w:t>
      </w:r>
    </w:p>
    <w:p>
      <w:pPr>
        <w:numPr>
          <w:ilvl w:val="0"/>
          <w:numId w:val="1007"/>
        </w:numPr>
        <w:pStyle w:val="Compact"/>
      </w:pPr>
      <w:r>
        <w:t xml:space="preserve">The Personal Data Diaspora</w:t>
      </w:r>
    </w:p>
    <w:p>
      <w:pPr>
        <w:numPr>
          <w:ilvl w:val="0"/>
          <w:numId w:val="1007"/>
        </w:numPr>
        <w:pStyle w:val="Compact"/>
      </w:pPr>
      <w:r>
        <w:t xml:space="preserve">Illegible Data</w:t>
      </w:r>
    </w:p>
    <w:p>
      <w:pPr>
        <w:numPr>
          <w:ilvl w:val="0"/>
          <w:numId w:val="1007"/>
        </w:numPr>
        <w:pStyle w:val="Compact"/>
      </w:pPr>
      <w:r>
        <w:t xml:space="preserve">Data that isn’t free</w:t>
      </w:r>
    </w:p>
    <w:p>
      <w:pPr>
        <w:numPr>
          <w:ilvl w:val="0"/>
          <w:numId w:val="1007"/>
        </w:numPr>
        <w:pStyle w:val="Compact"/>
      </w:pPr>
      <w:r>
        <w:t xml:space="preserve">Unmalleable and non-interrogable data</w:t>
      </w:r>
    </w:p>
    <w:p>
      <w:pPr>
        <w:numPr>
          <w:ilvl w:val="0"/>
          <w:numId w:val="1007"/>
        </w:numPr>
        <w:pStyle w:val="Compact"/>
      </w:pPr>
      <w:r>
        <w:t xml:space="preserve">Hegemony through data holding</w:t>
      </w:r>
    </w:p>
    <w:p>
      <w:pPr>
        <w:numPr>
          <w:ilvl w:val="0"/>
          <w:numId w:val="1007"/>
        </w:numPr>
        <w:pStyle w:val="Compact"/>
      </w:pPr>
      <w:r>
        <w:t xml:space="preserve">A trend of actively diminishing of users’ agency</w:t>
      </w:r>
    </w:p>
    <w:p>
      <w:pPr>
        <w:numPr>
          <w:ilvl w:val="0"/>
          <w:numId w:val="1007"/>
        </w:numPr>
        <w:pStyle w:val="Compact"/>
      </w:pPr>
      <w:r>
        <w:t xml:space="preserve">Closed, insular &amp; introspective practices</w:t>
      </w:r>
    </w:p>
    <w:p>
      <w:pPr>
        <w:numPr>
          <w:ilvl w:val="0"/>
          <w:numId w:val="1007"/>
        </w:numPr>
        <w:pStyle w:val="Compact"/>
      </w:pPr>
      <w:r>
        <w:t xml:space="preserve">The inaccessible data self</w:t>
      </w:r>
    </w:p>
    <w:p>
      <w:pPr>
        <w:numPr>
          <w:ilvl w:val="0"/>
          <w:numId w:val="1007"/>
        </w:numPr>
        <w:pStyle w:val="Compact"/>
      </w:pPr>
      <w:r>
        <w:t xml:space="preserve">A lack of HDR demand from individuals</w:t>
      </w:r>
    </w:p>
    <w:p>
      <w:pPr>
        <w:numPr>
          <w:ilvl w:val="0"/>
          <w:numId w:val="1007"/>
        </w:numPr>
        <w:pStyle w:val="Compact"/>
      </w:pPr>
      <w:r>
        <w:t xml:space="preserve">A lack of HDR demand from organisations</w:t>
      </w:r>
    </w:p>
    <w:p>
      <w:pPr>
        <w:numPr>
          <w:ilvl w:val="0"/>
          <w:numId w:val="1007"/>
        </w:numPr>
        <w:pStyle w:val="Compact"/>
      </w:pPr>
      <w:r>
        <w:t xml:space="preserve">A lack of interoperability</w:t>
      </w:r>
    </w:p>
    <w:p>
      <w:pPr>
        <w:numPr>
          <w:ilvl w:val="0"/>
          <w:numId w:val="1007"/>
        </w:numPr>
        <w:pStyle w:val="Compact"/>
      </w:pPr>
      <w:r>
        <w:t xml:space="preserve">Insufficietn machine understanding of human data.</w:t>
      </w:r>
    </w:p>
    <w:p>
      <w:pPr>
        <w:pStyle w:val="FirstParagraph"/>
      </w:pPr>
      <w:r>
        <w:t xml:space="preserve">To begin to address these obstacles, seven insights are offered that could seed future research and innovation towards tackling these obstacles:</w:t>
      </w:r>
    </w:p>
    <w:p>
      <w:pPr>
        <w:numPr>
          <w:ilvl w:val="0"/>
          <w:numId w:val="1008"/>
        </w:numPr>
        <w:pStyle w:val="Compact"/>
      </w:pPr>
      <w:r>
        <w:t xml:space="preserve">Life information makes data relatable.</w:t>
      </w:r>
    </w:p>
    <w:p>
      <w:pPr>
        <w:numPr>
          <w:ilvl w:val="0"/>
          <w:numId w:val="1008"/>
        </w:numPr>
        <w:pStyle w:val="Compact"/>
      </w:pPr>
      <w:r>
        <w:t xml:space="preserve">Ecosystem information is an antidote to digital life complexity.</w:t>
      </w:r>
    </w:p>
    <w:p>
      <w:pPr>
        <w:numPr>
          <w:ilvl w:val="0"/>
          <w:numId w:val="1008"/>
        </w:numPr>
        <w:pStyle w:val="Compact"/>
      </w:pPr>
      <w:r>
        <w:t xml:space="preserve">Life &amp; ecosystem information should be useable as a material.</w:t>
      </w:r>
    </w:p>
    <w:p>
      <w:pPr>
        <w:numPr>
          <w:ilvl w:val="0"/>
          <w:numId w:val="1008"/>
        </w:numPr>
        <w:pStyle w:val="Compact"/>
      </w:pPr>
      <w:r>
        <w:t xml:space="preserve">Data needs provenance.</w:t>
      </w:r>
    </w:p>
    <w:p>
      <w:pPr>
        <w:numPr>
          <w:ilvl w:val="0"/>
          <w:numId w:val="1008"/>
        </w:numPr>
        <w:pStyle w:val="Compact"/>
      </w:pPr>
      <w:r>
        <w:t xml:space="preserve">Data holders exploit four levers of power to manipulate the digital landscape.</w:t>
      </w:r>
    </w:p>
    <w:p>
      <w:pPr>
        <w:numPr>
          <w:ilvl w:val="0"/>
          <w:numId w:val="1008"/>
        </w:numPr>
        <w:pStyle w:val="Compact"/>
      </w:pPr>
      <w:r>
        <w:t xml:space="preserve">Semantic analysis and information standards can transform data storage and facilitate human-centric interface building.</w:t>
      </w:r>
    </w:p>
    <w:p>
      <w:pPr>
        <w:numPr>
          <w:ilvl w:val="0"/>
          <w:numId w:val="1008"/>
        </w:numPr>
        <w:pStyle w:val="Compact"/>
      </w:pPr>
      <w:r>
        <w:t xml:space="preserve">New life capabilities and pain relievers drive user demand.</w:t>
      </w:r>
    </w:p>
    <w:p>
      <w:pPr>
        <w:numPr>
          <w:ilvl w:val="0"/>
          <w:numId w:val="1008"/>
        </w:numPr>
        <w:pStyle w:val="Compact"/>
      </w:pPr>
      <w:r>
        <w:t xml:space="preserve">Better HDR can deliver business value through increased accuracy and consent, and decreased liability.</w:t>
      </w:r>
    </w:p>
    <w:bookmarkEnd w:id="26"/>
    <w:bookmarkStart w:id="27"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C6: Validation and enumeration of supported families’ attitudes and needs around civic data</w:t>
      </w:r>
    </w:p>
    <w:p>
      <w:pPr>
        <w:pStyle w:val="BodyText"/>
      </w:pPr>
      <w:r>
        <w:rPr>
          <w:bCs/>
          <w:b/>
        </w:rPr>
        <w:t xml:space="preserve">C7:</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bookmarkEnd w:id="27"/>
    <w:bookmarkStart w:id="28"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C8: An understanding of the lived experience of accessing data using GDPR rights</w:t>
      </w:r>
    </w:p>
    <w:p>
      <w:pPr>
        <w:pStyle w:val="BodyText"/>
      </w:pPr>
      <w:r>
        <w:rPr>
          <w:bCs/>
          <w:b/>
        </w:rPr>
        <w:t xml:space="preserve">C9: Evidence for the impact of knowledge about data handling practices on provider trust and perceived individual power</w:t>
      </w:r>
    </w:p>
    <w:p>
      <w:pPr>
        <w:pStyle w:val="BodyText"/>
      </w:pPr>
      <w:r>
        <w:rPr>
          <w:bCs/>
          <w:b/>
        </w:rPr>
        <w:t xml:space="preserve">C10: Guidance for policymakers, data holders and individuals on how to improve HDR</w:t>
      </w:r>
    </w:p>
    <w:p>
      <w:pPr>
        <w:pStyle w:val="BodyText"/>
      </w:pPr>
      <w:r>
        <w:rPr>
          <w:bCs/>
          <w:b/>
        </w:rPr>
        <w:t xml:space="preserve">C11: A methodology for educating individuals about held data, data access and the data ecosystem</w:t>
      </w:r>
      <w:r>
        <w:t xml:space="preserve"> </w:t>
      </w:r>
      <w:r>
        <w:t xml:space="preserve">(with caveat not intended or evaluated as such)</w:t>
      </w:r>
    </w:p>
    <w:bookmarkEnd w:id="28"/>
    <w:bookmarkEnd w:id="29"/>
    <w:bookmarkStart w:id="55" w:name="X9a1ca573f935db2401406ad853b49ac205eeca6"/>
    <w:p>
      <w:pPr>
        <w:pStyle w:val="Heading2"/>
      </w:pPr>
      <w:r>
        <w:rPr>
          <w:rStyle w:val="SectionNumber"/>
        </w:rPr>
        <w:t xml:space="preserve">1.3</w:t>
      </w:r>
      <w:r>
        <w:tab/>
      </w:r>
      <w:r>
        <w:t xml:space="preserve">Publications arising from and connected to this research</w:t>
      </w:r>
    </w:p>
    <w:bookmarkStart w:id="32" w:name="pilot-study"/>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30"/>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at CHI 2018:</w:t>
      </w:r>
    </w:p>
    <w:p>
      <w:pPr>
        <w:numPr>
          <w:ilvl w:val="0"/>
          <w:numId w:val="1009"/>
        </w:numPr>
        <w:pStyle w:val="Compact"/>
      </w:pPr>
      <w:r>
        <w:t xml:space="preserve">“</w:t>
      </w:r>
      <w:hyperlink r:id="rId31">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b">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 4, 6 and 7. As such, the paper is included in full in Appendix 1.[ADD APPENDIX REFERENCE]</w:t>
      </w:r>
    </w:p>
    <w:bookmarkEnd w:id="32"/>
    <w:bookmarkStart w:id="40" w:name="primary-case-studies"/>
    <w:p>
      <w:pPr>
        <w:pStyle w:val="Heading3"/>
      </w:pPr>
      <w:r>
        <w:rPr>
          <w:rStyle w:val="SectionNumber"/>
        </w:rPr>
        <w:t xml:space="preserve">1.3.2</w:t>
      </w:r>
      <w:r>
        <w:tab/>
      </w:r>
      <w:r>
        <w:t xml:space="preserve">Primary Case studies</w:t>
      </w:r>
    </w:p>
    <w:bookmarkStart w:id="37" w:name="publications-from-case-study-one"/>
    <w:p>
      <w:pPr>
        <w:pStyle w:val="Heading4"/>
      </w:pPr>
      <w:r>
        <w:rPr>
          <w:rStyle w:val="SectionNumber"/>
        </w:rPr>
        <w:t xml:space="preserve">1.3.2.1</w:t>
      </w:r>
      <w:r>
        <w:tab/>
      </w:r>
      <w:r>
        <w:t xml:space="preserve">Publications from Case Study One</w:t>
      </w:r>
    </w:p>
    <w:p>
      <w:pPr>
        <w:pStyle w:val="FirstParagraph"/>
      </w:pPr>
      <w:r>
        <w:t xml:space="preserve">The work exploring shared data interaction in Early Help carried out in Case Study One has been initially published as an Extended Abstract at CHI 2019:</w:t>
      </w:r>
    </w:p>
    <w:p>
      <w:pPr>
        <w:numPr>
          <w:ilvl w:val="0"/>
          <w:numId w:val="1010"/>
        </w:numPr>
        <w:pStyle w:val="Compact"/>
      </w:pPr>
      <w:r>
        <w:t xml:space="preserve">“</w:t>
      </w:r>
      <w:hyperlink r:id="rId33">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 Figure X.</w:t>
      </w:r>
    </w:p>
    <w:p>
      <w:pPr>
        <w:pStyle w:val="BodyText"/>
      </w:pPr>
      <w:r>
        <w:t xml:space="preserve">A 15,000 word+ detailed first-author journal paper has been drafted to supplement the extended abstract and will be submitted for publication in due course.</w:t>
      </w:r>
    </w:p>
    <w:p>
      <w:pPr>
        <w:pStyle w:val="CaptionedFigure"/>
      </w:pPr>
      <w:r>
        <w:drawing>
          <wp:inline>
            <wp:extent cx="5334000" cy="7541887"/>
            <wp:effectExtent b="0" l="0" r="0" t="0"/>
            <wp:docPr descr="Figure X: Poster Presentation of Case Study One" title="" id="35" name="Picture"/>
            <a:graphic>
              <a:graphicData uri="http://schemas.openxmlformats.org/drawingml/2006/picture">
                <pic:pic>
                  <pic:nvPicPr>
                    <pic:cNvPr descr="./src/figs/figX-hdi-in-care-poster.png" id="36" name="Picture"/>
                    <pic:cNvPicPr>
                      <a:picLocks noChangeArrowheads="1" noChangeAspect="1"/>
                    </pic:cNvPicPr>
                  </pic:nvPicPr>
                  <pic:blipFill>
                    <a:blip r:embed="rId34"/>
                    <a:stretch>
                      <a:fillRect/>
                    </a:stretch>
                  </pic:blipFill>
                  <pic:spPr bwMode="auto">
                    <a:xfrm>
                      <a:off x="0" y="0"/>
                      <a:ext cx="5334000" cy="7541887"/>
                    </a:xfrm>
                    <a:prstGeom prst="rect">
                      <a:avLst/>
                    </a:prstGeom>
                    <a:noFill/>
                    <a:ln w="9525">
                      <a:noFill/>
                      <a:headEnd/>
                      <a:tailEnd/>
                    </a:ln>
                  </pic:spPr>
                </pic:pic>
              </a:graphicData>
            </a:graphic>
          </wp:inline>
        </w:drawing>
      </w:r>
    </w:p>
    <w:p>
      <w:pPr>
        <w:pStyle w:val="ImageCaption"/>
      </w:pPr>
      <w:r>
        <w:t xml:space="preserve">Figure X: Poster Presentation of Case Study One</w:t>
      </w:r>
    </w:p>
    <w:bookmarkEnd w:id="37"/>
    <w:bookmarkStart w:id="39" w:name="publication-from-case-study-two"/>
    <w:p>
      <w:pPr>
        <w:pStyle w:val="Heading4"/>
      </w:pPr>
      <w:r>
        <w:rPr>
          <w:rStyle w:val="SectionNumber"/>
        </w:rPr>
        <w:t xml:space="preserve">1.3.2.2</w:t>
      </w:r>
      <w:r>
        <w:tab/>
      </w:r>
      <w:r>
        <w:t xml:space="preserve">Publication from Case Study Two</w:t>
      </w:r>
    </w:p>
    <w:p>
      <w:pPr>
        <w:pStyle w:val="FirstParagraph"/>
      </w:pPr>
      <w:r>
        <w:t xml:space="preserve">The work exploring the human experience of GDPR data access carried out in Case Study Two has been published as a full first-author paper at CHI 2022:</w:t>
      </w:r>
    </w:p>
    <w:p>
      <w:pPr>
        <w:numPr>
          <w:ilvl w:val="0"/>
          <w:numId w:val="1011"/>
        </w:numPr>
        <w:pStyle w:val="Compact"/>
      </w:pPr>
      <w:hyperlink r:id="rId38">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was shared between myself and Jack Holt.</w:t>
      </w:r>
    </w:p>
    <w:bookmarkEnd w:id="39"/>
    <w:bookmarkEnd w:id="40"/>
    <w:bookmarkStart w:id="47" w:name="workshop-papers-presentations"/>
    <w:p>
      <w:pPr>
        <w:pStyle w:val="Heading3"/>
      </w:pPr>
      <w:r>
        <w:rPr>
          <w:rStyle w:val="SectionNumber"/>
        </w:rPr>
        <w:t xml:space="preserve">1.3.3</w:t>
      </w:r>
      <w:r>
        <w:tab/>
      </w:r>
      <w:r>
        <w:t xml:space="preserve">Workshop papers &amp; presentations</w:t>
      </w:r>
    </w:p>
    <w:p>
      <w:pPr>
        <w:pStyle w:val="FirstParagraph"/>
      </w:pPr>
      <w:r>
        <w:t xml:space="preserve">During the PhD, I gave a number of presentations and published three workshop papers which included material from, or directly contributing to, this thesis and helped shape the ways in which I express the arguments within:</w:t>
      </w:r>
    </w:p>
    <w:p>
      <w:pPr>
        <w:numPr>
          <w:ilvl w:val="0"/>
          <w:numId w:val="1012"/>
        </w:numPr>
        <w:pStyle w:val="Compact"/>
      </w:pPr>
      <w:hyperlink r:id="rId41">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 a short talk I presented to my peers in January 2017 laying out the landscape of reduced agency and possible avenues for improving humans’ relationships to their data.</w:t>
      </w:r>
    </w:p>
    <w:p>
      <w:pPr>
        <w:numPr>
          <w:ilvl w:val="0"/>
          <w:numId w:val="1012"/>
        </w:numPr>
        <w:pStyle w:val="Compact"/>
      </w:pPr>
      <w:hyperlink r:id="rId42">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 a CHI 2018 workshop paper formalising past pre-PhD design thinking and outlining a vision for unconstrained and useful data interaction interfaces</w:t>
      </w:r>
    </w:p>
    <w:p>
      <w:pPr>
        <w:numPr>
          <w:ilvl w:val="0"/>
          <w:numId w:val="1012"/>
        </w:numPr>
        <w:pStyle w:val="Compact"/>
      </w:pPr>
      <w:hyperlink r:id="rId43">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 a CHI 2018 workshop paper where I imagined a form of digital computer assistant that is far more helpful and human-data-centric than the digital voice assistants of today.</w:t>
      </w:r>
    </w:p>
    <w:p>
      <w:pPr>
        <w:numPr>
          <w:ilvl w:val="0"/>
          <w:numId w:val="1012"/>
        </w:numPr>
        <w:pStyle w:val="Compact"/>
      </w:pPr>
      <w:hyperlink r:id="rId44">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 in early 2020 just prior to the pandemic, I was invited to give a lecture on my research to undergraduate students at both Northumbria University and Newcastle University.</w:t>
      </w:r>
    </w:p>
    <w:p>
      <w:pPr>
        <w:numPr>
          <w:ilvl w:val="0"/>
          <w:numId w:val="1012"/>
        </w:numPr>
        <w:pStyle w:val="Compact"/>
      </w:pPr>
      <w:hyperlink r:id="rId45">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 in April 2021, I presented my thesis in the 3 minute thesis competition, and was co-winner of the people’s choice prize.</w:t>
      </w:r>
    </w:p>
    <w:p>
      <w:pPr>
        <w:numPr>
          <w:ilvl w:val="0"/>
          <w:numId w:val="1012"/>
        </w:numPr>
        <w:pStyle w:val="Compact"/>
      </w:pPr>
      <w:hyperlink r:id="rId46">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 A workshop paper I presented at CHI 2021, where I first outlined my model of the two motivating factors for interacting with personal data.</w:t>
      </w:r>
    </w:p>
    <w:bookmarkEnd w:id="47"/>
    <w:bookmarkStart w:id="54" w:name="publications-from-other-work"/>
    <w:p>
      <w:pPr>
        <w:pStyle w:val="Heading3"/>
      </w:pPr>
      <w:r>
        <w:rPr>
          <w:rStyle w:val="SectionNumber"/>
        </w:rPr>
        <w:t xml:space="preserve">1.3.4</w:t>
      </w:r>
      <w:r>
        <w:tab/>
      </w:r>
      <w:r>
        <w:t xml:space="preserve">Publications from other work</w:t>
      </w:r>
    </w:p>
    <w:p>
      <w:pPr>
        <w:pStyle w:val="FirstParagraph"/>
      </w:pPr>
      <w:r>
        <w:t xml:space="preserve">During the same timeframe as this PhD, I have also contributed to a number of publications tangential to my primary research agenda:</w:t>
      </w:r>
    </w:p>
    <w:p>
      <w:pPr>
        <w:numPr>
          <w:ilvl w:val="0"/>
          <w:numId w:val="1013"/>
        </w:numPr>
        <w:pStyle w:val="Compact"/>
      </w:pPr>
      <w:r>
        <w:t xml:space="preserve">As a researcher and developer on the Connected Health Cities SILVER project [ADD REF TO 3.x], I contributed to work published through Newcastle University’s internal report to CHC (not publicly available) and the</w:t>
      </w:r>
      <w:r>
        <w:t xml:space="preserve"> </w:t>
      </w:r>
      <w:hyperlink r:id="rId48">
        <w:r>
          <w:rPr>
            <w:rStyle w:val="Hyperlink"/>
          </w:rPr>
          <w:t xml:space="preserve">overall impact report</w:t>
        </w:r>
      </w:hyperlink>
      <w:r>
        <w:t xml:space="preserve"> </w:t>
      </w:r>
      <w:r>
        <w:t xml:space="preserve">(p129-130), and more directly published</w:t>
      </w:r>
      <w:r>
        <w:t xml:space="preserve"> </w:t>
      </w:r>
      <w:hyperlink r:id="rId49">
        <w:r>
          <w:rPr>
            <w:rStyle w:val="Hyperlink"/>
          </w:rPr>
          <w:t xml:space="preserve">demonstration videos</w:t>
        </w:r>
      </w:hyperlink>
      <w:r>
        <w:t xml:space="preserve"> </w:t>
      </w:r>
      <w:r>
        <w:t xml:space="preserve">of a health data interface prototype developed by myself and Stuart Wheater.</w:t>
      </w:r>
    </w:p>
    <w:p>
      <w:pPr>
        <w:numPr>
          <w:ilvl w:val="0"/>
          <w:numId w:val="1013"/>
        </w:numPr>
        <w:pStyle w:val="Compact"/>
      </w:pPr>
      <w:r>
        <w:t xml:space="preserve">As a researcher and developer on DERC’s Healthy Eating project, I developed interface prototypes (no longer online) and was co-author to two research publications</w:t>
      </w:r>
      <w:r>
        <w:t xml:space="preserve"> </w:t>
      </w:r>
      <w:hyperlink r:id="rId50">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51">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3"/>
        </w:numPr>
        <w:pStyle w:val="Compact"/>
      </w:pPr>
      <w:r>
        <w:t xml:space="preserve">As a research intern on BBC R&amp;D’s Cornmarket project [ADD REF], I published an internal research report[ADD REF] into personal data store design, as well as a</w:t>
      </w:r>
      <w:r>
        <w:t xml:space="preserve"> </w:t>
      </w:r>
      <w:r>
        <w:t xml:space="preserve">‘</w:t>
      </w:r>
      <w:r>
        <w:t xml:space="preserve">stimulus presentation</w:t>
      </w:r>
      <w:r>
        <w:t xml:space="preserve">’</w:t>
      </w:r>
      <w:r>
        <w:t xml:space="preserve"> </w:t>
      </w:r>
      <w:r>
        <w:t xml:space="preserve">to launch an internal hack week and a BBC blog article about the work (which was not officially published) [ADD REF].</w:t>
      </w:r>
    </w:p>
    <w:p>
      <w:pPr>
        <w:numPr>
          <w:ilvl w:val="0"/>
          <w:numId w:val="1013"/>
        </w:numPr>
        <w:pStyle w:val="Compact"/>
      </w:pPr>
      <w:r>
        <w:t xml:space="preserve">As a project leader, data access coach and researcher at Hestia.ai, I was a lead author on</w:t>
      </w:r>
      <w:r>
        <w:t xml:space="preserve"> </w:t>
      </w:r>
      <w:hyperlink r:id="rId52">
        <w:r>
          <w:rPr>
            <w:rStyle w:val="Hyperlink"/>
          </w:rPr>
          <w:t xml:space="preserve">a research report auditing the data economy</w:t>
        </w:r>
      </w:hyperlink>
      <w:r>
        <w:t xml:space="preserve">, and co-author on</w:t>
      </w:r>
      <w:r>
        <w:t xml:space="preserve"> </w:t>
      </w:r>
      <w:hyperlink r:id="rId53">
        <w:r>
          <w:rPr>
            <w:rStyle w:val="Hyperlink"/>
          </w:rPr>
          <w:t xml:space="preserve">a research report on power mechanisms in the data economy</w:t>
        </w:r>
      </w:hyperlink>
      <w:r>
        <w:t xml:space="preserve">.</w:t>
      </w:r>
    </w:p>
    <w:bookmarkEnd w:id="54"/>
    <w:bookmarkEnd w:id="55"/>
    <w:bookmarkStart w:id="56" w:name="the-structure-of-this-thesis"/>
    <w:p>
      <w:pPr>
        <w:pStyle w:val="Heading2"/>
      </w:pPr>
      <w:r>
        <w:rPr>
          <w:rStyle w:val="SectionNumber"/>
        </w:rPr>
        <w:t xml:space="preserve">1.4</w:t>
      </w:r>
      <w:r>
        <w:tab/>
      </w:r>
      <w:r>
        <w:t xml:space="preserve">The structure of this thesis</w:t>
      </w:r>
    </w:p>
    <w:p>
      <w:pPr>
        <w:pStyle w:val="FirstParagraph"/>
      </w:pPr>
      <w:r>
        <w:t xml:space="preserve">[overall description here][120w]</w:t>
      </w:r>
    </w:p>
    <w:p>
      <w:pPr>
        <w:pStyle w:val="BodyText"/>
      </w:pPr>
      <w:hyperlink w:anchor="chapter-2">
        <w:r>
          <w:rPr>
            <w:rStyle w:val="Hyperlink"/>
          </w:rPr>
          <w:t xml:space="preserve">Chapter 2</w:t>
        </w:r>
      </w:hyperlink>
      <w:r>
        <w:t xml:space="preserve">…[120w]</w:t>
      </w:r>
    </w:p>
    <w:p>
      <w:pPr>
        <w:pStyle w:val="BodyText"/>
      </w:pPr>
      <w:hyperlink w:anchor="chapter-3">
        <w:r>
          <w:rPr>
            <w:rStyle w:val="Hyperlink"/>
          </w:rPr>
          <w:t xml:space="preserve">Chapter 3</w:t>
        </w:r>
      </w:hyperlink>
      <w:r>
        <w:t xml:space="preserve">…[120w]</w:t>
      </w:r>
    </w:p>
    <w:p>
      <w:pPr>
        <w:pStyle w:val="BodyText"/>
      </w:pPr>
      <w:hyperlink w:anchor="chapter-4">
        <w:r>
          <w:rPr>
            <w:rStyle w:val="Hyperlink"/>
          </w:rPr>
          <w:t xml:space="preserve">Chapter 4</w:t>
        </w:r>
      </w:hyperlink>
      <w:r>
        <w:t xml:space="preserve">…[120w]</w:t>
      </w:r>
    </w:p>
    <w:p>
      <w:pPr>
        <w:pStyle w:val="BodyText"/>
      </w:pPr>
      <w:hyperlink w:anchor="chapter-5">
        <w:r>
          <w:rPr>
            <w:rStyle w:val="Hyperlink"/>
          </w:rPr>
          <w:t xml:space="preserve">Chapter 5</w:t>
        </w:r>
      </w:hyperlink>
      <w:r>
        <w:t xml:space="preserve">…[120w]</w:t>
      </w:r>
    </w:p>
    <w:p>
      <w:pPr>
        <w:pStyle w:val="BodyText"/>
      </w:pPr>
      <w:hyperlink w:anchor="chapter-6">
        <w:r>
          <w:rPr>
            <w:rStyle w:val="Hyperlink"/>
          </w:rPr>
          <w:t xml:space="preserve">Chapter 6</w:t>
        </w:r>
      </w:hyperlink>
      <w:r>
        <w:t xml:space="preserve">…[120w]</w:t>
      </w:r>
    </w:p>
    <w:p>
      <w:pPr>
        <w:pStyle w:val="BodyText"/>
      </w:pPr>
      <w:hyperlink w:anchor="chapter-7">
        <w:r>
          <w:rPr>
            <w:rStyle w:val="Hyperlink"/>
          </w:rPr>
          <w:t xml:space="preserve">Chapter 7</w:t>
        </w:r>
      </w:hyperlink>
      <w:r>
        <w:t xml:space="preserve">…[120w]</w:t>
      </w:r>
    </w:p>
    <w:bookmarkEnd w:id="56"/>
    <w:bookmarkEnd w:id="57"/>
    <w:bookmarkStart w:id="74" w:name="bibliography"/>
    <w:p>
      <w:pPr>
        <w:pStyle w:val="Heading1"/>
      </w:pPr>
      <w:r>
        <w:t xml:space="preserve">Bibliography</w:t>
      </w:r>
    </w:p>
    <w:bookmarkStart w:id="73" w:name="refs"/>
    <w:bookmarkStart w:id="59" w:name="ref-bowyer2011"/>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58">
        <w:r>
          <w:rPr>
            <w:rStyle w:val="Hyperlink"/>
          </w:rPr>
          <w:t xml:space="preserve">http://radar.oreilly.com/2011/07/why-files-need-to-die.html</w:t>
        </w:r>
      </w:hyperlink>
      <w:r>
        <w:t xml:space="preserve">.</w:t>
      </w:r>
    </w:p>
    <w:bookmarkEnd w:id="59"/>
    <w:bookmarkStart w:id="61" w:name="ref-bowyer2012"/>
    <w:p>
      <w:pPr>
        <w:pStyle w:val="Bibliography"/>
      </w:pPr>
      <w:r>
        <w:t xml:space="preserve">Bowyer, A. (2012)</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60">
        <w:r>
          <w:rPr>
            <w:rStyle w:val="Hyperlink"/>
          </w:rPr>
          <w:t xml:space="preserve">https://eprints.ncl.ac.uk/273829</w:t>
        </w:r>
      </w:hyperlink>
      <w:r>
        <w:t xml:space="preserve">.</w:t>
      </w:r>
    </w:p>
    <w:bookmarkEnd w:id="61"/>
    <w:bookmarkStart w:id="63" w:name="ref-bowyer2018b"/>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62">
        <w:r>
          <w:rPr>
            <w:rStyle w:val="Hyperlink"/>
          </w:rPr>
          <w:t xml:space="preserve">10.1145/3173574.3173710</w:t>
        </w:r>
      </w:hyperlink>
      <w:r>
        <w:t xml:space="preserve">.</w:t>
      </w:r>
    </w:p>
    <w:bookmarkEnd w:id="63"/>
    <w:bookmarkStart w:id="64"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3">
        <w:r>
          <w:rPr>
            <w:rStyle w:val="Hyperlink"/>
          </w:rPr>
          <w:t xml:space="preserve">10.1145/3290607.3312998</w:t>
        </w:r>
      </w:hyperlink>
      <w:r>
        <w:t xml:space="preserve">.</w:t>
      </w:r>
    </w:p>
    <w:bookmarkEnd w:id="64"/>
    <w:bookmarkStart w:id="65" w:name="ref-bowyer2022"/>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65"/>
    <w:bookmarkStart w:id="66"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 34</w:t>
      </w:r>
      <w:r>
        <w:t xml:space="preserve">, pp. 155–167.</w:t>
      </w:r>
    </w:p>
    <w:bookmarkEnd w:id="66"/>
    <w:bookmarkStart w:id="67"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67"/>
    <w:bookmarkStart w:id="68"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68"/>
    <w:bookmarkStart w:id="70"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69">
        <w:r>
          <w:rPr>
            <w:rStyle w:val="Hyperlink"/>
          </w:rPr>
          <w:t xml:space="preserve">https://web.archive.org/web/20180727024332/https://digitalcivics.io/apply/</w:t>
        </w:r>
      </w:hyperlink>
      <w:r>
        <w:t xml:space="preserve"> </w:t>
      </w:r>
      <w:r>
        <w:t xml:space="preserve">(Accessed: 6 July 2022).</w:t>
      </w:r>
    </w:p>
    <w:bookmarkEnd w:id="70"/>
    <w:bookmarkStart w:id="72"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71">
        <w:r>
          <w:rPr>
            <w:rStyle w:val="Hyperlink"/>
          </w:rPr>
          <w:t xml:space="preserve">https://www.ted.com/talks/zeynep_tufekci_we_re_building_a_dystopia_just_to_make_people_click_on_ads</w:t>
        </w:r>
      </w:hyperlink>
      <w:r>
        <w:t xml:space="preserve">.</w:t>
      </w:r>
    </w:p>
    <w:bookmarkEnd w:id="72"/>
    <w:bookmarkEnd w:id="73"/>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Archived at https://web.archive.org/web/20111231165329/http://www.human20.com/</w:t>
      </w:r>
    </w:p>
  </w:footnote>
  <w:footnote w:id="21">
    <w:p>
      <w:pPr>
        <w:pStyle w:val="FootnoteText"/>
      </w:pPr>
      <w:r>
        <w:rPr>
          <w:rStyle w:val="FootnoteReference"/>
        </w:rPr>
        <w:footnoteRef/>
      </w:r>
      <w:r>
        <w:t xml:space="preserve"> </w:t>
      </w:r>
      <w:r>
        <w:t xml:space="preserve">http://bitnorth.com/shortbits/</w:t>
      </w:r>
    </w:p>
  </w:footnote>
  <w:footnote w:id="30">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hyperlink" Id="rId58" Target="http://radar.oreilly.com/2011/07/why-files-need-to-die.html" TargetMode="External" /><Relationship Type="http://schemas.openxmlformats.org/officeDocument/2006/relationships/hyperlink" Id="rId31" Target="https://dl.acm.org/doi/10.1145/3173574.3173710" TargetMode="External" /><Relationship Type="http://schemas.openxmlformats.org/officeDocument/2006/relationships/hyperlink" Id="rId51" Target="https://doi.org/10.1093/iwc/iwac015" TargetMode="External" /><Relationship Type="http://schemas.openxmlformats.org/officeDocument/2006/relationships/hyperlink" Id="rId62" Target="https://doi.org/10.1145/3173574.3173710" TargetMode="External" /><Relationship Type="http://schemas.openxmlformats.org/officeDocument/2006/relationships/hyperlink" Id="rId33"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50" Target="https://doi.org/10.14236/ewic/HCI2021.16" TargetMode="External" /><Relationship Type="http://schemas.openxmlformats.org/officeDocument/2006/relationships/hyperlink" Id="rId53" Target="https://doi.org/10.5281/zenodo.6554155" TargetMode="External" /><Relationship Type="http://schemas.openxmlformats.org/officeDocument/2006/relationships/hyperlink" Id="rId52" Target="https://doi.org/10.5281/zenodo.6554177" TargetMode="External" /><Relationship Type="http://schemas.openxmlformats.org/officeDocument/2006/relationships/hyperlink" Id="rId42" Target="https://eprints.ncl.ac.uk/273825" TargetMode="External" /><Relationship Type="http://schemas.openxmlformats.org/officeDocument/2006/relationships/hyperlink" Id="rId43" Target="https://eprints.ncl.ac.uk/273826" TargetMode="External" /><Relationship Type="http://schemas.openxmlformats.org/officeDocument/2006/relationships/hyperlink" Id="rId60" Target="https://eprints.ncl.ac.uk/273829" TargetMode="External" /><Relationship Type="http://schemas.openxmlformats.org/officeDocument/2006/relationships/hyperlink" Id="rId41" Target="https://eprints.ncl.ac.uk/273832" TargetMode="External" /><Relationship Type="http://schemas.openxmlformats.org/officeDocument/2006/relationships/hyperlink" Id="rId44" Target="https://eprints.ncl.ac.uk/273834" TargetMode="External" /><Relationship Type="http://schemas.openxmlformats.org/officeDocument/2006/relationships/hyperlink" Id="rId49" Target="https://eprints.ncl.ac.uk/273839" TargetMode="External" /><Relationship Type="http://schemas.openxmlformats.org/officeDocument/2006/relationships/hyperlink" Id="rId46" Target="https://eprints.ncl.ac.uk/274297" TargetMode="External" /><Relationship Type="http://schemas.openxmlformats.org/officeDocument/2006/relationships/hyperlink" Id="rId69" Target="https://web.archive.org/web/20180727024332/https://digitalcivics.io/apply/" TargetMode="External" /><Relationship Type="http://schemas.openxmlformats.org/officeDocument/2006/relationships/hyperlink" Id="rId48" Target="https://web.archive.org/web/20211225192408/https://www.chc-impact-report.co.uk/" TargetMode="External" /><Relationship Type="http://schemas.openxmlformats.org/officeDocument/2006/relationships/hyperlink" Id="rId71" Target="https://www.ted.com/talks/zeynep_tufekci_we_re_building_a_dystopia_just_to_make_people_click_on_ads" TargetMode="External" /><Relationship Type="http://schemas.openxmlformats.org/officeDocument/2006/relationships/hyperlink" Id="rId45" Target="https://www.youtube.com/watch?v=YFHXc_TfM5c" TargetMode="External" /></Relationships>
</file>

<file path=word/_rels/footnotes.xml.rels><?xml version="1.0" encoding="UTF-8"?><Relationships xmlns="http://schemas.openxmlformats.org/package/2006/relationships"><Relationship Type="http://schemas.openxmlformats.org/officeDocument/2006/relationships/hyperlink" Id="rId58" Target="http://radar.oreilly.com/2011/07/why-files-need-to-die.html" TargetMode="External" /><Relationship Type="http://schemas.openxmlformats.org/officeDocument/2006/relationships/hyperlink" Id="rId31" Target="https://dl.acm.org/doi/10.1145/3173574.3173710" TargetMode="External" /><Relationship Type="http://schemas.openxmlformats.org/officeDocument/2006/relationships/hyperlink" Id="rId51" Target="https://doi.org/10.1093/iwc/iwac015" TargetMode="External" /><Relationship Type="http://schemas.openxmlformats.org/officeDocument/2006/relationships/hyperlink" Id="rId62" Target="https://doi.org/10.1145/3173574.3173710" TargetMode="External" /><Relationship Type="http://schemas.openxmlformats.org/officeDocument/2006/relationships/hyperlink" Id="rId33"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50" Target="https://doi.org/10.14236/ewic/HCI2021.16" TargetMode="External" /><Relationship Type="http://schemas.openxmlformats.org/officeDocument/2006/relationships/hyperlink" Id="rId53" Target="https://doi.org/10.5281/zenodo.6554155" TargetMode="External" /><Relationship Type="http://schemas.openxmlformats.org/officeDocument/2006/relationships/hyperlink" Id="rId52" Target="https://doi.org/10.5281/zenodo.6554177" TargetMode="External" /><Relationship Type="http://schemas.openxmlformats.org/officeDocument/2006/relationships/hyperlink" Id="rId42" Target="https://eprints.ncl.ac.uk/273825" TargetMode="External" /><Relationship Type="http://schemas.openxmlformats.org/officeDocument/2006/relationships/hyperlink" Id="rId43" Target="https://eprints.ncl.ac.uk/273826" TargetMode="External" /><Relationship Type="http://schemas.openxmlformats.org/officeDocument/2006/relationships/hyperlink" Id="rId60" Target="https://eprints.ncl.ac.uk/273829" TargetMode="External" /><Relationship Type="http://schemas.openxmlformats.org/officeDocument/2006/relationships/hyperlink" Id="rId41" Target="https://eprints.ncl.ac.uk/273832" TargetMode="External" /><Relationship Type="http://schemas.openxmlformats.org/officeDocument/2006/relationships/hyperlink" Id="rId44" Target="https://eprints.ncl.ac.uk/273834" TargetMode="External" /><Relationship Type="http://schemas.openxmlformats.org/officeDocument/2006/relationships/hyperlink" Id="rId49" Target="https://eprints.ncl.ac.uk/273839" TargetMode="External" /><Relationship Type="http://schemas.openxmlformats.org/officeDocument/2006/relationships/hyperlink" Id="rId46" Target="https://eprints.ncl.ac.uk/274297" TargetMode="External" /><Relationship Type="http://schemas.openxmlformats.org/officeDocument/2006/relationships/hyperlink" Id="rId69" Target="https://web.archive.org/web/20180727024332/https://digitalcivics.io/apply/" TargetMode="External" /><Relationship Type="http://schemas.openxmlformats.org/officeDocument/2006/relationships/hyperlink" Id="rId48" Target="https://web.archive.org/web/20211225192408/https://www.chc-impact-report.co.uk/" TargetMode="External" /><Relationship Type="http://schemas.openxmlformats.org/officeDocument/2006/relationships/hyperlink" Id="rId71" Target="https://www.ted.com/talks/zeynep_tufekci_we_re_building_a_dystopia_just_to_make_people_click_on_ads" TargetMode="External" /><Relationship Type="http://schemas.openxmlformats.org/officeDocument/2006/relationships/hyperlink" Id="rId45" Target="https://www.youtube.com/watch?v=YFHXc_TfM5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2022-07-06T15:51:20Z</dcterms:created>
  <dcterms:modified xsi:type="dcterms:W3CDTF">2022-07-06T15:51:20Z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