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“There is</w:t>
      </w:r>
      <w:r>
        <w:t xml:space="preserve"> </w:t>
      </w:r>
      <w:r>
        <w:t xml:space="preserve">a power imbalance</w:t>
      </w:r>
      <w:r>
        <w:t xml:space="preserve"> </w:t>
      </w:r>
      <w:r>
        <w:rPr>
          <w:iCs/>
          <w:i/>
        </w:rPr>
        <w:t xml:space="preserve">in the amount of information about individuals held by industry and governments, and the lack of knowledge and ability of the same individuals to control the use of that information.”</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approach-1">
        <w:r>
          <w:rPr>
            <w:rStyle w:val="Hyperlink"/>
          </w:rPr>
          <w:t xml:space="preserve">7.4.2</w:t>
        </w:r>
      </w:hyperlink>
      <w:r>
        <w:t xml:space="preserve">]</w:t>
      </w:r>
    </w:p>
    <w:p>
      <w:pPr>
        <w:numPr>
          <w:ilvl w:val="0"/>
          <w:numId w:val="1009"/>
        </w:numPr>
        <w:pStyle w:val="Compact"/>
      </w:pPr>
      <w:r>
        <w:t xml:space="preserve">Building the Human-Centric Future [</w:t>
      </w:r>
      <w:hyperlink w:anchor="approach-2">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approach-3">
        <w:r>
          <w:rPr>
            <w:rStyle w:val="Hyperlink"/>
          </w:rPr>
          <w:t xml:space="preserve">7.4.4</w:t>
        </w:r>
      </w:hyperlink>
      <w:r>
        <w:t xml:space="preserve">]</w:t>
      </w:r>
    </w:p>
    <w:p>
      <w:pPr>
        <w:numPr>
          <w:ilvl w:val="0"/>
          <w:numId w:val="1009"/>
        </w:numPr>
        <w:pStyle w:val="Compact"/>
      </w:pPr>
      <w:r>
        <w:t xml:space="preserve">Teaching, Championing and Selling the HDR Vision [</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and regulate to improve response quality and legislate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 insights 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2022-08-22T00:18:44Z</dcterms:created>
  <dcterms:modified xsi:type="dcterms:W3CDTF">2022-08-22T00:18:44Z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