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 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 transformed the way I look at digital information 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e5dbbcea5ce7e2988b8c69bcfdfde8904aabc1f">
        <w:r>
          <w:rPr>
            <w:rStyle w:val="Hyperlink"/>
          </w:rPr>
          <w:t xml:space="preserve">8</w:t>
        </w:r>
      </w:hyperlink>
      <w:r>
        <w:t xml:space="preserve">,</w:t>
      </w:r>
      <w:r>
        <w:t xml:space="preserve"> </w:t>
      </w:r>
      <w:hyperlink w:anchor="figure-7.15">
        <w:r>
          <w:rPr>
            <w:rStyle w:val="Hyperlink"/>
          </w:rPr>
          <w:t xml:space="preserve">7.15</w:t>
        </w:r>
      </w:hyperlink>
      <w:r>
        <w:t xml:space="preserve">,</w:t>
      </w:r>
      <w:r>
        <w:t xml:space="preserve"> </w:t>
      </w:r>
      <w:hyperlink w:anchor="figure-9.3">
        <w:r>
          <w:rPr>
            <w:rStyle w:val="Hyperlink"/>
          </w:rPr>
          <w:t xml:space="preserve">9.3</w:t>
        </w:r>
      </w:hyperlink>
      <w:r>
        <w:t xml:space="preserve">,</w:t>
      </w:r>
      <w:r>
        <w:t xml:space="preserve"> </w:t>
      </w:r>
      <w:hyperlink w:anchor="figure-9.19">
        <w:r>
          <w:rPr>
            <w:rStyle w:val="Hyperlink"/>
          </w:rPr>
          <w:t xml:space="preserve">82</w:t>
        </w:r>
      </w:hyperlink>
      <w:r>
        <w:t xml:space="preserve">, and</w:t>
      </w:r>
      <w:r>
        <w:t xml:space="preserve"> </w:t>
      </w:r>
      <w:hyperlink w:anchor="figure-9.21">
        <w:r>
          <w:rPr>
            <w:rStyle w:val="Hyperlink"/>
          </w:rPr>
          <w:t xml:space="preserve">84</w:t>
        </w:r>
      </w:hyperlink>
      <w:r>
        <w:t xml:space="preserve">] which I hope can help others in the same way.</w:t>
      </w:r>
    </w:p>
    <w:p>
      <w:pPr>
        <w:pStyle w:val="BodyText"/>
      </w:pPr>
      <w:r>
        <w:t xml:space="preserve">The collaborative opportunities of this PhD 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 putting these learnings into action,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 clear and actionable insights that could be immediately explored by researchers and innovators -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e5dbbcea5ce7e2988b8c69bcfdfde8904aabc1f">
        <w:r>
          <w:rPr>
            <w:rStyle w:val="Hyperlink"/>
          </w:rPr>
          <w:t xml:space="preserve">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ade7c2cf97f75d009975f4d720d1fa6c19f4897">
        <w:r>
          <w:rPr>
            <w:rStyle w:val="Hyperlink"/>
          </w:rPr>
          <w:t xml:space="preserve">9</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e5dbbcea5ce7e2988b8c69bcfdfde8904aabc1f">
        <w:r>
          <w:rPr>
            <w:rStyle w:val="Hyperlink"/>
          </w:rPr>
          <w:t xml:space="preserve">8</w:t>
        </w:r>
      </w:hyperlink>
      <w:r>
        <w:t xml:space="preserve"> </w:t>
      </w:r>
      <w:r>
        <w:t xml:space="preserve">and</w:t>
      </w:r>
      <w:r>
        <w:t xml:space="preserve"> </w:t>
      </w:r>
      <w:hyperlink w:anchor="Xade7c2cf97f75d009975f4d720d1fa6c19f4897">
        <w:r>
          <w:rPr>
            <w:rStyle w:val="Hyperlink"/>
          </w:rPr>
          <w:t xml:space="preserve">9</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2022-08-22T23:03:23Z</dcterms:created>
  <dcterms:modified xsi:type="dcterms:W3CDTF">2022-08-22T23:03:23Z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