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 </w:t>
      </w:r>
      <w:r>
        <w:t xml:space="preserve">— 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Part One’s academic enquiry with a clear answer to the question [</w:t>
      </w:r>
      <w:hyperlink w:anchor="RQ">
        <w:r>
          <w:rPr>
            <w:rStyle w:val="Hyperlink"/>
          </w:rPr>
          <w:t xml:space="preserve">2.4</w:t>
        </w:r>
      </w:hyperlink>
      <w:r>
        <w:t xml:space="preserve">] of what relationship people need with their personal data in order to be empowered. They need:</w:t>
      </w:r>
    </w:p>
    <w:p>
      <w:pPr>
        <w:numPr>
          <w:ilvl w:val="0"/>
          <w:numId w:val="1001"/>
        </w:numPr>
        <w:pStyle w:val="Compact"/>
      </w:pPr>
      <w:r>
        <w:t xml:space="preserve">visible, understandable and useable data, as well as</w:t>
      </w:r>
    </w:p>
    <w:p>
      <w:pPr>
        <w:numPr>
          <w:ilvl w:val="0"/>
          <w:numId w:val="1001"/>
        </w:numPr>
        <w:pStyle w:val="Compact"/>
      </w:pPr>
      <w:r>
        <w:t xml:space="preserve">process transparency, individual oversight and involvement in decision making.</w:t>
      </w:r>
    </w:p>
    <w:p>
      <w:pPr>
        <w:pStyle w:val="FirstParagraph"/>
      </w:pPr>
      <w:r>
        <w:t xml:space="preserve">Section</w:t>
      </w:r>
      <w:r>
        <w:t xml:space="preserve"> </w:t>
      </w:r>
      <w:hyperlink w:anchor="X5b7e6d36dc0113f61b36c700817d42b96f7b037">
        <w:r>
          <w:rPr>
            <w:rStyle w:val="Hyperlink"/>
          </w:rPr>
          <w:t xml:space="preserve">9.6</w:t>
        </w:r>
      </w:hyperlink>
      <w:r>
        <w:t xml:space="preserve"> </w:t>
      </w:r>
      <w:r>
        <w:t xml:space="preserve">summarised the outlook for improving Human Data Relations, through four strategic trajectories for producing change in the HDR landscape:</w:t>
      </w:r>
    </w:p>
    <w:p>
      <w:pPr>
        <w:numPr>
          <w:ilvl w:val="0"/>
          <w:numId w:val="1002"/>
        </w:numPr>
        <w:pStyle w:val="Compact"/>
      </w:pPr>
      <w:r>
        <w:t xml:space="preserve">discovery-driven activism,</w:t>
      </w:r>
    </w:p>
    <w:p>
      <w:pPr>
        <w:numPr>
          <w:ilvl w:val="0"/>
          <w:numId w:val="1002"/>
        </w:numPr>
        <w:pStyle w:val="Compact"/>
      </w:pPr>
      <w:r>
        <w:t xml:space="preserve">building human-centric life interfaces,</w:t>
      </w:r>
    </w:p>
    <w:p>
      <w:pPr>
        <w:numPr>
          <w:ilvl w:val="0"/>
          <w:numId w:val="1002"/>
        </w:numPr>
        <w:pStyle w:val="Compact"/>
      </w:pPr>
      <w:r>
        <w:t xml:space="preserve">defending and exploiting the seams of the information landscape, and</w:t>
      </w:r>
    </w:p>
    <w:p>
      <w:pPr>
        <w:numPr>
          <w:ilvl w:val="0"/>
          <w:numId w:val="1002"/>
        </w:numPr>
        <w:pStyle w:val="Compact"/>
      </w:pPr>
      <w:r>
        <w:t xml:space="preserve">championing and teaching the HDR vision.</w:t>
      </w:r>
    </w:p>
    <w:p>
      <w:pPr>
        <w:pStyle w:val="FirstParagraph"/>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491f8b5ecc09d9de308ea37e6a23ad2dd66c256">
        <w:r>
          <w:rPr>
            <w:rStyle w:val="Hyperlink"/>
          </w:rPr>
          <w:t xml:space="preserve">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solidified my existing understandings and was able to contextualise newly-discovered understandings into the established research landscape as I learned more through research and practice.</w:t>
      </w:r>
    </w:p>
    <w:p>
      <w:pPr>
        <w:pStyle w:val="BodyText"/>
      </w:pPr>
      <w:r>
        <w:t xml:space="preserve">As my understandings of from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 This ultimately gave me the confidence to recognise that in this body of work I have identified something new and emergent, that deserved to be named, scoped, and explored—</w:t>
      </w:r>
      <w:r>
        <w:rPr>
          <w:bCs/>
          <w:b/>
        </w:rPr>
        <w:t xml:space="preserve">the field of Human Data Relations</w:t>
      </w:r>
      <w:r>
        <w:t xml:space="preserve">.</w:t>
      </w:r>
    </w:p>
    <w:p>
      <w:pPr>
        <w:pStyle w:val="BodyText"/>
      </w:pPr>
      <w:r>
        <w:t xml:space="preserve">I was especially lucky to find peripheral activities, especially with the BBC and Hestia.ai, that fitted so well alongside my research agenda. These activities slotted perfectly into the action research cycle [</w:t>
      </w:r>
      <w:hyperlink w:anchor="X03a4300e5939d1d7fbfb90958aac5b413468ba3">
        <w:r>
          <w:rPr>
            <w:rStyle w:val="Hyperlink"/>
          </w:rPr>
          <w:t xml:space="preserve">3.2.2</w:t>
        </w:r>
      </w:hyperlink>
      <w:r>
        <w:t xml:space="preserve">;</w:t>
      </w:r>
      <w:r>
        <w:t xml:space="preserve"> </w:t>
      </w:r>
      <w:hyperlink w:anchor="figure-3.14">
        <w:r>
          <w:rPr>
            <w:rStyle w:val="Hyperlink"/>
          </w:rPr>
          <w:t xml:space="preserve">Figure 3.14</w:t>
        </w:r>
      </w:hyperlink>
      <w:r>
        <w:t xml:space="preserve">]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 Part Two 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translate those impacts into tangible needs, and to be able to map out the landscape and possibilities for improving the way we relate to data. Through this research, I have discovered rich evidence to quantify and qualify the losses of agency I had observed, in a far greater level of detail than existing research. The programme has also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w:t>
      </w:r>
      <w:r>
        <w:t xml:space="preserve"> </w:t>
      </w:r>
      <w:hyperlink w:anchor="figure-ari7.1">
        <w:r>
          <w:rPr>
            <w:rStyle w:val="Hyperlink"/>
          </w:rPr>
          <w:t xml:space="preserve">Figure ARI7.1</w:t>
        </w:r>
      </w:hyperlink>
      <w:r>
        <w:t xml:space="preserve">]. It has allowed me design and prototype new models and views of data and of information which have transformed the way I look at digital information and how we relate to it, in particular:</w:t>
      </w:r>
    </w:p>
    <w:p>
      <w:pPr>
        <w:numPr>
          <w:ilvl w:val="0"/>
          <w:numId w:val="1003"/>
        </w:numPr>
        <w:pStyle w:val="Compact"/>
      </w:pPr>
      <w:r>
        <w:t xml:space="preserve">the five types of held data [</w:t>
      </w:r>
      <w:hyperlink w:anchor="table-5.2">
        <w:r>
          <w:rPr>
            <w:rStyle w:val="Hyperlink"/>
          </w:rPr>
          <w:t xml:space="preserve">Table 5.2</w:t>
        </w:r>
      </w:hyperlink>
      <w:r>
        <w:t xml:space="preserve">],</w:t>
      </w:r>
    </w:p>
    <w:p>
      <w:pPr>
        <w:numPr>
          <w:ilvl w:val="0"/>
          <w:numId w:val="1003"/>
        </w:numPr>
        <w:pStyle w:val="Compact"/>
      </w:pPr>
      <w:r>
        <w:t xml:space="preserve">the two purposes of HDR [</w:t>
      </w:r>
      <w:hyperlink w:anchor="figure-7.1">
        <w:r>
          <w:rPr>
            <w:rStyle w:val="Hyperlink"/>
          </w:rPr>
          <w:t xml:space="preserve">Figure 7.1</w:t>
        </w:r>
      </w:hyperlink>
      <w:r>
        <w:t xml:space="preserve">], and</w:t>
      </w:r>
    </w:p>
    <w:p>
      <w:pPr>
        <w:numPr>
          <w:ilvl w:val="0"/>
          <w:numId w:val="1003"/>
        </w:numPr>
        <w:pStyle w:val="Compact"/>
      </w:pPr>
      <w:r>
        <w:t xml:space="preserve">the understandings of how to effect change in the HDR landscape [Figures</w:t>
      </w:r>
      <w:r>
        <w:t xml:space="preserve"> </w:t>
      </w:r>
      <w:hyperlink w:anchor="Xe5dbbcea5ce7e2988b8c69bcfdfde8904aabc1f">
        <w:r>
          <w:rPr>
            <w:rStyle w:val="Hyperlink"/>
          </w:rPr>
          <w:t xml:space="preserve">8</w:t>
        </w:r>
      </w:hyperlink>
      <w:r>
        <w:t xml:space="preserve">,</w:t>
      </w:r>
      <w:r>
        <w:t xml:space="preserve"> </w:t>
      </w:r>
      <w:hyperlink w:anchor="figure-7.15">
        <w:r>
          <w:rPr>
            <w:rStyle w:val="Hyperlink"/>
          </w:rPr>
          <w:t xml:space="preserve">7.15</w:t>
        </w:r>
      </w:hyperlink>
      <w:r>
        <w:t xml:space="preserve">,</w:t>
      </w:r>
      <w:r>
        <w:t xml:space="preserve"> </w:t>
      </w:r>
      <w:hyperlink w:anchor="figure-9.3">
        <w:r>
          <w:rPr>
            <w:rStyle w:val="Hyperlink"/>
          </w:rPr>
          <w:t xml:space="preserve">9.3</w:t>
        </w:r>
      </w:hyperlink>
      <w:r>
        <w:t xml:space="preserve">,</w:t>
      </w:r>
      <w:r>
        <w:t xml:space="preserve"> </w:t>
      </w:r>
      <w:hyperlink w:anchor="figure-9.19">
        <w:r>
          <w:rPr>
            <w:rStyle w:val="Hyperlink"/>
          </w:rPr>
          <w:t xml:space="preserve">82</w:t>
        </w:r>
      </w:hyperlink>
      <w:r>
        <w:t xml:space="preserve">, and</w:t>
      </w:r>
      <w:r>
        <w:t xml:space="preserve"> </w:t>
      </w:r>
      <w:hyperlink w:anchor="figure-9.21">
        <w:r>
          <w:rPr>
            <w:rStyle w:val="Hyperlink"/>
          </w:rPr>
          <w:t xml:space="preserve">84</w:t>
        </w:r>
      </w:hyperlink>
      <w:r>
        <w:t xml:space="preserve">].</w:t>
      </w:r>
    </w:p>
    <w:p>
      <w:pPr>
        <w:pStyle w:val="FirstParagraph"/>
      </w:pPr>
      <w:r>
        <w:t xml:space="preserve">I hope these models, as well as the other contributions</w:t>
      </w:r>
      <w:r>
        <w:t xml:space="preserve"> </w:t>
      </w:r>
      <w:hyperlink w:anchor="X114b9dabe64741f5700c676da07d4182530a754">
        <w:r>
          <w:rPr>
            <w:rStyle w:val="Hyperlink"/>
          </w:rPr>
          <w:t xml:space="preserve">1.2</w:t>
        </w:r>
      </w:hyperlink>
      <w:r>
        <w:t xml:space="preserve">, can help others to develop their thinking in the same way, to become HDR-literate and contribute to the crusade for HDR reform that the world so desperately needs.</w:t>
      </w:r>
    </w:p>
    <w:p>
      <w:pPr>
        <w:pStyle w:val="BodyText"/>
      </w:pPr>
      <w:r>
        <w:t xml:space="preserve">The collaborative opportunities have been significant. Without this PhD, I would never have had the opportunities to discuss and develop models for personal data interaction and improved ecosystem negotiability with experts at the BBC, Hestia.ai and the wider</w:t>
      </w:r>
      <w:r>
        <w:t xml:space="preserve"> </w:t>
      </w:r>
      <w:r>
        <w:rPr>
          <w:iCs/>
          <w:i/>
        </w:rPr>
        <w:t xml:space="preserve">MyData</w:t>
      </w:r>
      <w:r>
        <w:t xml:space="preserve"> </w:t>
      </w:r>
      <w:r>
        <w:t xml:space="preserve">community. Alongside these formal collaborations, I have disseminated ideas through blogs, tweets, workshop papers and lectures, which has helped to refine and clarify ideas but also to stimulate valuable discussions with interested people to gain feedback that helped develop the models and my own learning further.</w:t>
      </w:r>
    </w:p>
    <w:p>
      <w:pPr>
        <w:pStyle w:val="BodyText"/>
      </w:pPr>
      <w:r>
        <w:t xml:space="preserve">This opportunity has opened doors that allow me to dedicate my future career to putting these learnings into action, working on important projects [</w:t>
      </w:r>
      <w:hyperlink w:anchor="Xd90f00e19f5543904caf9ab2abd5b800e0613c0">
        <w:r>
          <w:rPr>
            <w:rStyle w:val="Hyperlink"/>
          </w:rPr>
          <w:t xml:space="preserve">7.2</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96c51c3d98f021d42ee8c458ed421add6b4adde">
        <w:r>
          <w:rPr>
            <w:rStyle w:val="Hyperlink"/>
          </w:rPr>
          <w:t xml:space="preserve">7.3</w:t>
        </w:r>
      </w:hyperlink>
      <w:r>
        <w:t xml:space="preserve">], encompassing four clear objectives</w:t>
      </w:r>
      <w:r>
        <w:t xml:space="preserve"> </w:t>
      </w:r>
      <w:hyperlink w:anchor="chapter-8">
        <w:r>
          <w:rPr>
            <w:rStyle w:val="Hyperlink"/>
          </w:rPr>
          <w:t xml:space="preserve">Chapter 8</w:t>
        </w:r>
      </w:hyperlink>
      <w:r>
        <w:t xml:space="preserve"> </w:t>
      </w:r>
      <w:r>
        <w:t xml:space="preserve">for improving individual agency and societal power imbalances around data:</w:t>
      </w:r>
    </w:p>
    <w:p>
      <w:pPr>
        <w:numPr>
          <w:ilvl w:val="0"/>
          <w:numId w:val="1004"/>
        </w:numPr>
        <w:pStyle w:val="Compact"/>
      </w:pPr>
      <w:r>
        <w:t xml:space="preserve">data awareness &amp; understanding,</w:t>
      </w:r>
      <w:r>
        <w:t xml:space="preserve"> </w:t>
      </w:r>
    </w:p>
    <w:p>
      <w:pPr>
        <w:numPr>
          <w:ilvl w:val="0"/>
          <w:numId w:val="1004"/>
        </w:numPr>
        <w:pStyle w:val="Compact"/>
      </w:pPr>
      <w:r>
        <w:t xml:space="preserve">data useability</w:t>
      </w:r>
      <w:hyperlink w:anchor="fn10">
        <w:r>
          <w:rPr>
            <w:rStyle w:val="Hyperlink"/>
          </w:rPr>
          <w:t xml:space="preserve">10</w:t>
        </w:r>
      </w:hyperlink>
      <w:r>
        <w:t xml:space="preserve">,</w:t>
      </w:r>
      <w:r>
        <w:t xml:space="preserve"> </w:t>
      </w:r>
    </w:p>
    <w:p>
      <w:pPr>
        <w:numPr>
          <w:ilvl w:val="0"/>
          <w:numId w:val="1004"/>
        </w:numPr>
        <w:pStyle w:val="Compact"/>
      </w:pPr>
      <w:r>
        <w:t xml:space="preserve">ecosystem awareness &amp; understanding, and</w:t>
      </w:r>
      <w:r>
        <w:t xml:space="preserve"> </w:t>
      </w:r>
    </w:p>
    <w:p>
      <w:pPr>
        <w:numPr>
          <w:ilvl w:val="0"/>
          <w:numId w:val="1004"/>
        </w:numPr>
        <w:pStyle w:val="Compact"/>
      </w:pPr>
      <w:r>
        <w:t xml:space="preserve">ecosystem negotiability.</w:t>
      </w:r>
    </w:p>
    <w:p>
      <w:pPr>
        <w:pStyle w:val="FirstParagraph"/>
      </w:pPr>
      <w:r>
        <w:t xml:space="preserve">The inclusion of Chapters</w:t>
      </w:r>
      <w:r>
        <w:t xml:space="preserve"> </w:t>
      </w:r>
      <w:hyperlink w:anchor="chapter-8">
        <w:r>
          <w:rPr>
            <w:rStyle w:val="Hyperlink"/>
          </w:rPr>
          <w:t xml:space="preserve">8</w:t>
        </w:r>
      </w:hyperlink>
      <w:r>
        <w:t xml:space="preserve"> </w:t>
      </w:r>
      <w:r>
        <w:t xml:space="preserve">and</w:t>
      </w:r>
      <w:r>
        <w:t xml:space="preserve"> </w:t>
      </w:r>
      <w:hyperlink w:anchor="chapter-9">
        <w:r>
          <w:rPr>
            <w:rStyle w:val="Hyperlink"/>
          </w:rPr>
          <w:t xml:space="preserve">9</w:t>
        </w:r>
      </w:hyperlink>
      <w:r>
        <w:t xml:space="preserve"> </w:t>
      </w:r>
      <w:r>
        <w:t xml:space="preserve">took the thesis much further than a traditional HCI PhD, drawing on the author’s experiences with the practical pursuit of better Human Data Relations in four different real-world academic and industrial project settings [</w:t>
      </w:r>
      <w:hyperlink w:anchor="Xd90f00e19f5543904caf9ab2abd5b800e0613c0">
        <w:r>
          <w:rPr>
            <w:rStyle w:val="Hyperlink"/>
          </w:rPr>
          <w:t xml:space="preserve">7.2</w:t>
        </w:r>
      </w:hyperlink>
      <w:r>
        <w:t xml:space="preserve">]. This allows for additional insights, designs and implementation strategies [</w:t>
      </w:r>
      <w:hyperlink w:anchor="chapter-9">
        <w:r>
          <w:rPr>
            <w:rStyle w:val="Hyperlink"/>
          </w:rPr>
          <w:t xml:space="preserve">Chapter 9</w:t>
        </w:r>
      </w:hyperlink>
      <w:r>
        <w:t xml:space="preserve">] through which the thesis offers not just a theoretical frame for this area of research, but clear and actionable insights that could be immediately explored by researchers and innovators - an anthology of reference material, designs and strategies for HDR reform. This practical contribution of the thesis is delivered in four distinct parts:</w:t>
      </w:r>
    </w:p>
    <w:p>
      <w:pPr>
        <w:numPr>
          <w:ilvl w:val="0"/>
          <w:numId w:val="1005"/>
        </w:numPr>
        <w:pStyle w:val="Compact"/>
      </w:pPr>
      <w:r>
        <w:t xml:space="preserve">first, a</w:t>
      </w:r>
      <w:r>
        <w:t xml:space="preserve"> </w:t>
      </w:r>
      <w:r>
        <w:rPr>
          <w:bCs/>
          <w:b/>
        </w:rPr>
        <w:t xml:space="preserve">map of the landscape for improving HDR</w:t>
      </w:r>
      <w:r>
        <w:t xml:space="preserve"> </w:t>
      </w:r>
      <w:r>
        <w:t xml:space="preserve">[</w:t>
      </w:r>
      <w:hyperlink w:anchor="Xa53a7020f5014c3c46abf7c2e460206e04bf007">
        <w:r>
          <w:rPr>
            <w:rStyle w:val="Hyperlink"/>
          </w:rPr>
          <w:t xml:space="preserve">7.7</w:t>
        </w:r>
      </w:hyperlink>
      <w:r>
        <w:t xml:space="preserve">], outlining the key</w:t>
      </w:r>
      <w:r>
        <w:t xml:space="preserve"> </w:t>
      </w:r>
      <w:r>
        <w:rPr>
          <w:bCs/>
          <w:b/>
        </w:rPr>
        <w:t xml:space="preserve">obstacles</w:t>
      </w:r>
      <w:r>
        <w:t xml:space="preserve"> </w:t>
      </w:r>
      <w:r>
        <w:t xml:space="preserve">that are likely be faced in pursuing HDR objectives [</w:t>
      </w:r>
      <w:hyperlink w:anchor="chapter-8">
        <w:r>
          <w:rPr>
            <w:rStyle w:val="Hyperlink"/>
          </w:rPr>
          <w:t xml:space="preserve">Chapter 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5"/>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chapter-9">
        <w:r>
          <w:rPr>
            <w:rStyle w:val="Hyperlink"/>
          </w:rPr>
          <w:t xml:space="preserve">Chapter 9</w:t>
        </w:r>
      </w:hyperlink>
      <w:r>
        <w:t xml:space="preserve">];</w:t>
      </w:r>
    </w:p>
    <w:p>
      <w:pPr>
        <w:numPr>
          <w:ilvl w:val="0"/>
          <w:numId w:val="1005"/>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w:t>
      </w:r>
      <w:r>
        <w:t xml:space="preserve"> </w:t>
      </w:r>
      <w:hyperlink w:anchor="inset-boxes">
        <w:r>
          <w:rPr>
            <w:rStyle w:val="Hyperlink"/>
          </w:rPr>
          <w:t xml:space="preserve">Insights</w:t>
        </w:r>
      </w:hyperlink>
      <w:r>
        <w:t xml:space="preserve">; and</w:t>
      </w:r>
    </w:p>
    <w:p>
      <w:pPr>
        <w:numPr>
          <w:ilvl w:val="0"/>
          <w:numId w:val="1005"/>
        </w:numPr>
        <w:pStyle w:val="Compact"/>
      </w:pPr>
      <w:r>
        <w:t xml:space="preserve">fourth,</w:t>
      </w:r>
      <w:r>
        <w:t xml:space="preserve"> </w:t>
      </w:r>
      <w:r>
        <w:rPr>
          <w:bCs/>
          <w:b/>
        </w:rPr>
        <w:t xml:space="preserve">an HDR glossary</w:t>
      </w:r>
      <w:r>
        <w:t xml:space="preserve"> </w:t>
      </w:r>
      <w:r>
        <w:t xml:space="preserve">and index, located</w:t>
      </w:r>
      <w:r>
        <w:t xml:space="preserve"> </w:t>
      </w:r>
      <w:hyperlink w:anchor="hdr-glossary">
        <w:r>
          <w:rPr>
            <w:rStyle w:val="Hyperlink"/>
          </w:rPr>
          <w:t xml:space="preserve">after the Appendices</w:t>
        </w:r>
      </w:hyperlink>
      <w:r>
        <w:t xml:space="preserve">, explaining terms and nomenclature this thesis makes use of, and making the novel findings, insights, obstacles, approaches and opportunities of this thesis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this body of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in Part Two, this work moves beyond conducting research to understand human personal data needs, and</w:t>
      </w:r>
      <w:r>
        <w:t xml:space="preserve"> </w:t>
      </w:r>
      <w:r>
        <w:rPr>
          <w:bCs/>
          <w:b/>
        </w:rPr>
        <w:t xml:space="preserve">sets the scene for an progressive and activist agenda</w:t>
      </w:r>
      <w:r>
        <w:t xml:space="preserve"> </w:t>
      </w:r>
      <w:r>
        <w:t xml:space="preserve">to take action in service of those needs, with the objective to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HDR reformers might fulfil their role as a recursive public [</w:t>
      </w:r>
      <w:hyperlink w:anchor="X45e32c46f7e4c62bee31afa96b4897ccff22bdb">
        <w:r>
          <w:rPr>
            <w:rStyle w:val="Hyperlink"/>
          </w:rPr>
          <w:t xml:space="preserve">7.8</w:t>
        </w:r>
      </w:hyperlink>
      <w:r>
        <w:t xml:space="preserve">]. Armed with these insights, practitioners of this new field of HDR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 across society—in short, a better world for us all.</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2022-08-23T18:10:21Z</dcterms:created>
  <dcterms:modified xsi:type="dcterms:W3CDTF">2022-08-23T18:10:21Z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