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A note on the word itself: 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so it is more correct to write</w:t>
      </w:r>
      <w:r>
        <w:t xml:space="preserve"> </w:t>
      </w:r>
      <w:r>
        <w:t xml:space="preserve">‘</w:t>
      </w:r>
      <w:r>
        <w:t xml:space="preserve">the data are correct</w:t>
      </w:r>
      <w:r>
        <w:t xml:space="preserve">’</w:t>
      </w:r>
      <w:r>
        <w:t xml:space="preserve">. This usage, however,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sometimes used interchangeably. Ackoff presented a model for distinguishing data, information, knowledge, understanding/intelligence and wisdom</w:t>
      </w:r>
      <w:r>
        <w:t xml:space="preserve"> </w:t>
      </w:r>
      <w:r>
        <w:t xml:space="preserve">(</w:t>
      </w:r>
      <w:hyperlink w:anchor="ref-ackoff1989">
        <w:r>
          <w:rPr>
            <w:rStyle w:val="Hyperlink"/>
          </w:rPr>
          <w:t xml:space="preserve">Ackoff, 1989</w:t>
        </w:r>
      </w:hyperlink>
      <w:r>
        <w:t xml:space="preserve">)</w:t>
      </w:r>
      <w:r>
        <w:t xml:space="preserve">.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concept that will be referred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p>
    <w:p>
      <w:pPr>
        <w:pStyle w:val="FirstParagraph"/>
      </w:pPr>
      <w:r>
        <w:t xml:space="preserve">The exact origin of this definition is unknown</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Data, therefore,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w:t>
      </w:r>
      <w:r>
        <w:t xml:space="preserve"> </w:t>
      </w:r>
      <w:r>
        <w:rPr>
          <w:iCs/>
          <w:i/>
        </w:rPr>
        <w:t xml:space="preserve">any</w:t>
      </w:r>
      <w:r>
        <w:t xml:space="preserve"> </w:t>
      </w:r>
      <w:r>
        <w:t xml:space="preserve">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day–as you shop, socialise, or browse online; as you listen to music or watch TV; as you interact with governments or healthcare services; as you travel, and in many more situations.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relationships, rising from around 45 in 1997 to around 250 in 2020</w:t>
      </w:r>
      <w:r>
        <w:t xml:space="preserve"> </w:t>
      </w:r>
      <w:r>
        <w:t xml:space="preserve">(</w:t>
      </w:r>
      <w:hyperlink w:anchor="ref-henderson2020">
        <w:r>
          <w:rPr>
            <w:rStyle w:val="Hyperlink"/>
          </w:rPr>
          <w:t xml:space="preserve">Henderson and B-s Working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power over data from organisations toward citizens.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w:t>
      </w:r>
      <w:r>
        <w:t xml:space="preserve"> </w:t>
      </w:r>
      <w:r>
        <w:rPr>
          <w:iCs/>
          <w:i/>
        </w:rPr>
        <w:t xml:space="preserve">Associative</w:t>
      </w:r>
      <w:r>
        <w:t xml:space="preserve"> </w:t>
      </w:r>
      <w:r>
        <w:t xml:space="preserve">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 finding trends and patterns,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These capabilities exist in some data interfaces today. However,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described the establishment of the data-centric world in which we live today, the imbalance this creates between individuals and data holders, and the nascent attempts by governments to redress that imbalance through the creation of new laws. It has also shown where research thinking has exceeded the practical data capabilities we have today—identifying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model human thought</w:t>
      </w:r>
      <w:r>
        <w:t xml:space="preserve"> </w:t>
      </w:r>
      <w:r>
        <w:t xml:space="preserve">(</w:t>
      </w:r>
      <w:hyperlink w:anchor="ref-simon1958">
        <w:r>
          <w:rPr>
            <w:rStyle w:val="Hyperlink"/>
          </w:rPr>
          <w:t xml:space="preserve">Simon and Newell, 1958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 and</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pStyle w:val="FirstParagraph"/>
      </w:pPr>
      <w:r>
        <w:t xml:space="preserve">Collectively, these constituted a recognition that the computer could be considered as tool that anyone could use for their own purposes. By the end of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1970s and 1980s, it seemed that this power had been placed into the hands of ordinary people:</w:t>
      </w:r>
    </w:p>
    <w:p>
      <w:pPr>
        <w:pStyle w:val="BlockText"/>
      </w:pPr>
      <w:r>
        <w:rPr>
          <w:iCs/>
          <w:i/>
        </w:rPr>
        <w:t xml:space="preserve">“</w:t>
      </w:r>
      <w:r>
        <w:rPr>
          <w:iCs/>
          <w:i/>
        </w:rPr>
        <w:t xml:space="preserve">Having reduced your affairs to software, software can take care of them for you.</w:t>
      </w:r>
      <w:r>
        <w:rPr>
          <w:iCs/>
          <w:i/>
        </w:rP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folksonomies</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(a.k.a.</w:t>
      </w:r>
      <w:r>
        <w:t xml:space="preserve"> </w:t>
      </w:r>
      <w:r>
        <w:t xml:space="preserve">‘</w:t>
      </w:r>
      <w:r>
        <w:t xml:space="preserve">The Semantic Desktop</w:t>
      </w:r>
      <w:r>
        <w:t xml:space="preserve">’</w:t>
      </w:r>
      <w:r>
        <w:t xml:space="preserve">) take the idea of metadata even deeper and focus on what the information</w:t>
      </w:r>
      <w:r>
        <w:t xml:space="preserve"> </w:t>
      </w:r>
      <w:r>
        <w:rPr>
          <w:iCs/>
          <w:i/>
        </w:rPr>
        <w:t xml:space="preserve">means</w:t>
      </w:r>
      <w:r>
        <w:t xml:space="preserve">.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about one’s daily activity as possible, so that the maximum possible context, detail and understanding can be gained.</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This included not only physical metrics such as step counts, heart rates or calories burned, but almost any aspect of one’s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It also has a non-profit organisation aiming to</w:t>
      </w:r>
      <w:r>
        <w:t xml:space="preserve"> </w:t>
      </w:r>
      <w:r>
        <w:t xml:space="preserve">‘</w:t>
      </w:r>
      <w:r>
        <w:t xml:space="preserve">advance discovery through increasing access to data</w:t>
      </w:r>
      <w: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It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In 2011, the UK Supreme Court declared that Internet access was an</w:t>
      </w:r>
      <w:r>
        <w:t xml:space="preserve"> </w:t>
      </w:r>
      <w:r>
        <w:t xml:space="preserve">‘</w:t>
      </w:r>
      <w:r>
        <w:t xml:space="preserve">essential part of everyday living</w:t>
      </w:r>
      <w:r>
        <w:t xml:space="preserve">’</w:t>
      </w:r>
      <w:r>
        <w:t xml:space="preserve">.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w:t>
      </w:r>
      <w:r>
        <w:t xml:space="preserve"> </w:t>
      </w:r>
      <w:r>
        <w:t xml:space="preserve">‘</w:t>
      </w:r>
      <w:r>
        <w:t xml:space="preserve">00s and throughout the 2010s data-centric companies disrupted almost every industry, for example: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 ’the driving force for value creation</w:t>
      </w:r>
      <w: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driving both information work and many social activities to move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By 2006, our personal information was fragmented and a unified interface was called for:</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With today’s silo-ed Internet and our myriad devices and apps, thishas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Bowyer (</w:t>
      </w:r>
      <w:hyperlink w:anchor="ref-bowyer2018freedat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This reminds us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hyperlink w:anchor="X0d5f5f3d469570bf8d9559b0daabada2e4fadfc">
        <w:r>
          <w:rPr>
            <w:rStyle w:val="Hyperlink"/>
          </w:rPr>
          <w:t xml:space="preserve">2.2</w:t>
        </w:r>
      </w:hyperlink>
      <w:r>
        <w:t xml:space="preserve"> </w:t>
      </w:r>
      <w:r>
        <w:t xml:space="preserve">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Now that data is almost anything, this model no longer fits.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drive to capture users’ attention became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da596d45f9d6516efc24f110a7c87475a984016">
        <w:r>
          <w:rPr>
            <w:rStyle w:val="Hyperlink"/>
          </w:rPr>
          <w:t xml:space="preserve">2.2.5</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are actively researched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t>
      </w:r>
      <w:r>
        <w:t xml:space="preserve">(which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t>
      </w:r>
      <w:r>
        <w:t xml:space="preserve">(which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In CRM,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VRM vision (expanded in</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t xml:space="preserve">,</w:t>
      </w:r>
      <w:r>
        <w:t xml:space="preserve"> </w:t>
      </w:r>
      <w:r>
        <w:rPr>
          <w:iCs/>
          <w:i/>
        </w:rPr>
        <w:t xml:space="preserve">Personal Data Vault</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t xml:space="preserve">‘</w:t>
      </w:r>
      <w:r>
        <w:t xml:space="preserve">pull-centric computing</w:t>
      </w:r>
      <w: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describes the potential for individuals to have their own</w:t>
      </w:r>
      <w:r>
        <w:t xml:space="preserve"> </w:t>
      </w:r>
      <w:r>
        <w:rPr>
          <w:iCs/>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the individual, following a clear set of principles and legally binding contracts</w:t>
      </w:r>
      <w:r>
        <w:t xml:space="preserve">’</w:t>
      </w:r>
      <w:r>
        <w:t xml:space="preserve">. They describe the PDS as being the technical means to place the individual at the centre of that ecosystem: the PDS provider would be</w:t>
      </w:r>
      <w:r>
        <w:t xml:space="preserve"> </w:t>
      </w:r>
      <w:r>
        <w:t xml:space="preserve">‘</w:t>
      </w:r>
      <w:r>
        <w:t xml:space="preserve">an intermediary collecting user data and giving third parties access to this data in line with individual users</w:t>
      </w:r>
      <w:r>
        <w:t xml:space="preserve">’</w:t>
      </w:r>
      <w:r>
        <w:t xml:space="preserve"> </w:t>
      </w:r>
      <w:r>
        <w:t xml:space="preserve">specifications’_</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that helps individuals become</w:t>
      </w:r>
      <w:r>
        <w:t xml:space="preserve"> </w:t>
      </w:r>
      <w:r>
        <w:t xml:space="preserve">‘</w:t>
      </w:r>
      <w:r>
        <w:t xml:space="preserve">information managers at the epicentre of a new ecosystem of PIM services</w:t>
      </w:r>
      <w:r>
        <w:t xml:space="preserve">’</w:t>
      </w:r>
      <w:r>
        <w:t xml:space="preserve">. PDSes, it asserts,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model from traditional PIM systems–it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simple terms,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positions itself similarly to</w:t>
      </w:r>
      <w:r>
        <w:t xml:space="preserve"> </w:t>
      </w:r>
      <w:r>
        <w:rPr>
          <w:iCs/>
          <w:i/>
        </w:rPr>
        <w:t xml:space="preserve">digi.me</w:t>
      </w:r>
      <w:r>
        <w:t xml:space="preserve">.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Swiss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w:t>
      </w:r>
      <w:r>
        <w:t xml:space="preserve"> </w:t>
      </w:r>
      <w:hyperlink w:anchor="chapter-3">
        <w:r>
          <w:rPr>
            <w:rStyle w:val="Hyperlink"/>
          </w:rPr>
          <w:t xml:space="preserve">Chapter 3</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 (or</w:t>
      </w:r>
      <w:r>
        <w:t xml:space="preserve"> </w:t>
      </w:r>
      <w:r>
        <w:rPr>
          <w:iCs/>
          <w:i/>
        </w:rPr>
        <w:t xml:space="preserve">not</w:t>
      </w:r>
      <w:r>
        <w:t xml:space="preserve"> </w:t>
      </w:r>
      <w:r>
        <w:t xml:space="preserve">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limit exploration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also discovers what people want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w:t>
      </w:r>
      <w:r>
        <w:t xml:space="preserve"> </w:t>
      </w:r>
      <w:hyperlink w:anchor="chapter-3">
        <w:r>
          <w:rPr>
            <w:rStyle w:val="Hyperlink"/>
          </w:rPr>
          <w:t xml:space="preserve">Chapter 3</w:t>
        </w:r>
      </w:hyperlink>
      <w:r>
        <w:t xml:space="preserve">), to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want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B-s Working Group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2022-08-25T13:27:27Z</dcterms:created>
  <dcterms:modified xsi:type="dcterms:W3CDTF">2022-08-25T13:27:27Z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