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9" w:name="chapter-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Literature Review</w:t>
      </w:r>
    </w:p>
    <w:p>
      <w:pPr>
        <w:pStyle w:val="FirstParagraph"/>
      </w:pPr>
      <w:r>
        <w:t xml:space="preserve">[Target 8,000 words]</w:t>
      </w:r>
    </w:p>
    <w:bookmarkStart w:id="25" w:name="data-centris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Data-Centrism</w:t>
      </w:r>
    </w:p>
    <w:p>
      <w:pPr>
        <w:pStyle w:val="FirstParagraph"/>
      </w:pPr>
      <w:r>
        <w:t xml:space="preserve">[Target 2,500 words]</w:t>
      </w:r>
    </w:p>
    <w:bookmarkStart w:id="20" w:name="what-is-data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What is Data?</w:t>
      </w:r>
    </w:p>
    <w:p>
      <w:pPr>
        <w:pStyle w:val="FirstParagraph"/>
      </w:pPr>
      <w:r>
        <w:t xml:space="preserve">[Target 500 words]</w:t>
      </w:r>
    </w:p>
    <w:bookmarkEnd w:id="20"/>
    <w:bookmarkStart w:id="21" w:name="the-rise-of-data-centrism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The Rise of Data-centrism</w:t>
      </w:r>
    </w:p>
    <w:p>
      <w:pPr>
        <w:pStyle w:val="FirstParagraph"/>
      </w:pPr>
      <w:r>
        <w:t xml:space="preserve">[Target 650 words]</w:t>
      </w:r>
    </w:p>
    <w:bookmarkEnd w:id="21"/>
    <w:bookmarkStart w:id="22" w:name="data-protection-gdpr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Data Protection &amp; GDPR</w:t>
      </w:r>
    </w:p>
    <w:p>
      <w:pPr>
        <w:pStyle w:val="FirstParagraph"/>
      </w:pPr>
      <w:r>
        <w:t xml:space="preserve">[Target 550 words]</w:t>
      </w:r>
    </w:p>
    <w:bookmarkEnd w:id="22"/>
    <w:bookmarkStart w:id="23" w:name="the-fight-for-effective-data-access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The Fight for Effective Data Access</w:t>
      </w:r>
    </w:p>
    <w:p>
      <w:pPr>
        <w:pStyle w:val="FirstParagraph"/>
      </w:pPr>
      <w:r>
        <w:t xml:space="preserve">[Target 400 words]</w:t>
      </w:r>
    </w:p>
    <w:bookmarkEnd w:id="23"/>
    <w:bookmarkStart w:id="24" w:name="Xe79494fa817a295a217efe5a30258ce4ba2f3b5"/>
    <w:p>
      <w:pPr>
        <w:pStyle w:val="Heading3"/>
      </w:pPr>
      <w:r>
        <w:rPr>
          <w:rStyle w:val="SectionNumber"/>
        </w:rPr>
        <w:t xml:space="preserve">1.1.5</w:t>
      </w:r>
      <w:r>
        <w:tab/>
      </w:r>
      <w:r>
        <w:t xml:space="preserve">Research Gap: The Human Experience of Data</w:t>
      </w:r>
    </w:p>
    <w:p>
      <w:pPr>
        <w:pStyle w:val="FirstParagraph"/>
      </w:pPr>
      <w:r>
        <w:t xml:space="preserve">[Target 400 words]</w:t>
      </w:r>
    </w:p>
    <w:bookmarkEnd w:id="24"/>
    <w:bookmarkEnd w:id="25"/>
    <w:bookmarkStart w:id="31" w:name="personal-data-interaction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Personal Data Interaction</w:t>
      </w:r>
    </w:p>
    <w:p>
      <w:pPr>
        <w:pStyle w:val="FirstParagraph"/>
      </w:pPr>
      <w:r>
        <w:t xml:space="preserve">[Target 2,500 words]</w:t>
      </w:r>
    </w:p>
    <w:bookmarkStart w:id="26" w:name="X8cd2f9ea2bec0812b8800fa9806895e56f01a3f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Computers as General Purpose Information Tools</w:t>
      </w:r>
    </w:p>
    <w:p>
      <w:pPr>
        <w:pStyle w:val="FirstParagraph"/>
      </w:pPr>
      <w:r>
        <w:t xml:space="preserve">[Target 300 words]</w:t>
      </w:r>
    </w:p>
    <w:bookmarkEnd w:id="26"/>
    <w:bookmarkStart w:id="27" w:name="personal-information-management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Personal Information Management</w:t>
      </w:r>
    </w:p>
    <w:p>
      <w:pPr>
        <w:pStyle w:val="FirstParagraph"/>
      </w:pPr>
      <w:r>
        <w:t xml:space="preserve">[Target 600 words]</w:t>
      </w:r>
    </w:p>
    <w:bookmarkEnd w:id="27"/>
    <w:bookmarkStart w:id="28" w:name="personal-informatics-the-quantified-self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Personal Informatics &amp; The Quantified Self</w:t>
      </w:r>
    </w:p>
    <w:p>
      <w:pPr>
        <w:pStyle w:val="FirstParagraph"/>
      </w:pPr>
      <w:r>
        <w:t xml:space="preserve">[Target 650 words]</w:t>
      </w:r>
    </w:p>
    <w:bookmarkEnd w:id="28"/>
    <w:bookmarkStart w:id="29" w:name="the-emergence-of-complex-digital-lives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The Emergence of Complex Digital Lives</w:t>
      </w:r>
    </w:p>
    <w:p>
      <w:pPr>
        <w:pStyle w:val="FirstParagraph"/>
      </w:pPr>
      <w:r>
        <w:t xml:space="preserve">[Target 600 words]</w:t>
      </w:r>
    </w:p>
    <w:bookmarkEnd w:id="29"/>
    <w:bookmarkStart w:id="30" w:name="X80515e9ff9838b625c38d275c4e45f24a689c31"/>
    <w:p>
      <w:pPr>
        <w:pStyle w:val="Heading3"/>
      </w:pPr>
      <w:r>
        <w:rPr>
          <w:rStyle w:val="SectionNumber"/>
        </w:rPr>
        <w:t xml:space="preserve">1.2.5</w:t>
      </w:r>
      <w:r>
        <w:tab/>
      </w:r>
      <w:r>
        <w:t xml:space="preserve">Research Gap: The Data Beyond The Individual</w:t>
      </w:r>
    </w:p>
    <w:p>
      <w:pPr>
        <w:pStyle w:val="FirstParagraph"/>
      </w:pPr>
      <w:r>
        <w:t xml:space="preserve">[Target 350 words]</w:t>
      </w:r>
    </w:p>
    <w:bookmarkEnd w:id="30"/>
    <w:bookmarkEnd w:id="31"/>
    <w:bookmarkStart w:id="37" w:name="human-centric-computing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Human-Centric Computing</w:t>
      </w:r>
    </w:p>
    <w:p>
      <w:pPr>
        <w:pStyle w:val="FirstParagraph"/>
      </w:pPr>
      <w:r>
        <w:t xml:space="preserve">[Target 2,500 words]</w:t>
      </w:r>
    </w:p>
    <w:bookmarkStart w:id="32" w:name="human-computer-interaction-foundations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Human Computer Interaction Foundations</w:t>
      </w:r>
    </w:p>
    <w:p>
      <w:pPr>
        <w:pStyle w:val="FirstParagraph"/>
      </w:pPr>
      <w:r>
        <w:t xml:space="preserve">[Target 400 words]</w:t>
      </w:r>
    </w:p>
    <w:bookmarkEnd w:id="32"/>
    <w:bookmarkStart w:id="33" w:name="X661f7a4a9c26df29c350fc69614fb4d8bfd78c1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Data Transcendence &amp; Human Data Interaction</w:t>
      </w:r>
    </w:p>
    <w:p>
      <w:pPr>
        <w:pStyle w:val="FirstParagraph"/>
      </w:pPr>
      <w:r>
        <w:t xml:space="preserve">[Target 600 words]</w:t>
      </w:r>
    </w:p>
    <w:bookmarkEnd w:id="33"/>
    <w:bookmarkStart w:id="34" w:name="people-in-context-human-centred-design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People In Context: Human-Centred Design</w:t>
      </w:r>
    </w:p>
    <w:p>
      <w:pPr>
        <w:pStyle w:val="FirstParagraph"/>
      </w:pPr>
      <w:r>
        <w:t xml:space="preserve">[Target 600 words]</w:t>
      </w:r>
    </w:p>
    <w:bookmarkEnd w:id="34"/>
    <w:bookmarkStart w:id="35" w:name="the-personal-data-economy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The Personal Data Economy</w:t>
      </w:r>
    </w:p>
    <w:p>
      <w:pPr>
        <w:pStyle w:val="FirstParagraph"/>
      </w:pPr>
      <w:r>
        <w:t xml:space="preserve">[Target 600 words]</w:t>
      </w:r>
    </w:p>
    <w:bookmarkEnd w:id="35"/>
    <w:bookmarkStart w:id="36" w:name="X166104d82b80a61de196aa4e0ff56a7c4007e6d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Defining the Research Agenda for Human-Centricity in Practice</w:t>
      </w:r>
    </w:p>
    <w:p>
      <w:pPr>
        <w:pStyle w:val="FirstParagraph"/>
      </w:pPr>
      <w:r>
        <w:t xml:space="preserve">[Target 350 words]</w:t>
      </w:r>
    </w:p>
    <w:bookmarkEnd w:id="36"/>
    <w:bookmarkEnd w:id="37"/>
    <w:bookmarkStart w:id="38" w:name="research-gap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Research Gap</w:t>
      </w:r>
    </w:p>
    <w:p>
      <w:pPr>
        <w:pStyle w:val="FirstParagraph"/>
      </w:pPr>
      <w:r>
        <w:t xml:space="preserve">[Target 500 words]</w:t>
      </w:r>
    </w:p>
    <w:bookmarkEnd w:id="38"/>
    <w:bookmarkEnd w:id="39"/>
    <w:bookmarkStart w:id="40" w:name="bibliography"/>
    <w:p>
      <w:pPr>
        <w:pStyle w:val="Heading1"/>
      </w:pPr>
      <w:r>
        <w:t xml:space="preserve">Bibliography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2021-03-02T16:11:40Z</dcterms:created>
  <dcterms:modified xsi:type="dcterms:W3CDTF">2021-03-02T16:11:40Z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