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three 2 hour participatory co-design workshops involving local authority support workers and parents and children from supported families that had recently participated in Early Help programmes.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4.2[CHECK],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[REF], to improve the lives of children, especially those suffering the most .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 Cornford et al 2013], later expanding to include their families [REF Malomo and Sena, 2017].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[REF Cornford et al 2013, Crossley XX]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t xml:space="preserve">“</w:t>
      </w:r>
      <w:r>
        <w:t xml:space="preserve">turned around</w:t>
      </w:r>
      <w: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 (Bate and Bellis, 2018).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 (REF Cornford et al., 2013, Neves and Casimira 2018).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 (REF). This is then played out in a policy context where data-driven approaches to family care are encouraged through policy and reports about improving quality of the sector (Bate and Bellis, 2018; Department for Education, 2018; Field, 2010; OFSTED, 2015).</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t xml:space="preserve">“</w:t>
      </w:r>
      <w:r>
        <w:t xml:space="preserve">IT systems are most valuable when practitioners use the shared [between agencies] data to make more informed decisions about how to support and safeguard a child.</w:t>
      </w:r>
      <w:r>
        <w:t xml:space="preserve">”</w:t>
      </w:r>
      <w:r>
        <w:t xml:space="preserve"> </w:t>
      </w:r>
      <w:r>
        <w:t xml:space="preserve">(Department for Education, 2018).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 (Copeland, 2015) 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 (Harbird, 2006))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 (Malomo and Sena, 2017). Different operating policies, consent agreements, privacy regulations, technical access levels, system functions and staff competences result in different interpretations and limitations about what data can be shared (Malomo and Sena, 2017). Data should flow freely through the system in the service of individual care, but it does not, the public sector has a closed and fragmented ecosystem (Pollock, 2011).</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 [REF] 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(Neff, 2013; White and Wastell,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 (REF Cornford) 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 (Gitelman, 2013; Neff, 2013), and collecting data within the context of the delivery of a specific service or intervention rather than as an objective collection of facts undermines local professionals’ discretion and organisational agility to deliver the care that is needed ((Cornford et al., 2013); Lowe and Wilson 2018). This means that rather than improving the situation of a family the collection and use of data may be instead reinforcing the existing asymmetries of power that exist between data-holding organisations, the practitioners and the supported families (Cornford et al., 2013).</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t xml:space="preserve">“</w:t>
      </w:r>
      <w:r>
        <w:t xml:space="preserve">things-to-think-with</w:t>
      </w:r>
      <w: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r>
        <w:t xml:space="preserve">Wilson, Wilson and Martin (</w:t>
      </w:r>
      <w:hyperlink w:anchor="ref-wilson2020">
        <w:r>
          <w:rPr>
            <w:rStyle w:val="Hyperlink"/>
          </w:rPr>
          <w:t xml:space="preserve">2020</w:t>
        </w:r>
      </w:hyperlink>
      <w:r>
        <w:t xml:space="preserve">)</w:t>
      </w:r>
      <w:r>
        <w:t xml:space="preserve">) 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 framing, the SILVER project gave priority to the support worker perspective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and wanted to explore whether it might be possible to satisfy the needs of both parties.</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formed the basis for the main research engagement within this study, so that we would not only exploring RQ1 and especially RQ2 in the context of current practice, but also ask participant to imagine a different set of practices that might potentially serve their needs better and in doing so, assess whether the proposed model of shared data interaction might address both groups’ needs and whether or not it would be perceived to benefit the early help support relationship as a whole. Regardless of whether this particular model was a preferred solution, such an exploration would put participants in a speculative, co-design mindset that would elicit deeper insights about how civic data</w:t>
      </w:r>
      <w:r>
        <w:t xml:space="preserve"> </w:t>
      </w:r>
      <w:r>
        <w:rPr>
          <w:i/>
        </w:rPr>
        <w:t xml:space="preserve">should</w:t>
      </w:r>
      <w:r>
        <w:t xml:space="preserve"> </w:t>
      </w:r>
      <w:r>
        <w:t xml:space="preserve">be used, not just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47"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analysed through four cycles of analysis using the Miles and Huberman approach (</w:t>
      </w:r>
      <w:r>
        <w:t xml:space="preserve">Huberman and Miles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6"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Review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SQ76]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6"/>
    <w:bookmarkStart w:id="41"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7"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t xml:space="preserve">‘</w:t>
      </w:r>
      <w:r>
        <w:t xml:space="preserve">effective data use for everyone</w:t>
      </w:r>
      <w: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7"/>
    <w:bookmarkStart w:id="38"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t xml:space="preserve">“</w:t>
      </w:r>
      <w:r>
        <w:t xml:space="preserve">a way in</w:t>
      </w:r>
      <w: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8"/>
    <w:bookmarkStart w:id="39"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[FQnn].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39"/>
    <w:bookmarkStart w:id="40"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End w:id="41"/>
    <w:bookmarkStart w:id="44"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2"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believe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SQ77]. The solution to this dilemma is unclear, but transparency about what is in the data would seem to be a critical ingredient (see 4.3.4).</w:t>
      </w:r>
    </w:p>
    <w:bookmarkEnd w:id="42"/>
    <w:bookmarkStart w:id="43" w:name="review-data-together"/>
    <w:p>
      <w:pPr>
        <w:pStyle w:val="Heading4"/>
      </w:pPr>
      <w:r>
        <w:rPr>
          <w:rStyle w:val="SectionNumber"/>
        </w:rPr>
        <w:t xml:space="preserve">1.3.3.2</w:t>
      </w:r>
      <w:r>
        <w:tab/>
      </w:r>
      <w:r>
        <w:t xml:space="preserve">Review Data Together</w:t>
      </w:r>
    </w:p>
    <w:p>
      <w:pPr>
        <w:numPr>
          <w:ilvl w:val="0"/>
          <w:numId w:val="1006"/>
        </w:numPr>
        <w:pStyle w:val="Compact"/>
      </w:pPr>
      <w:r>
        <w:t xml:space="preserve">Review data together</w:t>
      </w:r>
    </w:p>
    <w:p>
      <w:pPr>
        <w:numPr>
          <w:ilvl w:val="0"/>
          <w:numId w:val="1006"/>
        </w:numPr>
        <w:pStyle w:val="Compact"/>
      </w:pPr>
      <w:r>
        <w:t xml:space="preserve">Families can get their data changed/corrected.</w:t>
      </w:r>
    </w:p>
    <w:p>
      <w:pPr>
        <w:numPr>
          <w:ilvl w:val="0"/>
          <w:numId w:val="1006"/>
        </w:numPr>
        <w:pStyle w:val="Compact"/>
      </w:pPr>
      <w:r>
        <w:t xml:space="preserve">Record data visibly and get family sign-off.</w:t>
      </w:r>
    </w:p>
    <w:p>
      <w:pPr>
        <w:numPr>
          <w:ilvl w:val="0"/>
          <w:numId w:val="1006"/>
        </w:numPr>
        <w:pStyle w:val="Compact"/>
      </w:pPr>
      <w:r>
        <w:t xml:space="preserve">Workers and families checking data together (for accuracy).</w:t>
      </w:r>
    </w:p>
    <w:p>
      <w:pPr>
        <w:pStyle w:val="FirstParagraph"/>
      </w:pPr>
      <w:r>
        <w:t xml:space="preserve">Another option arose at the intersection of relying on dialogue and having families contribute data, suggesting workers visibly recording data in front of families on a tablet or 2-in-1digital device and then asking them to</w:t>
      </w:r>
      <w:r>
        <w:t xml:space="preserve"> </w:t>
      </w:r>
      <w:r>
        <w:rPr>
          <w:i/>
        </w:rPr>
        <w:t xml:space="preserve">‘</w:t>
      </w:r>
      <w:r>
        <w:rPr>
          <w:i/>
        </w:rPr>
        <w:t xml:space="preserve">approve</w:t>
      </w:r>
      <w:r>
        <w:rPr>
          <w:i/>
        </w:rPr>
        <w:t xml:space="preserve">’</w:t>
      </w:r>
      <w:r>
        <w:t xml:space="preserve"> </w:t>
      </w:r>
      <w:r>
        <w:t xml:space="preserve">the accuracy [FQ12, SQ67]. Participants believed this would help to build trust between the support workers and families.</w:t>
      </w:r>
    </w:p>
    <w:p>
      <w:pPr>
        <w:pStyle w:val="BodyText"/>
      </w:pPr>
      <w:r>
        <w:t xml:space="preserve">Families imagined going beyond verbal explanations and being able to visibly review records that their support workers were creating and signing them off [FQ3]. If a family begins to feel powerless, they may disengage [SQ35]. Even minor involvement, such as signing off approval of data records [FQ12], could make the support relationship more productive.</w:t>
      </w:r>
    </w:p>
    <w:p>
      <w:pPr>
        <w:numPr>
          <w:ilvl w:val="0"/>
          <w:numId w:val="1007"/>
        </w:numPr>
        <w:pStyle w:val="Compact"/>
      </w:pPr>
      <w:r>
        <w:t xml:space="preserve">Support changing lives</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etc… Inaction will cause data to become out-of-date, as it is inherently static – data does not change, but people do [SQ61, SQ63]. Accordingly, it is not just the content of the data, but the family’s consent over what happens to that data that needs to be reviewed regularly:</w:t>
      </w:r>
    </w:p>
    <w:p>
      <w:pPr>
        <w:pStyle w:val="BodyText"/>
      </w:pPr>
      <w:r>
        <w:t xml:space="preserve">Worker:</w:t>
      </w:r>
      <w:r>
        <w:t xml:space="preserve"> </w:t>
      </w:r>
      <w:r>
        <w:rPr>
          <w:i/>
        </w:rPr>
        <w:t xml:space="preserve">“</w:t>
      </w:r>
      <w:r>
        <w:rPr>
          <w:i/>
        </w:rPr>
        <w:t xml:space="preserve">If [consent] has to be all or nothing I can’t see that is ever going to work […] most people will have something they don’t want anyone else to know.</w:t>
      </w:r>
      <w:r>
        <w:rPr>
          <w:i/>
        </w:rPr>
        <w:t xml:space="preserve">”</w:t>
      </w:r>
      <w:r>
        <w:t xml:space="preserve"> </w:t>
      </w:r>
      <w:r>
        <w:t xml:space="preserve">Researcher:</w:t>
      </w:r>
      <w:r>
        <w:t xml:space="preserve"> </w:t>
      </w:r>
      <w:r>
        <w:rPr>
          <w:i/>
        </w:rPr>
        <w:t xml:space="preserve">“</w:t>
      </w:r>
      <w:r>
        <w:rPr>
          <w:i/>
        </w:rPr>
        <w:t xml:space="preserve">So, you might agree [to data sharing] as a family now but after a break-up, what happens?</w:t>
      </w:r>
      <w:r>
        <w:rPr>
          <w:i/>
        </w:rPr>
        <w:t xml:space="preserve">”</w:t>
      </w:r>
      <w:r>
        <w:t xml:space="preserve"> </w:t>
      </w:r>
      <w:r>
        <w:t xml:space="preserve">Worker:</w:t>
      </w:r>
      <w:r>
        <w:t xml:space="preserve"> </w:t>
      </w:r>
      <w:r>
        <w:rPr>
          <w:i/>
        </w:rPr>
        <w:t xml:space="preserve">“</w:t>
      </w:r>
      <w:r>
        <w:rPr>
          <w:i/>
        </w:rPr>
        <w:t xml:space="preserve">Yes, or the kids reach a certain age and they might say,</w:t>
      </w:r>
      <w:r>
        <w:rPr>
          <w:i/>
        </w:rPr>
        <w:t xml:space="preserve"> </w:t>
      </w:r>
      <w:r>
        <w:rPr>
          <w:i/>
        </w:rPr>
        <w:t xml:space="preserve">‘</w:t>
      </w:r>
      <w:r>
        <w:rPr>
          <w:i/>
        </w:rPr>
        <w:t xml:space="preserve">Hang on a minute, I don’t want you looking at all my medical records.</w:t>
      </w:r>
      <w:r>
        <w:rPr>
          <w:i/>
        </w:rPr>
        <w:t xml:space="preserve">’</w:t>
      </w:r>
      <w:r>
        <w:rPr>
          <w:i/>
        </w:rPr>
        <w:t xml:space="preserve">”</w:t>
      </w:r>
      <w:r>
        <w:t xml:space="preserve"> </w:t>
      </w:r>
      <w:r>
        <w:t xml:space="preserve">[CQ16]</w:t>
      </w:r>
    </w:p>
    <w:p>
      <w:pPr>
        <w:numPr>
          <w:ilvl w:val="0"/>
          <w:numId w:val="1008"/>
        </w:numPr>
        <w:pStyle w:val="Compact"/>
      </w:pPr>
      <w:r>
        <w:t xml:space="preserve">Regular reviews of data and consent with family.</w:t>
      </w:r>
    </w:p>
    <w:p>
      <w:pPr>
        <w:pStyle w:val="FirstParagraph"/>
      </w:pPr>
      <w:r>
        <w:t xml:space="preserve">This is important to prevent unwelcome surprises about how family data is handled [CQ2, CQ17], which can damage trust and hinder co-operation.</w:t>
      </w:r>
    </w:p>
    <w:p>
      <w:pPr>
        <w:numPr>
          <w:ilvl w:val="0"/>
          <w:numId w:val="1009"/>
        </w:numPr>
        <w:pStyle w:val="Compact"/>
      </w:pPr>
      <w:r>
        <w:t xml:space="preserve">Make a</w:t>
      </w:r>
      <w:r>
        <w:t xml:space="preserve"> </w:t>
      </w:r>
      <w:r>
        <w:t xml:space="preserve">‘</w:t>
      </w:r>
      <w:r>
        <w:t xml:space="preserve">feed</w:t>
      </w:r>
      <w:r>
        <w:t xml:space="preserve">’</w:t>
      </w:r>
      <w:r>
        <w:t xml:space="preserve"> </w:t>
      </w:r>
      <w:r>
        <w:t xml:space="preserve">of family data changes available to both parties.</w:t>
      </w:r>
    </w:p>
    <w:p>
      <w:pPr>
        <w:pStyle w:val="FirstParagraph"/>
      </w:pPr>
      <w:r>
        <w:t xml:space="preserve">Several participants imagined ways how technology could support this, with the databases issuing notifications or update feeds for families and support workers showing significant events or data updates. Support workers currently get notified of police incidents, safeguarding concerns and hospital admissions, but including data across the care ecosystem could provide useful triggers for reviews or discussions [SQ64, SQ65].</w:t>
      </w:r>
    </w:p>
    <w:p>
      <w:pPr>
        <w:numPr>
          <w:ilvl w:val="0"/>
          <w:numId w:val="1010"/>
        </w:numPr>
        <w:pStyle w:val="Compact"/>
      </w:pPr>
      <w:r>
        <w:t xml:space="preserve">Give individuals agency</w:t>
      </w:r>
    </w:p>
    <w:p>
      <w:pPr>
        <w:pStyle w:val="FirstParagraph"/>
      </w:pPr>
      <w:r>
        <w:t xml:space="preserve">When considering their relationship to their civic data, families (and support workers) imagined the family being able to act alone. This unlocked additional thinking, for example families helping to fill gaps in data [SQ57] or contribute new data that may not otherwise be recorded [SQ58]. Giving families the ability to contribute new data could be very empowering as it would allow them to</w:t>
      </w:r>
      <w:r>
        <w:t xml:space="preserve"> </w:t>
      </w:r>
      <w:r>
        <w:rPr>
          <w:i/>
        </w:rPr>
        <w:t xml:space="preserve">‘</w:t>
      </w:r>
      <w:r>
        <w:rPr>
          <w:i/>
        </w:rPr>
        <w:t xml:space="preserve">tell their own story</w:t>
      </w:r>
      <w:r>
        <w:rPr>
          <w:i/>
        </w:rPr>
        <w:t xml:space="preserve">’</w:t>
      </w:r>
      <w:r>
        <w:t xml:space="preserve"> </w:t>
      </w:r>
      <w:r>
        <w:t xml:space="preserve">[FQ10].</w:t>
      </w:r>
      <w:r>
        <w:t xml:space="preserve"> </w:t>
      </w:r>
      <w:r>
        <w:t xml:space="preserve">This is vital because, not only because families’ civic data will never be enough to adequately represent complex lived experience (Bowyer et al., 2018) and it is important to ensure the data is accurate: If something goes wrong, families must be able to do something about it. Without a cycle of feedback involving individuals as stakeholders having the ability to review and correct data, data will quickly become inaccurate (Pollock, 2011). A role in data reviewing, production and recording is empowering, as families are then able to hold information holders to account to ensure fair treatment, something that is currently very difficult to achieve.</w:t>
      </w:r>
      <w:r>
        <w:t xml:space="preserve"> </w:t>
      </w: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r>
        <w:t xml:space="preserve"> </w:t>
      </w: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numPr>
          <w:ilvl w:val="0"/>
          <w:numId w:val="1011"/>
        </w:numPr>
        <w:pStyle w:val="Compact"/>
      </w:pPr>
      <w:r>
        <w:t xml:space="preserve">Family-sourced Data</w:t>
      </w:r>
    </w:p>
    <w:p>
      <w:pPr>
        <w:numPr>
          <w:ilvl w:val="0"/>
          <w:numId w:val="1011"/>
        </w:numPr>
        <w:pStyle w:val="Compact"/>
      </w:pPr>
      <w:r>
        <w:t xml:space="preserve">Create or contribute own data.</w:t>
      </w:r>
    </w:p>
    <w:p>
      <w:pPr>
        <w:pStyle w:val="FirstParagraph"/>
      </w:pPr>
      <w:r>
        <w:t xml:space="preserve">Many participants envisaged that rather than solely relying on dialogue with families, families might provide new data more directly, e.g. through a</w:t>
      </w:r>
      <w:r>
        <w:t xml:space="preserve"> </w:t>
      </w:r>
      <w:r>
        <w:t xml:space="preserve">‘</w:t>
      </w:r>
      <w:r>
        <w:t xml:space="preserve">family network app</w:t>
      </w:r>
      <w:r>
        <w:t xml:space="preserve">’</w:t>
      </w:r>
      <w:r>
        <w:t xml:space="preserve"> </w:t>
      </w:r>
      <w:r>
        <w:t xml:space="preserve">for information contributions, which could also increase their sense of data ownership:</w:t>
      </w:r>
    </w:p>
    <w:p>
      <w:pPr>
        <w:pStyle w:val="BodyText"/>
      </w:pPr>
      <w:r>
        <w:rPr>
          <w:i/>
        </w:rPr>
        <w:t xml:space="preserve">“</w:t>
      </w:r>
      <w:r>
        <w:rPr>
          <w:i/>
        </w:rPr>
        <w:t xml:space="preserve">It would [ask them] who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r>
        <w:t xml:space="preserve"> </w:t>
      </w:r>
      <w:r>
        <w:t xml:space="preserve">(I) Annotate own data with new information.</w:t>
      </w:r>
    </w:p>
    <w:p>
      <w:pPr>
        <w:pStyle w:val="BodyText"/>
      </w:pPr>
      <w:r>
        <w:t xml:space="preserve">Some participants noted that families are better placed than anyone else to identify inaccuracies or gaps in their civic data, and that more accurate data could be obtained through families providing corrections. This does not mean free editing of records (as, for example, fears and/or self-interest could lead to families misrepresenting themselves in data (Bowyer et al., 2018)) but rather taking a role in reviewing, annotating, explaining, filling gaps [SQ57, SQ58] or requesting changes. This was imagined as a collaboration between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r>
        <w:t xml:space="preserve"> </w:t>
      </w:r>
      <w:r>
        <w:t xml:space="preserve">With new ways for self-expression, families could add context for support workers [FQ9, SQ55], unlocking new support topics [SQ56].</w:t>
      </w:r>
      <w:r>
        <w:t xml:space="preserve"> </w:t>
      </w:r>
      <w:r>
        <w:t xml:space="preserve">The overriding sense from both groups is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w:t>
      </w:r>
      <w:r>
        <w:t xml:space="preserve">as illustrated in [FQ10, shown in Table 7 above].</w:t>
      </w:r>
    </w:p>
    <w:p>
      <w:pPr>
        <w:numPr>
          <w:ilvl w:val="0"/>
          <w:numId w:val="1012"/>
        </w:numPr>
      </w:pPr>
      <w:r>
        <w:t xml:space="preserve">Granular Access Controls</w:t>
      </w:r>
    </w:p>
    <w:p>
      <w:pPr>
        <w:numPr>
          <w:ilvl w:val="0"/>
          <w:numId w:val="1012"/>
        </w:numPr>
      </w:pPr>
      <w:r>
        <w:t xml:space="preserve">Enable families to manage access controls to their data.</w:t>
      </w:r>
      <w:r>
        <w:t xml:space="preserve"> </w:t>
      </w:r>
      <w:r>
        <w:t xml:space="preserve">Participants identified that it is important to consider that different individuals within the family would have different roles, access and summaries, in order to respect individual privacy [SQ52, SQ48]. This could extend beyond just giving consent to managing more fine-grained access controls:</w:t>
      </w:r>
    </w:p>
    <w:p>
      <w:pPr>
        <w:pStyle w:val="FirstParagraph"/>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We can see that giving families a role in the creation and stewardship of their data-selves has great potential to unlock new capabilities and a sense of empowerment for families.</w:t>
      </w:r>
    </w:p>
    <w:p>
      <w:pPr>
        <w:pStyle w:val="BodyText"/>
      </w:pPr>
      <w:r>
        <w:t xml:space="preserve">close: Systems and processes support change.</w:t>
      </w:r>
    </w:p>
    <w:bookmarkEnd w:id="43"/>
    <w:bookmarkEnd w:id="44"/>
    <w:bookmarkStart w:id="46"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findings above clearly suggest that in seeking best possible understanding, families must be engaged in a fact-centric way, which requires trust in the support worker and in the system - A good relationship with the support worker is critical [FQ1]. Our findings show that transparent and open data handling and decision-making processing are key and can allow support workers to earn the trust of supported families. The key topic of trust arose directly or indirectly in almost all participant conversations. Currently, families are typically unaware of what data is held about them and what discussions about them are being had. Even if the data itself would be considered uncontroversial, this lack of transparency and how data informs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numPr>
          <w:ilvl w:val="0"/>
          <w:numId w:val="1013"/>
        </w:numPr>
        <w:pStyle w:val="Compact"/>
      </w:pPr>
      <w:r>
        <w:t xml:space="preserve">Respectful Data Handling</w:t>
      </w:r>
    </w:p>
    <w:p>
      <w:pPr>
        <w:numPr>
          <w:ilvl w:val="0"/>
          <w:numId w:val="1013"/>
        </w:numPr>
        <w:pStyle w:val="Compact"/>
      </w:pPr>
      <w:r>
        <w:t xml:space="preserve">Respect family and individual privacy.</w:t>
      </w:r>
    </w:p>
    <w:p>
      <w:pPr>
        <w:pStyle w:val="FirstParagraph"/>
      </w:pPr>
      <w:r>
        <w:t xml:space="preserve">The current approach, which relies on the support workers mentioning data that they consider relevant, can result in expectations being broken by accidental sharing of information for which sensitivity is not recognised: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Lack of transparency and trust can lead to an atmosphere of suspicion [SQ17] where families have</w:t>
      </w:r>
      <w:r>
        <w:t xml:space="preserve"> </w:t>
      </w:r>
      <w:r>
        <w:t xml:space="preserve">‘</w:t>
      </w:r>
      <w:r>
        <w:t xml:space="preserve">a totally overwhelming feeling of people checking up on them</w:t>
      </w:r>
      <w:r>
        <w:t xml:space="preserve">’</w:t>
      </w:r>
      <w:r>
        <w:t xml:space="preserve"> </w:t>
      </w:r>
      <w:r>
        <w:t xml:space="preserve">[SQ71] and apply greater scrutiny to what they are told:</w:t>
      </w:r>
      <w:r>
        <w:t xml:space="preserve"> </w:t>
      </w:r>
      <w:r>
        <w:rPr>
          <w:i/>
        </w:rPr>
        <w:t xml:space="preserve">“</w:t>
      </w:r>
      <w:r>
        <w:rPr>
          <w:i/>
        </w:rPr>
        <w:t xml:space="preserve">You can get families who […] don’t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Ultimately an open and respectful approach is not just rooted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It can also help with accountability and accuracy:</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p>
      <w:pPr>
        <w:numPr>
          <w:ilvl w:val="0"/>
          <w:numId w:val="1014"/>
        </w:numPr>
        <w:pStyle w:val="Compact"/>
      </w:pPr>
      <w:r>
        <w:t xml:space="preserve">Explain how data will be used and shared.</w:t>
      </w:r>
    </w:p>
    <w:p>
      <w:pPr>
        <w:pStyle w:val="FirstParagraph"/>
      </w:pPr>
      <w:r>
        <w:t xml:space="preserve">To avoid damaging negative spirals of emotion, deliberate openness is needed from support workers (and the entire care system) [SQ18] as to what information is held, and how it will be used and shared, in order to alleviate fears of data being used against families, instead giving them confidence that their interests are being protected, thus putting them at ease [SQ20]. To our understanding, this is only done once in very loose terms during initial engagement for the purposes of collecting informed consent.</w:t>
      </w:r>
    </w:p>
    <w:p>
      <w:pPr>
        <w:numPr>
          <w:ilvl w:val="0"/>
          <w:numId w:val="1015"/>
        </w:numPr>
      </w:pPr>
      <w:r>
        <w:t xml:space="preserve">Avoid data mishandling and unexpected uses.</w:t>
      </w:r>
    </w:p>
    <w:p>
      <w:pPr>
        <w:numPr>
          <w:ilvl w:val="0"/>
          <w:numId w:val="1015"/>
        </w:numPr>
      </w:pPr>
      <w:r>
        <w:t xml:space="preserve">Use a strength-based approach when referencing families’ data.</w:t>
      </w:r>
    </w:p>
    <w:p>
      <w:pPr>
        <w:numPr>
          <w:ilvl w:val="0"/>
          <w:numId w:val="1015"/>
        </w:numPr>
      </w:pPr>
      <w:r>
        <w:t xml:space="preserve">Always Seek and Demonstrate Greater Understanding</w:t>
      </w:r>
      <w:r>
        <w:t xml:space="preserve"> </w:t>
      </w:r>
      <w:r>
        <w:t xml:space="preserve">It is clear that the support worker must always be seeking to form a completer and more up-to-date picture of the family.</w:t>
      </w:r>
      <w:r>
        <w:t xml:space="preserve"> </w:t>
      </w:r>
      <w:r>
        <w:t xml:space="preserve">Demonstrating a deep understanding of the family, and that they are prioritising a family’s lived reality above what the database says can be a key principle for workers to build trust:</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having to show all the data to families could make it challenging to make that case convincingly,</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viewed without the chance for explanation:</w:t>
      </w:r>
    </w:p>
    <w:p>
      <w:pPr>
        <w:pStyle w:val="FirstParagraph"/>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numPr>
          <w:ilvl w:val="0"/>
          <w:numId w:val="1016"/>
        </w:numPr>
        <w:pStyle w:val="Compact"/>
      </w:pPr>
      <w:r>
        <w:t xml:space="preserve">Show and maintain deep understanding of families’ lives, not just their data.</w:t>
      </w:r>
    </w:p>
    <w:p>
      <w:pPr>
        <w:pStyle w:val="FirstParagraph"/>
      </w:pPr>
      <w:r>
        <w:t xml:space="preserve">Participants also indicated that the desired transparency is not just about reporting data usage. Dialogue and engagement is needed. Support processes need to change to better recognise the role of dialogue, rather than just consultation of a database, as the best way to achieve a rich and nuanced understanding.</w:t>
      </w:r>
    </w:p>
    <w:p>
      <w:pPr>
        <w:numPr>
          <w:ilvl w:val="0"/>
          <w:numId w:val="1017"/>
        </w:numPr>
        <w:pStyle w:val="Compact"/>
      </w:pPr>
      <w:r>
        <w:t xml:space="preserve">Always seek a more complete picture.</w:t>
      </w:r>
    </w:p>
    <w:p>
      <w:pPr>
        <w:numPr>
          <w:ilvl w:val="0"/>
          <w:numId w:val="1017"/>
        </w:numPr>
        <w:pStyle w:val="Compact"/>
      </w:pPr>
      <w:r>
        <w:t xml:space="preserve">Pro-actively challenge data-centric norms</w:t>
      </w:r>
    </w:p>
    <w:p>
      <w:pPr>
        <w:numPr>
          <w:ilvl w:val="0"/>
          <w:numId w:val="1017"/>
        </w:numPr>
        <w:pStyle w:val="Compact"/>
      </w:pPr>
      <w:r>
        <w:t xml:space="preserve">Proactively counter the knowledge imbalance.</w:t>
      </w:r>
    </w:p>
    <w:p>
      <w:pPr>
        <w:pStyle w:val="FirstParagraph"/>
      </w:pPr>
      <w:r>
        <w:t xml:space="preserve">Workers could easily imagine explaining data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However, workers lack control over the quality, coverage and timeliness of the family data and see this as a systemic issue they would not always be able to address. From our collaboration with multiple local authority early help services through the SILVER project (</w:t>
      </w:r>
      <w:r>
        <w:t xml:space="preserve">Connected Health Cities (</w:t>
      </w:r>
      <w:hyperlink w:anchor="ref-ConnectedHealthCities2017">
        <w:r>
          <w:rPr>
            <w:rStyle w:val="Hyperlink"/>
          </w:rPr>
          <w:t xml:space="preserve">2017</w:t>
        </w:r>
      </w:hyperlink>
      <w:r>
        <w:t xml:space="preserve">)</w:t>
      </w:r>
      <w:r>
        <w:t xml:space="preserve">) it became clear that while support workers can see more data than most, they have far from the complete picture; in fact, there is no one organisation or individual with visibility of the entire family-information ecosystem.</w:t>
      </w:r>
      <w:r>
        <w:t xml:space="preserve"> </w:t>
      </w:r>
      <w:r>
        <w:t xml:space="preserve">(I) Be as open as possible with families about their data.</w:t>
      </w:r>
      <w:r>
        <w:t xml:space="preserve"> </w:t>
      </w:r>
      <w:r>
        <w:t xml:space="preserve">Some participants suggested that openness to increase trust could go as far as browsing new information together [AS MENTIONED ABOVE] rather than just having the support worker get it first and report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w:t>
      </w:r>
      <w:r>
        <w:rPr>
          <w:i/>
        </w:rPr>
        <w:t xml:space="preserve">I’m the same, me. I’d be like</w:t>
      </w:r>
      <w:r>
        <w:rPr>
          <w:i/>
        </w:rPr>
        <w:t xml:space="preserve"> </w:t>
      </w:r>
      <w:r>
        <w:rPr>
          <w:i/>
        </w:rPr>
        <w:t xml:space="preserve">‘</w:t>
      </w:r>
      <w:r>
        <w:rPr>
          <w:i/>
        </w:rPr>
        <w:t xml:space="preserve">I don’t know how you got all this?</w:t>
      </w:r>
      <w:r>
        <w:rPr>
          <w:i/>
        </w:rPr>
        <w:t xml:space="preserve">’</w:t>
      </w:r>
      <w:r>
        <w:rPr>
          <w:i/>
        </w:rPr>
        <w:t xml:space="preserve">. That would be my first reaction but then if we [were to] discuss it and browse the information with the family [that would work better].</w:t>
      </w:r>
      <w:r>
        <w:rPr>
          <w:i/>
        </w:rPr>
        <w:t xml:space="preserve">”</w:t>
      </w:r>
      <w:r>
        <w:t xml:space="preserve"> </w:t>
      </w:r>
      <w:r>
        <w:t xml:space="preserve">[CQ6]</w:t>
      </w:r>
    </w:p>
    <w:p>
      <w:pPr>
        <w:numPr>
          <w:ilvl w:val="0"/>
          <w:numId w:val="1018"/>
        </w:numPr>
        <w:pStyle w:val="Compact"/>
      </w:pPr>
      <w:r>
        <w:t xml:space="preserve">Independent oversight of data handling for contentious issues.</w:t>
      </w:r>
    </w:p>
    <w:p>
      <w:pPr>
        <w:numPr>
          <w:ilvl w:val="0"/>
          <w:numId w:val="1019"/>
        </w:numPr>
        <w:pStyle w:val="Compact"/>
      </w:pPr>
      <w:r>
        <w:t xml:space="preserve">Ensure that consent is never assumed.</w:t>
      </w:r>
    </w:p>
    <w:p>
      <w:pPr>
        <w:pStyle w:val="FirstParagraph"/>
      </w:pPr>
      <w:r>
        <w:t xml:space="preserve">In current practice, consent is seen as a one-off formality at the start of the support process.</w:t>
      </w:r>
    </w:p>
    <w:p>
      <w:pPr>
        <w:pStyle w:val="BodyText"/>
      </w:pPr>
      <w:r>
        <w:t xml:space="preserve">A common phrase that emerged here and in our prior research (Bowyer et al., 2018) is that data should only be seen by those that</w:t>
      </w:r>
      <w:r>
        <w:t xml:space="preserve"> </w:t>
      </w:r>
      <w:r>
        <w:rPr>
          <w:i/>
        </w:rPr>
        <w:t xml:space="preserve">‘</w:t>
      </w:r>
      <w:r>
        <w:rPr>
          <w:i/>
        </w:rPr>
        <w:t xml:space="preserve">need to know</w:t>
      </w:r>
      <w:r>
        <w:rPr>
          <w:i/>
        </w:rPr>
        <w:t xml:space="preserve">’</w:t>
      </w:r>
      <w:r>
        <w:t xml:space="preserve">.</w:t>
      </w:r>
    </w:p>
    <w:p>
      <w:pPr>
        <w:pStyle w:val="BodyText"/>
      </w:pPr>
      <w:r>
        <w:t xml:space="preserve">[but who judges]</w:t>
      </w:r>
    </w:p>
    <w:p>
      <w:pPr>
        <w:pStyle w:val="BodyText"/>
      </w:pPr>
      <w:r>
        <w:t xml:space="preserve">Without transparency of data handling, a family cannot verify whether this is happening. This is especially important given that some support workers expressed a belief that their right to access families’ data could overrule families’ consent:</w:t>
      </w:r>
    </w:p>
    <w:p>
      <w:pPr>
        <w:pStyle w:val="BodyText"/>
      </w:pP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[Workers, SQ22]</w:t>
      </w:r>
    </w:p>
    <w:p>
      <w:pPr>
        <w:pStyle w:val="BodyText"/>
      </w:pPr>
      <w:r>
        <w:t xml:space="preserve">We also found evidence of other reasons why accountability is important such as the difficulty of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We see evidence that transparency and openness are key to building trust around data access and decision-making as requirements for a healthy support relationship. Shared data interaction could be one way to achieve this, bringing benefits in accountability, accuracy, simplicity [SQ25, SQ26] and consent.</w:t>
      </w:r>
    </w:p>
    <w:p>
      <w:pPr>
        <w:pStyle w:val="BodyText"/>
      </w:pPr>
      <w:hyperlink r:id="rId45">
        <w:r>
          <w:rPr>
            <w:rStyle w:val="Hyperlink"/>
          </w:rPr>
          <w:t xml:space="preserve">close</w:t>
        </w:r>
      </w:hyperlink>
      <w:r>
        <w:t xml:space="preserve"> </w:t>
      </w:r>
      <w:r>
        <w:t xml:space="preserve">Explicitly involving families in processing their data. [(I) Promote an open data-sharing culture.]</w:t>
      </w:r>
    </w:p>
    <w:bookmarkEnd w:id="46"/>
    <w:bookmarkEnd w:id="47"/>
    <w:bookmarkStart w:id="51" w:name="discussion"/>
    <w:p>
      <w:pPr>
        <w:pStyle w:val="Heading2"/>
      </w:pPr>
      <w:r>
        <w:rPr>
          <w:rStyle w:val="SectionNumber"/>
        </w:rPr>
        <w:t xml:space="preserve">1.4</w:t>
      </w:r>
      <w:r>
        <w:tab/>
      </w:r>
      <w:r>
        <w:t xml:space="preserve">Discussion</w:t>
      </w:r>
    </w:p>
    <w:p>
      <w:pPr>
        <w:pStyle w:val="FirstParagraph"/>
      </w:pPr>
      <w:r>
        <w:t xml:space="preserve">[Target 3,000 words or maybe more?]</w:t>
      </w:r>
      <w:r>
        <w:t xml:space="preserve"> </w:t>
      </w:r>
      <w:r>
        <w:t xml:space="preserve">[Then comes the</w:t>
      </w:r>
      <w:r>
        <w:t xml:space="preserve"> </w:t>
      </w:r>
      <w:r>
        <w:t xml:space="preserve">‘</w:t>
      </w:r>
      <w:r>
        <w:t xml:space="preserve">Interpret</w:t>
      </w:r>
      <w:r>
        <w:t xml:space="preserve">’</w:t>
      </w:r>
      <w:r>
        <w:t xml:space="preserve"> </w:t>
      </w:r>
      <w:r>
        <w:t xml:space="preserve">part. Where you assess how these things matter, do they confirm or disconfirm theory, relating it back to the literature. This part heavily references theory from your lit review. Frames the themes/subthemes as knowledge contributions.]</w:t>
      </w:r>
    </w:p>
    <w:bookmarkStart w:id="48"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Through our analysis of attitudes to data usage in the UK early help context we have shown that data about supported individuals and their families is already providing great value to building up a more complete picture of a family’s life, in service of better support and decision-making. However, this comes at a cost to the family’s autonomy and we have identified a number of problems with the prevalent mindset in the care system – which is that families’ civic data is considered as a resource to be utilised. Such a mindset (sometimes known as</w:t>
      </w:r>
      <w:r>
        <w:t xml:space="preserve"> </w:t>
      </w:r>
      <w:r>
        <w:t xml:space="preserve">‘</w:t>
      </w:r>
      <w:r>
        <w:t xml:space="preserve">dataism</w:t>
      </w:r>
      <w:r>
        <w:t xml:space="preserve">’</w:t>
      </w:r>
      <w:r>
        <w:t xml:space="preserve">) carries an implicit assumption that data is an objective source of truth, however this would require trust in the independence and integrity of the data-collecting and data-holding institutions (van Dijck, 2014), which we have shown is often absent. Supported families lack awareness of what data is held about them and how it is used: this can lead to false expectations and surprises and in the worst cases, this can feed feelings of fear or suspicion which can harm the effectiveness of the overall care relationship. Stored data can often serve as a proxy for their involvement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without any involvement of the family in checking data accuracy, the current system is susceptible to inaccuracies and errors of judgement due to out-of-date, incorrect or missing data, which can directly affect supported families in the form of prejudice, discrimination, or privacy violations. A key finding we have uncovered is that trust is critical to a support relationship – trust in the support worker, and trust in the system as a whole, and that the current usage of families’ data is not conducive to trust.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[(REF Cornford et al., 2013)],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and this would be very powerful in building trust. Furthermore, transparency of processing allows accountability – something that is currently all but impossible, and this would further empower families by allowing them to gain confidence that they are being treated fairly and that data about them is accurate. It is evident from our findings that a trustworthy care system requires the direct involvement of the individual(s) being cared for and that the mechanisms of shared data interaction offer specific shapes in which that involvement could take place.</w:t>
      </w:r>
      <w:r>
        <w:t xml:space="preserve"> </w:t>
      </w:r>
      <w:r>
        <w:t xml:space="preserve">Consistent with field studies such as the World Health Organisation’s decision-making tool [(Johnson et al., 2010)], we found evidence that staff and supported families believe they would be able to collaborate more efficiently through shared data interaction as it would be more evidence-based (see [REF what was 8.2.3] above).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(Herselman et al., 2016)</w:t>
      </w:r>
      <w:r>
        <w:t xml:space="preserve"> </w:t>
      </w:r>
      <w:r>
        <w:t xml:space="preserve">Viewing data as a shared resource to be curated together would also solve the problem that the current system is in effect lacking a true consent mechanism, since the initial consent is in practice, a handover of power that gives the care authority carte blanche to collect and use data about the individuals (see [REF] 8.2.2). In effect, the ongoing access to and direct use of data by families (see [REF]8.2.3) would serve as a practical implementation of a</w:t>
      </w:r>
      <w:r>
        <w:t xml:space="preserve"> </w:t>
      </w:r>
      <w:r>
        <w:rPr>
          <w:i/>
        </w:rPr>
        <w:t xml:space="preserve">‘</w:t>
      </w:r>
      <w:r>
        <w:rPr>
          <w:i/>
        </w:rPr>
        <w:t xml:space="preserve">dynamic consent</w:t>
      </w:r>
      <w:r>
        <w:rPr>
          <w:i/>
        </w:rPr>
        <w:t xml:space="preserve">’</w:t>
      </w:r>
      <w:r>
        <w:t xml:space="preserve"> </w:t>
      </w:r>
      <w:r>
        <w:t xml:space="preserve">model [REF (Kaye et al., 2015; Williams et al., 2015)]. Instead of consent being seen as the acquisition of a formal permission that has to be certified, stored, reviewed and modified, adopting simple practices such as talking families through their data and carrying out regular checks together could provide a practical but less bureaucratic guarantee that families are on-board with the way their data is being used, since their ongoing awareness and absence of complaint can be taken as satisfaction. If implemented in a robust manner, this approach has the potential to greatly simplify the consent challenge for authorities, requiring less process and reducing liability. Families will be happier with the use of their data if they can see it, notice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 [REF (Cornford et al., 2013)].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[REF (Bridle, 2016)]</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using their authority to pass judgement and deliver advice, the care worker becomes an ally, with the family member(s) empowered as an agent in their own self-care, with a greater ability to take action and drive things forward than they had previously (see REF Theme 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8"/>
    <w:bookmarkStart w:id="49"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 effect change based on what they learn from it. This involves the translation of raw data into meaningful information – through summaries, visualisations and explanations (the challenge of who can or would create these information representations is an area for future study). The information available to the individuals must be – as described in one of the central tenets of Human-Data Interaction – legible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but also their access must be effective</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not just within the support meetings, for example – and addressing technology, literacy, mental or physical handicaps and means that the information should be supported by a human relationship – one where someone can both explain the data as well as answer questions about it (see [REF] 8.2.3). It is the combination of effective data access and human-to-human interaction that makes data access meaningful, and the former without the latter will not empower the individual concerned. Access to data must be supported by a conversation. The system needs to have a human face that the individual may put their trust in and to which they can address their questions; simply giving access to raw data would be inadequate (see 8.2.3), and limiting [REF (Cornford et al., 2013)].</w:t>
      </w:r>
      <w:r>
        <w:t xml:space="preserve"> </w:t>
      </w:r>
      <w:r>
        <w:t xml:space="preserve">As a sub-field of Human-Computer Interaction, it is easy to assume that HDI is simply about interaction in the traditional sense of users interacting with data through an interface, but our work, which has, guided by our participants, focussed less upon layout and screen interaction and more upon the wider sociotechnical context of the support relationship, suggests that HDI can be more effective sought when the word</w:t>
      </w:r>
      <w:r>
        <w:t xml:space="preserve"> </w:t>
      </w:r>
      <w:r>
        <w:t xml:space="preserve">‘</w:t>
      </w:r>
      <w:r>
        <w:t xml:space="preserve">interaction</w:t>
      </w:r>
      <w:r>
        <w:t xml:space="preserve">’</w:t>
      </w:r>
      <w:r>
        <w:t xml:space="preserve"> </w:t>
      </w:r>
      <w:r>
        <w:t xml:space="preserve">is considered in an interpersonal sense.</w:t>
      </w:r>
      <w:r>
        <w:t xml:space="preserve"> </w:t>
      </w:r>
      <w:r>
        <w:t xml:space="preserve">By focussing on the human aspect of the proposed use of data within the support relationship, we can see that as well as improving accuracy, consent and trust, shared data interaction can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 [REF (Bowker et al., 2015; Star, 2010, 1989)] – the families understand it because it relates to their life, and the support workers understand it because they are familiar with the systems it came from. As such, it can become a valuable tool for encouraging families to open up. Many of our participants talked about how looking at data would provide a discussion stimulus or serve as a conversation starter (see [REF] 8.2.1).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t xml:space="preserve">“</w:t>
      </w:r>
      <w:r>
        <w:t xml:space="preserve">things to think with</w:t>
      </w:r>
      <w: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study. In particular in our third workshop,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w:t>
      </w:r>
      <w:r>
        <w:t xml:space="preserve"> </w:t>
      </w:r>
      <w:r>
        <w:t xml:space="preserve">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Having access to the data within the context of the support relationship is a key enabler of the Human-Data Interaction properties of agency and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if there is no ability for their comments or corrections to the data to actually influence the support discussion and the work being done, then they have no negotiability - their data access is not really part of the system, it would be tangential to the actual support process.</w:t>
      </w:r>
      <w:r>
        <w:t xml:space="preserve"> </w:t>
      </w:r>
      <w:r>
        <w:t xml:space="preserve">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t xml:space="preserve">‘</w:t>
      </w:r>
      <w:r>
        <w:t xml:space="preserve">data subject</w:t>
      </w:r>
      <w:r>
        <w:t xml:space="preserve">’</w:t>
      </w:r>
      <w:r>
        <w:t xml:space="preserve"> </w:t>
      </w:r>
      <w:r>
        <w:t xml:space="preserve">which persists even in progressive data paradigms such as the EU’s General Data Protection Regulations [REF (European Parliament, 2016)]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[REF (see S4 and Table REF3, in section REF8.1)]. This framing can inadvertently become problematic in early help practice focusing upon child welfare:</w:t>
      </w:r>
      <w:r>
        <w:t xml:space="preserve"> </w:t>
      </w:r>
      <w:r>
        <w:rPr>
          <w:i/>
        </w:rPr>
        <w:t xml:space="preserve">“</w:t>
      </w:r>
      <w:r>
        <w:rPr>
          <w:i/>
        </w:rPr>
        <w:t xml:space="preserve">children [can be seen as] the objects of a variety</w:t>
      </w:r>
      <w:r>
        <w:rPr>
          <w:i/>
        </w:rPr>
        <w:t xml:space="preserve"> </w:t>
      </w:r>
      <w:r>
        <w:rPr>
          <w:i/>
        </w:rPr>
        <w:t xml:space="preserve">of concerns which need to be acted upon rather than agents of their own lives</w:t>
      </w:r>
      <w:r>
        <w:rPr>
          <w:i/>
        </w:rPr>
        <w:t xml:space="preserve">”</w:t>
      </w:r>
      <w:r>
        <w:t xml:space="preserve"> </w:t>
      </w:r>
      <w:r>
        <w:t xml:space="preserve">[REF (European Commission, 2014)]. Analysis of the Child Index, an early warning electronic information for child welfare in the Netherlands, drew a similar conclusion on the importance of maintaining a compassionate human aspect in family-state relations:</w:t>
      </w:r>
      <w:r>
        <w:t xml:space="preserve"> </w:t>
      </w:r>
      <w:r>
        <w:t xml:space="preserve">“</w:t>
      </w:r>
      <w:r>
        <w:t xml:space="preserve">Taking into account that [care] professionals’ first love is the best interest of and care for a child, it is recommended for policymakers to provide enough room for the</w:t>
      </w:r>
      <w:r>
        <w:t xml:space="preserve"> </w:t>
      </w:r>
      <w:r>
        <w:t xml:space="preserve">‘</w:t>
      </w:r>
      <w:r>
        <w:t xml:space="preserve">love</w:t>
      </w:r>
      <w:r>
        <w:t xml:space="preserve">’</w:t>
      </w:r>
      <w:r>
        <w:t xml:space="preserve"> </w:t>
      </w:r>
      <w:r>
        <w:t xml:space="preserve">between future technologies and their social actors to flourish.</w:t>
      </w:r>
      <w:r>
        <w:t xml:space="preserve">”</w:t>
      </w:r>
      <w:r>
        <w:t xml:space="preserve"> </w:t>
      </w:r>
      <w:r>
        <w:t xml:space="preserve">[REF (Lecluijze et al., 2015)]</w:t>
      </w:r>
    </w:p>
    <w:bookmarkEnd w:id="49"/>
    <w:bookmarkStart w:id="50" w:name="Xb206752d1864f98023ac439a7a18140a88c8d22"/>
    <w:p>
      <w:pPr>
        <w:pStyle w:val="Heading3"/>
      </w:pPr>
      <w:r>
        <w:rPr>
          <w:rStyle w:val="SectionNumber"/>
        </w:rPr>
        <w:t xml:space="preserve">1.4.3</w:t>
      </w:r>
      <w:r>
        <w:tab/>
      </w:r>
      <w:r>
        <w:t xml:space="preserve">The Benefits and Implications of shifting the Locus of Decision-making</w:t>
      </w:r>
    </w:p>
    <w:p>
      <w:pPr>
        <w:pStyle w:val="FirstParagraph"/>
      </w:pPr>
      <w:r>
        <w:t xml:space="preserve">Through our discussions and activities with support workers and supported families, we have explored the possibilities of shared data interaction and our concept of shifting the locus of decision-making – the idea that power concentrates close to the point where data is accessed, and that by shifting the point where data is access to the centre of the support interaction, this would necessarily shift decision-making closer to the individuals and thus swing the power balance in their favour (see section [REF]7.2 above for a full explanation and refer to Figure 1 for an illustration of the concept). In this section we examine the potential benefits and implications of such a shift.</w:t>
      </w:r>
      <w:r>
        <w:t xml:space="preserve"> </w:t>
      </w:r>
      <w:r>
        <w:t xml:space="preserve">The introduction of data interaction into the interpersonal interaction of the support relationship can be seen as a change to the nature of the support relationship, in that some of the work that was previously done solely in the domain of the data holder (specifically, data maintenance and the direct use of data to inform judgements and plans) is now taking place in a different context – the two-party context of the support engagement itself. So at a basic level, the power is shifted by the new approach. The use of data in current practice is limited because any data must flow through the support worker as gatekeeper – the removal of the gatekeeper role redistributes the power to interpret, select and judge data much more equitably between the two parties. The potential benefits of this shift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previously inaccessible. By shifting the locus of decision-making, families can take more responsibility for their own lives, through an increased ability to reflect and make plans – an important element of harnessing one’s personal data for self-improvement [REF (Abiteboul et al., 2015; Li et al., 2010)], thus</w:t>
      </w:r>
      <w:r>
        <w:t xml:space="preserve"> </w:t>
      </w:r>
      <w:r>
        <w:t xml:space="preserve">‘</w:t>
      </w:r>
      <w:r>
        <w:t xml:space="preserve">encouraging the family to take full accountability for their own responsibilities</w:t>
      </w:r>
      <w:r>
        <w:t xml:space="preserve">’</w:t>
      </w:r>
      <w:r>
        <w:t xml:space="preserve"> </w:t>
      </w:r>
      <w:r>
        <w:t xml:space="preserve">as one support worker put it [SQ75]. The perceived benefit of individuals directly using digital interfaces for health and wellbeing are already accepted, with 93% of doctors believing that apps can improve health outcomes [REF (Kostkova, 2015)].</w:t>
      </w:r>
      <w:r>
        <w:t xml:space="preserve"> </w:t>
      </w: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locus of decision making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r>
        <w:t xml:space="preserve"> </w:t>
      </w: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[REF]) is not well suited to the creation of such unified data interfaces due to its fragmented nature [REF (Copeland, 2015)]. Identity management in this context is already very challenging to negotiate [REF (Wilson et al., 2011)]. Support workers would need additional training both on software and hardware. The need to increase digital skills across health and social care has already been identified as a current issue in the UK [REF (Honeyman et al., 2016)] and in other countries such as Poland where it is deemed critical [REF (Soja, 2015)]. This will become particularly important in a system where the care workers are also the ones who would be helping individuals to make sense of digital information. The use of computer-based communication and information approaches would need particular care with child welfare [REF (Tregeagle and Darcy, 2008)].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t xml:space="preserve">“</w:t>
      </w:r>
      <w:r>
        <w:t xml:space="preserve">in-the-home</w:t>
      </w:r>
      <w:r>
        <w:t xml:space="preserve">”</w:t>
      </w:r>
      <w:r>
        <w:t xml:space="preserve"> </w:t>
      </w:r>
      <w:r>
        <w:t xml:space="preserve">contact necessary – which is particularly challenging and costly to deliver in rural areas far from major towns [REF (Kriisk and Minas, 2017)] –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misleading workers etc. for personal gain). While very unlikely to be a mainstream issue, this is a fringe possibility that must still be considered and planned for.</w:t>
      </w:r>
      <w:r>
        <w:t xml:space="preserve"> </w:t>
      </w:r>
      <w:r>
        <w:t xml:space="preserve">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[REF (Copeland, 2015 ADD REF Local Government Association]. The state has increasingly adopted a data-centric approach to citizen interaction because it cannot manage to provide human relationships with individual citizens. But now this approach has become ingrained into government approaches to citizen relations –</w:t>
      </w:r>
      <w:r>
        <w:t xml:space="preserve"> </w:t>
      </w:r>
      <w:r>
        <w:rPr>
          <w:i/>
        </w:rPr>
        <w:t xml:space="preserve">“</w:t>
      </w:r>
      <w:r>
        <w:rPr>
          <w:i/>
        </w:rPr>
        <w:t xml:space="preserve">it is no longer a technological necessity but it has become a political intention</w:t>
      </w:r>
      <w:r>
        <w:rPr>
          <w:i/>
        </w:rPr>
        <w:t xml:space="preserve">”</w:t>
      </w:r>
      <w:r>
        <w:t xml:space="preserve"> </w:t>
      </w:r>
      <w:r>
        <w:t xml:space="preserve">[REF (Bridle, 2016)]. What we have identified is that there is a need to reverse this trend, if people’s interests are to be best served, and if a welfare state is to be truly [REF</w:t>
      </w:r>
      <w:r>
        <w:t xml:space="preserve"> </w:t>
      </w:r>
      <w:r>
        <w:t xml:space="preserve">‘</w:t>
      </w:r>
      <w:r>
        <w:t xml:space="preserve">enabling</w:t>
      </w:r>
      <w:r>
        <w:t xml:space="preserve">’</w:t>
      </w:r>
      <w:r>
        <w:t xml:space="preserve"> </w:t>
      </w:r>
      <w:r>
        <w:t xml:space="preserve">(Miettinen, 2013)]. By taking a more innovative approach to digital policy, it is possible that governments could be more effective in helping to involve those citizens that have become disadvantaged by the current system – a more human-centred approach could help to combat the digital divide [REF (Kalvet and Tan, 2008; Steyaert and Gould, 2009)].</w:t>
      </w:r>
      <w:r>
        <w:t xml:space="preserve"> </w:t>
      </w:r>
      <w:r>
        <w:t xml:space="preserve">In our model that shifts the locus of decision-making, we have not sought to provide an implementable solution that could be rolled out at scale, rather we consider our model to be a useful mental model to stimulate further discussion - our contribution’s value is that it shines a light on the positive and negative impacts of current procedures on relationship effectiveness, and identifies imagined practices that could be preferable and more efficient than current practice. Our findings serve as a challenge to the status quo, that should encourage early help providers to question their priorities when it comes to the use of people’s civic data and when they consider reconfiguring their services.</w:t>
      </w:r>
    </w:p>
    <w:bookmarkEnd w:id="50"/>
    <w:bookmarkEnd w:id="51"/>
    <w:bookmarkStart w:id="52" w:name="summation"/>
    <w:p>
      <w:pPr>
        <w:pStyle w:val="Heading2"/>
      </w:pPr>
      <w:r>
        <w:rPr>
          <w:rStyle w:val="SectionNumber"/>
        </w:rPr>
        <w:t xml:space="preserve">1.5</w:t>
      </w:r>
      <w:r>
        <w:tab/>
      </w:r>
      <w:r>
        <w:t xml:space="preserve">Summation</w:t>
      </w:r>
    </w:p>
    <w:p>
      <w:pPr>
        <w:pStyle w:val="FirstParagraph"/>
      </w:pPr>
      <w:r>
        <w:t xml:space="preserve">[Target 1,500 words or maybe less?]</w:t>
      </w:r>
      <w:r>
        <w:t xml:space="preserve"> </w:t>
      </w:r>
      <w:r>
        <w:t xml:space="preserve">[Finally after the TSEI structure for each theme, there is a combination/conclusion part of the chapter, bringing the three themes together.]</w:t>
      </w:r>
      <w:r>
        <w:t xml:space="preserve"> </w:t>
      </w:r>
      <w:r>
        <w:t xml:space="preserve">[In 4.5, I will summarise the case study in terms of how these insights expand our understanding of the research questions and their wider significance.]</w:t>
      </w:r>
    </w:p>
    <w:p>
      <w:pPr>
        <w:pStyle w:val="BodyText"/>
      </w:pPr>
      <w:r>
        <w:t xml:space="preserve">[TO REDRAFT AND SHORTEN</w:t>
      </w:r>
      <w:r>
        <w:t xml:space="preserve"> </w:t>
      </w:r>
      <w:r>
        <w:t xml:space="preserve">POSSIBLE REF THAT COULD BE ADDED AT https://miro.com/app/board/o9J_kvbFr24=/?moveToWidget=3074457347460416545&amp;cot=13]</w:t>
      </w:r>
    </w:p>
    <w:p>
      <w:pPr>
        <w:pStyle w:val="BodyText"/>
      </w:pPr>
      <w:r>
        <w:t xml:space="preserve">Through our participatory co-design workshops with supported families and support workers in North-East England, we have highlighted five major problem areas which our participants perceive to exist with current personal data practices:</w:t>
      </w:r>
      <w:r>
        <w:t xml:space="preserve"> </w:t>
      </w:r>
      <w:r>
        <w:t xml:space="preserve">1. A power imbalance –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r>
        <w:t xml:space="preserve"> </w:t>
      </w:r>
      <w:r>
        <w:t xml:space="preserve">2. A closed and opaque data ecosystem – Families lack awareness of what data is held about them and how it is used, with support workers (who themselves have limits to their access) functioning as gatekeepers to what families will be told about.</w:t>
      </w:r>
      <w:r>
        <w:t xml:space="preserve"> </w:t>
      </w:r>
      <w:r>
        <w:t xml:space="preserve">3. Ineffective, meaningless consent –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r>
        <w:t xml:space="preserve"> </w:t>
      </w:r>
      <w:r>
        <w:t xml:space="preserve">4. No accountability and limited trust – Without any transparency or ability to request or demand changes to data or data practices, families have no ability to hold data handlers to account. The lack of visibility makes families’ trust in the system hard to earn and fragile to maintain.</w:t>
      </w:r>
      <w:r>
        <w:t xml:space="preserve"> </w:t>
      </w:r>
      <w:r>
        <w:t xml:space="preserve">5. A lack of agency or true empowerment – With families having no ability to shape the way they are represented in data or see themselves in data, opportunities are missed to truly empower families to be better represented and to better themselves.</w:t>
      </w:r>
      <w:r>
        <w:t xml:space="preserve"> </w:t>
      </w:r>
      <w:r>
        <w:t xml:space="preserve">Through our explorations of a shared data interaction and personal data interfaces, we have found both a need and a desire for a new approach. We have shown that a model in which support services are deliberately open with families’ data and bring it to the heart of their face-to-face consultations could address all five of these problems. The removal of the gatekeeper role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can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r>
        <w:t xml:space="preserve"> </w:t>
      </w:r>
      <w:r>
        <w:t xml:space="preserve">We have also uncovered additional benefits of a shared data interaction approach.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used to measure service effectiveness) but in fact to the families themselves, who are now able to directly see the effects of their own actions in their data. The shift from support workers reporting what the data says to</w:t>
      </w:r>
      <w:r>
        <w:t xml:space="preserve"> </w:t>
      </w:r>
      <w:r>
        <w:t xml:space="preserve">‘</w:t>
      </w:r>
      <w:r>
        <w:t xml:space="preserve">looking at data together</w:t>
      </w:r>
      <w:r>
        <w:t xml:space="preserve">’</w:t>
      </w:r>
      <w:r>
        <w:t xml:space="preserve"> </w:t>
      </w:r>
      <w:r>
        <w:t xml:space="preserve">helps to shift the dynamic of the support interaction away from</w:t>
      </w:r>
      <w:r>
        <w:t xml:space="preserve"> </w:t>
      </w:r>
      <w:r>
        <w:t xml:space="preserve">‘</w:t>
      </w:r>
      <w:r>
        <w:t xml:space="preserve">us and them</w:t>
      </w:r>
      <w: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dialogue. Individual family members will be able to notice mistakes or gaps, and contribute explanations, context or additional data to enrich the picture. By ensuring the discussions are based on more accurate data, the quality of decision-making would naturally improve and conversations will be likely to be more effective and efficient as they will be more grounded in reality.</w:t>
      </w:r>
      <w:r>
        <w:t xml:space="preserve"> </w:t>
      </w: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their data, and to explain or clarify things seen in the data places more respect upon the family than the purely data-and-technology-based approach of the state-citizen service infrastructure experienced on the whole by non-supported families. The ability to act independently, in their own time and in contexts outside of the support interaction, allows individuals to alleviate concerns quickly and maintain confidence that their data selves, the version of themselves used by the state to inform decisions, remain fair and accurate, but also opens up new opportunities to individuals for using their data for their own ends in ways that were not previously possible.</w:t>
      </w:r>
      <w:r>
        <w:t xml:space="preserve"> </w:t>
      </w:r>
      <w:r>
        <w:t xml:space="preserve">In exploring the usage of data in its full sociotechnical context, not just from the provider’s perspective or citizen’s perspective, we have shown that merely providing people with access to data would be insufficient to properly address the identified problems, and that in applying the principles of Human-Data Interaction we need to consider interaction in an interpersonal sense. Capabilities – or their absence – matter more than the nature of the data interaction. Data interfaces are limited by their operating context as to how much they can offer, but considering the wider human-facing relationship between the individual and the representative of the state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r>
        <w:t xml:space="preserve"> </w:t>
      </w:r>
      <w:r>
        <w:t xml:space="preserve">Through our sentence ranking exercises we have been able to offer a snapshot overview of what this sample of support workers and supported families think about data, and where they agree and disagree (see Table 3). Our detailed analysis of our workshop transcripts has provided an understanding of the positive and negative impacts on the support relationship of current civic data practices within early help, and through our qualitative analysis we have been able to identify [CHANGE]38 specific practices, many of which are currently imagined or only just emerging, which participants believe would improve families engagement and the support they receive (see Table 4). We believe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our findings suggest that such an approach may get closer to the heart of the real issue of empowering</w:t>
      </w:r>
      <w:r>
        <w:t xml:space="preserve"> </w:t>
      </w:r>
      <w:r>
        <w:t xml:space="preserve">‘</w:t>
      </w:r>
      <w:r>
        <w:t xml:space="preserve">left-behind</w:t>
      </w:r>
      <w:r>
        <w:t xml:space="preserve">’</w:t>
      </w:r>
      <w:r>
        <w:t xml:space="preserve"> </w:t>
      </w:r>
      <w:r>
        <w:t xml:space="preserve">(disempowered) families than a purely state-centred approach to problem solving, and that this may offer part of a route to a more enabling welfare state. More generally our work serves as a reminder that as we move into the data-driven age it is important that data stays close to the people it is about, rather than those that use the data to provide services, and that service practice and processes should remain human-centric rather than data-centric. This is a general principle that could be equally applied to other domains including education, healthcare, democracy and commerce, and our emphasis upon individual capability over interface design is a useful mindset that can be applied to many human-computer interaction and design endeavours.</w:t>
      </w:r>
    </w:p>
    <w:bookmarkEnd w:id="52"/>
    <w:bookmarkEnd w:id="53"/>
    <w:bookmarkStart w:id="75" w:name="bibliography"/>
    <w:p>
      <w:pPr>
        <w:pStyle w:val="Heading1"/>
      </w:pPr>
      <w:r>
        <w:t xml:space="preserve">Bibliography</w:t>
      </w:r>
    </w:p>
    <w:bookmarkStart w:id="74" w:name="refs"/>
    <w:bookmarkStart w:id="55"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8">
        <w:r>
          <w:rPr>
            <w:rStyle w:val="Hyperlink"/>
          </w:rPr>
          <w:t xml:space="preserve">10.1145/1011870.1011885</w:t>
        </w:r>
      </w:hyperlink>
      <w:r>
        <w:t xml:space="preserve">.</w:t>
      </w:r>
    </w:p>
    <w:bookmarkEnd w:id="59"/>
    <w:bookmarkStart w:id="61" w:name="ref-ConnectedHealthCities2017"/>
    <w:p>
      <w:pPr>
        <w:pStyle w:val="Bibliography"/>
      </w:pPr>
      <w:r>
        <w:t xml:space="preserve">Connected Health Cities (2017) ‘SILVER Project: Smart Interventions for Local Residents’. Available at:</w:t>
      </w:r>
      <w:r>
        <w:t xml:space="preserve"> </w:t>
      </w:r>
      <w:hyperlink r:id="rId60">
        <w:r>
          <w:rPr>
            <w:rStyle w:val="Hyperlink"/>
          </w:rPr>
          <w:t xml:space="preserve">https://www.connectedhealthcities.org/research-projects/troubled-families/</w:t>
        </w:r>
      </w:hyperlink>
      <w:r>
        <w:t xml:space="preserve"> </w:t>
      </w:r>
      <w:r>
        <w:t xml:space="preserve">(Accessed: 14 May 2021).</w:t>
      </w:r>
    </w:p>
    <w:bookmarkEnd w:id="61"/>
    <w:bookmarkStart w:id="63"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62">
        <w:r>
          <w:rPr>
            <w:rStyle w:val="Hyperlink"/>
          </w:rPr>
          <w:t xml:space="preserve">https://mitpress.mit.edu/books/raw-data-oxymoron</w:t>
        </w:r>
      </w:hyperlink>
      <w:r>
        <w:t xml:space="preserve">.</w:t>
      </w:r>
    </w:p>
    <w:bookmarkEnd w:id="63"/>
    <w:bookmarkStart w:id="6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64">
        <w:r>
          <w:rPr>
            <w:rStyle w:val="Hyperlink"/>
          </w:rPr>
          <w:t xml:space="preserve">10.5210/fm.v16i2.3316</w:t>
        </w:r>
      </w:hyperlink>
      <w:r>
        <w:t xml:space="preserve">.</w:t>
      </w:r>
    </w:p>
    <w:bookmarkEnd w:id="65"/>
    <w:bookmarkStart w:id="66" w:name="ref-huberman2002"/>
    <w:p>
      <w:pPr>
        <w:pStyle w:val="Bibliography"/>
      </w:pPr>
      <w:r>
        <w:t xml:space="preserve">Huberman, M. and Miles, M. B. (2002)</w:t>
      </w:r>
      <w:r>
        <w:t xml:space="preserve"> </w:t>
      </w:r>
      <w:r>
        <w:rPr>
          <w:i/>
        </w:rPr>
        <w:t xml:space="preserve">The qualitative researcher’s companion</w:t>
      </w:r>
      <w:r>
        <w:t xml:space="preserve">. Sage.</w:t>
      </w:r>
    </w:p>
    <w:bookmarkEnd w:id="66"/>
    <w:bookmarkStart w:id="6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67">
        <w:r>
          <w:rPr>
            <w:rStyle w:val="Hyperlink"/>
          </w:rPr>
          <w:t xml:space="preserve">10.2139/ssrn.2508051</w:t>
        </w:r>
      </w:hyperlink>
      <w:r>
        <w:t xml:space="preserve">.</w:t>
      </w:r>
    </w:p>
    <w:bookmarkEnd w:id="68"/>
    <w:bookmarkStart w:id="69" w:name="ref-papert1980"/>
    <w:p>
      <w:pPr>
        <w:pStyle w:val="Bibliography"/>
      </w:pPr>
      <w:r>
        <w:t xml:space="preserve">Papert, S. (1980) ‘Mindstorms: children, computers, and powerful ideas’. Basic Books, Inc.</w:t>
      </w:r>
    </w:p>
    <w:bookmarkEnd w:id="69"/>
    <w:bookmarkStart w:id="71"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70">
        <w:r>
          <w:rPr>
            <w:rStyle w:val="Hyperlink"/>
          </w:rPr>
          <w:t xml:space="preserve">10.1177/0162243910377624</w:t>
        </w:r>
      </w:hyperlink>
      <w:r>
        <w:t xml:space="preserve">.</w:t>
      </w:r>
    </w:p>
    <w:bookmarkEnd w:id="71"/>
    <w:bookmarkStart w:id="73"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72">
        <w:r>
          <w:rPr>
            <w:rStyle w:val="Hyperlink"/>
          </w:rPr>
          <w:t xml:space="preserve">https://www.greatnorthcarerecord.org.uk</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5">
    <w:nsid w:val="b3cbbdee"/>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start w:val="5"/>
      <w:numFmt w:val="upperLetter"/>
      <w:lvlText w:val="(%8)"/>
      <w:lvlJc w:val="left"/>
      <w:pPr>
        <w:tabs>
          <w:tab w:val="num" w:pos="5040"/>
        </w:tabs>
        <w:ind w:left="5520" w:hanging="480"/>
      </w:pPr>
    </w:lvl>
    <w:lvl w:ilvl="8">
      <w:start w:val="5"/>
      <w:numFmt w:val="upperLetter"/>
      <w:lvlText w:val="(%9)"/>
      <w:lvlJc w:val="left"/>
      <w:pPr>
        <w:tabs>
          <w:tab w:val="num" w:pos="5760"/>
        </w:tabs>
        <w:ind w:left="6240" w:hanging="480"/>
      </w:pPr>
    </w:lvl>
  </w:abstractNum>
  <w:abstractNum w:abstractNumId="99631">
    <w:nsid w:val="4fbe019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99833">
    <w:nsid w:val="91a27d85"/>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5" Target="E"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8" Target="https://doi.org/10.1145/1011870.1011885" TargetMode="External" /><Relationship Type="http://schemas.openxmlformats.org/officeDocument/2006/relationships/hyperlink" Id="rId56" Target="https://doi.org/10.1145/3173574.3173710" TargetMode="External" /><Relationship Type="http://schemas.openxmlformats.org/officeDocument/2006/relationships/hyperlink" Id="rId70" Target="https://doi.org/10.1177/0162243910377624" TargetMode="External" /><Relationship Type="http://schemas.openxmlformats.org/officeDocument/2006/relationships/hyperlink" Id="rId67" Target="https://doi.org/10.2139/ssrn.2508051" TargetMode="External" /><Relationship Type="http://schemas.openxmlformats.org/officeDocument/2006/relationships/hyperlink" Id="rId64" Target="https://doi.org/10.5210/fm.v16i2.3316" TargetMode="External" /><Relationship Type="http://schemas.openxmlformats.org/officeDocument/2006/relationships/hyperlink" Id="rId62" Target="https://mitpress.mit.edu/books/raw-data-oxymoron" TargetMode="External" /><Relationship Type="http://schemas.openxmlformats.org/officeDocument/2006/relationships/hyperlink" Id="rId60" Target="https://www.connectedhealthcities.org/research-projects/troubled-families/" TargetMode="External" /><Relationship Type="http://schemas.openxmlformats.org/officeDocument/2006/relationships/hyperlink" Id="rId72" Target="https://www.greatnorthcarerecord.org.uk" TargetMode="External" /></Relationships>
</file>

<file path=word/_rels/footnotes.xml.rels><?xml version="1.0" encoding="UTF-8"?>
<Relationships xmlns="http://schemas.openxmlformats.org/package/2006/relationships"><Relationship Type="http://schemas.openxmlformats.org/officeDocument/2006/relationships/hyperlink" Id="rId45" Target="E"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58" Target="https://doi.org/10.1145/1011870.1011885" TargetMode="External" /><Relationship Type="http://schemas.openxmlformats.org/officeDocument/2006/relationships/hyperlink" Id="rId56" Target="https://doi.org/10.1145/3173574.3173710" TargetMode="External" /><Relationship Type="http://schemas.openxmlformats.org/officeDocument/2006/relationships/hyperlink" Id="rId70" Target="https://doi.org/10.1177/0162243910377624" TargetMode="External" /><Relationship Type="http://schemas.openxmlformats.org/officeDocument/2006/relationships/hyperlink" Id="rId67" Target="https://doi.org/10.2139/ssrn.2508051" TargetMode="External" /><Relationship Type="http://schemas.openxmlformats.org/officeDocument/2006/relationships/hyperlink" Id="rId64" Target="https://doi.org/10.5210/fm.v16i2.3316" TargetMode="External" /><Relationship Type="http://schemas.openxmlformats.org/officeDocument/2006/relationships/hyperlink" Id="rId62" Target="https://mitpress.mit.edu/books/raw-data-oxymoron" TargetMode="External" /><Relationship Type="http://schemas.openxmlformats.org/officeDocument/2006/relationships/hyperlink" Id="rId60" Target="https://www.connectedhealthcities.org/research-projects/troubled-families/" TargetMode="External" /><Relationship Type="http://schemas.openxmlformats.org/officeDocument/2006/relationships/hyperlink" Id="rId72" Target="https://www.greatnorthcarerecord.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2021-06-28T14:58:47Z</dcterms:created>
  <dcterms:modified xsi:type="dcterms:W3CDTF">2021-06-28T14:58:47Z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