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w:t>
      </w:r>
      <w:hyperlink w:anchor="Xd1b935e29e3fe3be100369af902a8e47d687d29">
        <w:r>
          <w:rPr>
            <w:rStyle w:val="Hyperlink"/>
          </w:rPr>
          <w:t xml:space="preserve">3.4.1</w:t>
        </w:r>
      </w:hyperlink>
      <w:r>
        <w:t xml:space="preserve">]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w:t>
      </w:r>
      <w:r>
        <w:t xml:space="preserve">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43"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0"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0"/>
    <w:bookmarkStart w:id="41"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1"/>
    <w:bookmarkStart w:id="42"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2"/>
    <w:bookmarkEnd w:id="43"/>
    <w:bookmarkStart w:id="50"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44"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4"/>
    <w:bookmarkStart w:id="45"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w:t>
      </w:r>
      <w:hyperlink w:anchor="Xc3386c80ed9a8cff1b198fe602b5fc87b19c203">
        <w:r>
          <w:rPr>
            <w:rStyle w:val="Hyperlink"/>
          </w:rPr>
          <w:t xml:space="preserve">4.3.2</w:t>
        </w:r>
      </w:hyperlink>
      <w:r>
        <w:t xml:space="preserve">].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5"/>
    <w:bookmarkStart w:id="49"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47" name="Picture"/>
            <a:graphic>
              <a:graphicData uri="http://schemas.openxmlformats.org/drawingml/2006/picture">
                <pic:pic>
                  <pic:nvPicPr>
                    <pic:cNvPr descr="./src/figs/fig4.2-shifting-locus.png" id="48" name="Picture"/>
                    <pic:cNvPicPr>
                      <a:picLocks noChangeArrowheads="1" noChangeAspect="1"/>
                    </pic:cNvPicPr>
                  </pic:nvPicPr>
                  <pic:blipFill>
                    <a:blip r:embed="rId4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49"/>
    <w:bookmarkEnd w:id="50"/>
    <w:bookmarkStart w:id="51"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51"/>
    <w:bookmarkEnd w:id="52"/>
    <w:bookmarkStart w:id="141" w:name="bibliography"/>
    <w:p>
      <w:pPr>
        <w:pStyle w:val="Heading1"/>
      </w:pPr>
      <w:r>
        <w:t xml:space="preserve">Bibliography</w:t>
      </w:r>
    </w:p>
    <w:bookmarkStart w:id="140" w:name="refs"/>
    <w:bookmarkStart w:id="54"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3">
        <w:r>
          <w:rPr>
            <w:rStyle w:val="Hyperlink"/>
          </w:rPr>
          <w:t xml:space="preserve">10.1145/2670528</w:t>
        </w:r>
      </w:hyperlink>
      <w:r>
        <w:t xml:space="preserve">.</w:t>
      </w:r>
    </w:p>
    <w:bookmarkEnd w:id="54"/>
    <w:bookmarkStart w:id="55"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5"/>
    <w:bookmarkStart w:id="56" w:name="ref-bate2018"/>
    <w:p>
      <w:pPr>
        <w:pStyle w:val="Bibliography"/>
      </w:pPr>
      <w:r>
        <w:t xml:space="preserve">Bate, A. and Bellis, A. (2018)</w:t>
      </w:r>
      <w:r>
        <w:t xml:space="preserve"> </w:t>
      </w:r>
      <w:r>
        <w:rPr>
          <w:iCs/>
          <w:i/>
        </w:rPr>
        <w:t xml:space="preserve">The Troubled Families programme ( England )</w:t>
      </w:r>
      <w:r>
        <w:t xml:space="preserve">. July.</w:t>
      </w:r>
    </w:p>
    <w:bookmarkEnd w:id="56"/>
    <w:bookmarkStart w:id="58"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7">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8"/>
    <w:bookmarkStart w:id="60"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9">
        <w:r>
          <w:rPr>
            <w:rStyle w:val="Hyperlink"/>
          </w:rPr>
          <w:t xml:space="preserve">10.1145/3173574.3173710</w:t>
        </w:r>
      </w:hyperlink>
      <w:r>
        <w:t xml:space="preserve">.</w:t>
      </w:r>
    </w:p>
    <w:bookmarkEnd w:id="60"/>
    <w:bookmarkStart w:id="62"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61">
        <w:r>
          <w:rPr>
            <w:rStyle w:val="Hyperlink"/>
          </w:rPr>
          <w:t xml:space="preserve">10.1145/3290607.3312998</w:t>
        </w:r>
      </w:hyperlink>
      <w:r>
        <w:t xml:space="preserve">.</w:t>
      </w:r>
    </w:p>
    <w:bookmarkEnd w:id="62"/>
    <w:bookmarkStart w:id="64"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63">
        <w:r>
          <w:rPr>
            <w:rStyle w:val="Hyperlink"/>
          </w:rPr>
          <w:t xml:space="preserve">https://eprints.ncl.ac.uk/273832#.</w:t>
        </w:r>
      </w:hyperlink>
    </w:p>
    <w:bookmarkEnd w:id="64"/>
    <w:bookmarkStart w:id="66"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5">
        <w:r>
          <w:rPr>
            <w:rStyle w:val="Hyperlink"/>
          </w:rPr>
          <w:t xml:space="preserve">10.1145/1011870.1011885</w:t>
        </w:r>
      </w:hyperlink>
      <w:r>
        <w:t xml:space="preserve">.</w:t>
      </w:r>
    </w:p>
    <w:bookmarkEnd w:id="66"/>
    <w:bookmarkStart w:id="68"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7">
        <w:r>
          <w:rPr>
            <w:rStyle w:val="Hyperlink"/>
          </w:rPr>
          <w:t xml:space="preserve">10.1080/2373566x.2016.1237858</w:t>
        </w:r>
      </w:hyperlink>
      <w:r>
        <w:t xml:space="preserve">.</w:t>
      </w:r>
    </w:p>
    <w:bookmarkEnd w:id="68"/>
    <w:bookmarkStart w:id="70"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9">
        <w:r>
          <w:rPr>
            <w:rStyle w:val="Hyperlink"/>
          </w:rPr>
          <w:t xml:space="preserve">www.policyexchange.org.uk https://policyexchange.org.uk/publication/small-pieces-loosely-joined-how-smarter-use-of-technology-and-data-can-deliver-real-reform-of-local-government/</w:t>
        </w:r>
      </w:hyperlink>
      <w:r>
        <w:t xml:space="preserve">.</w:t>
      </w:r>
    </w:p>
    <w:bookmarkEnd w:id="70"/>
    <w:bookmarkStart w:id="72"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71">
        <w:r>
          <w:rPr>
            <w:rStyle w:val="Hyperlink"/>
          </w:rPr>
          <w:t xml:space="preserve">10.1332/030557312X645838</w:t>
        </w:r>
      </w:hyperlink>
      <w:r>
        <w:t xml:space="preserve">.</w:t>
      </w:r>
    </w:p>
    <w:bookmarkEnd w:id="72"/>
    <w:bookmarkStart w:id="73"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73"/>
    <w:bookmarkStart w:id="75"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4">
        <w:r>
          <w:rPr>
            <w:rStyle w:val="Hyperlink"/>
          </w:rPr>
          <w:t xml:space="preserve">10.2139/ssrn.2874312</w:t>
        </w:r>
      </w:hyperlink>
      <w:r>
        <w:t xml:space="preserve">.</w:t>
      </w:r>
    </w:p>
    <w:bookmarkEnd w:id="75"/>
    <w:bookmarkStart w:id="77"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6">
        <w:r>
          <w:rPr>
            <w:rStyle w:val="Hyperlink"/>
          </w:rPr>
          <w:t xml:space="preserve">10.1080/13561820020003919</w:t>
        </w:r>
      </w:hyperlink>
      <w:r>
        <w:t xml:space="preserve">.</w:t>
      </w:r>
    </w:p>
    <w:bookmarkEnd w:id="77"/>
    <w:bookmarkStart w:id="79"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8">
        <w:r>
          <w:rPr>
            <w:rStyle w:val="Hyperlink"/>
          </w:rPr>
          <w:t xml:space="preserve">10.24908/ss.v12i2.4776</w:t>
        </w:r>
      </w:hyperlink>
      <w:r>
        <w:t xml:space="preserve">.</w:t>
      </w:r>
    </w:p>
    <w:bookmarkEnd w:id="79"/>
    <w:bookmarkStart w:id="80"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0"/>
    <w:bookmarkStart w:id="82"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1">
        <w:r>
          <w:rPr>
            <w:rStyle w:val="Hyperlink"/>
          </w:rPr>
          <w:t xml:space="preserve">www.frankfield.co.uk http://www.inspiredbybabies.org.uk/Page2NationalrelevantDocsresources/Frank Field Preventing poor children becoming poor adults 2011.pdf</w:t>
        </w:r>
      </w:hyperlink>
      <w:r>
        <w:t xml:space="preserve">.</w:t>
      </w:r>
    </w:p>
    <w:bookmarkEnd w:id="82"/>
    <w:bookmarkStart w:id="84"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3">
        <w:r>
          <w:rPr>
            <w:rStyle w:val="Hyperlink"/>
          </w:rPr>
          <w:t xml:space="preserve">https://mitpress.mit.edu/books/raw-data-oxymoron</w:t>
        </w:r>
      </w:hyperlink>
      <w:r>
        <w:t xml:space="preserve">.</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7">
        <w:r>
          <w:rPr>
            <w:rStyle w:val="Hyperlink"/>
          </w:rPr>
          <w:t xml:space="preserve">http://www.cs.ucl.ac.uk/research/researchnotes/documents/RN_06_11.pdf</w:t>
        </w:r>
      </w:hyperlink>
      <w:r>
        <w:t xml:space="preserve">.</w:t>
      </w:r>
    </w:p>
    <w:bookmarkEnd w:id="88"/>
    <w:bookmarkStart w:id="90"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89">
        <w:r>
          <w:rPr>
            <w:rStyle w:val="Hyperlink"/>
          </w:rPr>
          <w:t xml:space="preserve">10.1109/ISTAFRICA.2016.7530615</w:t>
        </w:r>
      </w:hyperlink>
      <w:r>
        <w:t xml:space="preserve">.</w:t>
      </w:r>
    </w:p>
    <w:bookmarkEnd w:id="90"/>
    <w:bookmarkStart w:id="91" w:name="ref-honeyman2016"/>
    <w:p>
      <w:pPr>
        <w:pStyle w:val="Bibliography"/>
      </w:pPr>
      <w:r>
        <w:t xml:space="preserve">Honeyman, M., Dunn, P. and Mckenna, H. (2016)</w:t>
      </w:r>
      <w:r>
        <w:t xml:space="preserve"> </w:t>
      </w:r>
      <w:r>
        <w:rPr>
          <w:iCs/>
          <w:i/>
        </w:rPr>
        <w:t xml:space="preserve">A digital NHS?</w:t>
      </w:r>
    </w:p>
    <w:bookmarkEnd w:id="91"/>
    <w:bookmarkStart w:id="92"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2"/>
    <w:bookmarkStart w:id="94"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3">
        <w:r>
          <w:rPr>
            <w:rStyle w:val="Hyperlink"/>
          </w:rPr>
          <w:t xml:space="preserve">10.1016/j.pec.2010.10.011</w:t>
        </w:r>
      </w:hyperlink>
      <w:r>
        <w:t xml:space="preserve">.</w:t>
      </w:r>
    </w:p>
    <w:bookmarkEnd w:id="94"/>
    <w:bookmarkStart w:id="96"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5">
        <w:r>
          <w:rPr>
            <w:rStyle w:val="Hyperlink"/>
          </w:rPr>
          <w:t xml:space="preserve">10.4018/978-1-59140-575-7.ch032</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99">
        <w:r>
          <w:rPr>
            <w:rStyle w:val="Hyperlink"/>
          </w:rPr>
          <w:t xml:space="preserve">https://www.jstor.org/stable/pdf/2352107.pdf?refreqid=excelsior%3A24bde6bf7de0eccf42c6ea11f8446d38</w:t>
        </w:r>
      </w:hyperlink>
      <w:r>
        <w:t xml:space="preserve">.</w:t>
      </w:r>
    </w:p>
    <w:bookmarkEnd w:id="100"/>
    <w:bookmarkStart w:id="102"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1">
        <w:r>
          <w:rPr>
            <w:rStyle w:val="Hyperlink"/>
          </w:rPr>
          <w:t xml:space="preserve">10.3389/fpubh.2015.00134</w:t>
        </w:r>
      </w:hyperlink>
      <w:r>
        <w:t xml:space="preserve">.</w:t>
      </w:r>
    </w:p>
    <w:bookmarkEnd w:id="102"/>
    <w:bookmarkStart w:id="104"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3">
        <w:r>
          <w:rPr>
            <w:rStyle w:val="Hyperlink"/>
          </w:rPr>
          <w:t xml:space="preserve">https://www.socwork.net/sws/article/view/503/1007</w:t>
        </w:r>
      </w:hyperlink>
      <w:r>
        <w:t xml:space="preserve">.</w:t>
      </w:r>
    </w:p>
    <w:bookmarkEnd w:id="104"/>
    <w:bookmarkStart w:id="106"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5">
        <w:r>
          <w:rPr>
            <w:rStyle w:val="Hyperlink"/>
          </w:rPr>
          <w:t xml:space="preserve">10.1016/j.childyouth.2015.07.003</w:t>
        </w:r>
      </w:hyperlink>
      <w:r>
        <w:t xml:space="preserve">.</w:t>
      </w:r>
    </w:p>
    <w:bookmarkEnd w:id="106"/>
    <w:bookmarkStart w:id="107"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07"/>
    <w:bookmarkStart w:id="109"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8">
        <w:r>
          <w:rPr>
            <w:rStyle w:val="Hyperlink"/>
          </w:rPr>
          <w:t xml:space="preserve">10.1145/2493432.2493446</w:t>
        </w:r>
      </w:hyperlink>
      <w:r>
        <w:t xml:space="preserve">.</w:t>
      </w:r>
    </w:p>
    <w:bookmarkEnd w:id="109"/>
    <w:bookmarkStart w:id="111"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0">
        <w:r>
          <w:rPr>
            <w:rStyle w:val="Hyperlink"/>
          </w:rPr>
          <w:t xml:space="preserve">10.1002/poi3.141</w:t>
        </w:r>
      </w:hyperlink>
      <w:r>
        <w:t xml:space="preserve">.</w:t>
      </w:r>
    </w:p>
    <w:bookmarkEnd w:id="111"/>
    <w:bookmarkStart w:id="112"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2"/>
    <w:bookmarkStart w:id="113"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3"/>
    <w:bookmarkStart w:id="115"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4">
        <w:r>
          <w:rPr>
            <w:rStyle w:val="Hyperlink"/>
          </w:rPr>
          <w:t xml:space="preserve">10.2139/ssrn.2508051</w:t>
        </w:r>
      </w:hyperlink>
      <w:r>
        <w:t xml:space="preserve">.</w:t>
      </w:r>
    </w:p>
    <w:bookmarkEnd w:id="115"/>
    <w:bookmarkStart w:id="117"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6">
        <w:r>
          <w:rPr>
            <w:rStyle w:val="Hyperlink"/>
          </w:rPr>
          <w:t xml:space="preserve">10.1089/big.2013.0029</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0"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0"/>
    <w:bookmarkStart w:id="122"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1">
        <w:r>
          <w:rPr>
            <w:rStyle w:val="Hyperlink"/>
          </w:rPr>
          <w:t xml:space="preserve">https://blog.okfn.org/2011/03/31/building-the-open-data-ecosystem/</w:t>
        </w:r>
      </w:hyperlink>
      <w:r>
        <w:t xml:space="preserve"> </w:t>
      </w:r>
      <w:r>
        <w:t xml:space="preserve">(Accessed: 23 July 2019).</w:t>
      </w:r>
    </w:p>
    <w:bookmarkEnd w:id="122"/>
    <w:bookmarkStart w:id="123"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3"/>
    <w:bookmarkStart w:id="125"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4">
        <w:r>
          <w:rPr>
            <w:rStyle w:val="Hyperlink"/>
          </w:rPr>
          <w:t xml:space="preserve">10.1037/0033-2909.91.3.482</w:t>
        </w:r>
      </w:hyperlink>
      <w:r>
        <w:t xml:space="preserve">.</w:t>
      </w:r>
    </w:p>
    <w:bookmarkEnd w:id="125"/>
    <w:bookmarkStart w:id="127"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26">
        <w:r>
          <w:rPr>
            <w:rStyle w:val="Hyperlink"/>
          </w:rPr>
          <w:t xml:space="preserve">10.1016/b978-1-55860-092-8.50006-x</w:t>
        </w:r>
      </w:hyperlink>
      <w:r>
        <w:t xml:space="preserve">.</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1"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0">
        <w:r>
          <w:rPr>
            <w:rStyle w:val="Hyperlink"/>
          </w:rPr>
          <w:t xml:space="preserve">10.1093/bjsw/bcp022</w:t>
        </w:r>
      </w:hyperlink>
      <w:r>
        <w:t xml:space="preserve">.</w:t>
      </w:r>
    </w:p>
    <w:bookmarkEnd w:id="131"/>
    <w:bookmarkStart w:id="133"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2">
        <w:r>
          <w:rPr>
            <w:rStyle w:val="Hyperlink"/>
          </w:rPr>
          <w:t xml:space="preserve">10.1093/bjsw/bcm048</w:t>
        </w:r>
      </w:hyperlink>
      <w:r>
        <w:t xml:space="preserve">.</w:t>
      </w:r>
    </w:p>
    <w:bookmarkEnd w:id="133"/>
    <w:bookmarkStart w:id="135"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4">
        <w:r>
          <w:rPr>
            <w:rStyle w:val="Hyperlink"/>
          </w:rPr>
          <w:t xml:space="preserve">10.2196/medinform.3525</w:t>
        </w:r>
      </w:hyperlink>
      <w:r>
        <w:t xml:space="preserve">.</w:t>
      </w:r>
    </w:p>
    <w:bookmarkEnd w:id="135"/>
    <w:bookmarkStart w:id="137"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36">
        <w:r>
          <w:rPr>
            <w:rStyle w:val="Hyperlink"/>
          </w:rPr>
          <w:t xml:space="preserve">https://www.greatnorthcarerecord.org.uk</w:t>
        </w:r>
      </w:hyperlink>
      <w:r>
        <w:t xml:space="preserve">.</w:t>
      </w:r>
    </w:p>
    <w:bookmarkEnd w:id="137"/>
    <w:bookmarkStart w:id="139"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38">
        <w:r>
          <w:rPr>
            <w:rStyle w:val="Hyperlink"/>
          </w:rPr>
          <w:t xml:space="preserve">10.1017/s1474746411000108</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2022-08-18T19:06:49Z</dcterms:created>
  <dcterms:modified xsi:type="dcterms:W3CDTF">2022-08-18T19:06:49Z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