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9"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—Ken Wyatt (Australian politician, teacher and equal rights campaigner)</w:t>
      </w:r>
    </w:p>
    <w:p>
      <w:pPr>
        <w:pStyle w:val="FirstParagraph"/>
      </w:pPr>
      <w:r>
        <w:t xml:space="preserve">This chapter describes Case Study One, which involved four 2-hour participatory co-design workshops with local authority support workers, parents and children from supported families involved with</w:t>
      </w:r>
      <w:r>
        <w:t xml:space="preserve"> </w:t>
      </w:r>
      <w:r>
        <w:rPr>
          <w:iCs/>
          <w:i/>
        </w:rPr>
        <w:t xml:space="preserve">Early Help (EH)</w:t>
      </w:r>
      <w:r>
        <w:t xml:space="preserve"> </w:t>
      </w:r>
      <w:r>
        <w:t xml:space="preserve">programmes [</w:t>
      </w:r>
      <w:hyperlink w:anchor="X2aae5955584904bc2d13eabc3cf07107b276398">
        <w:r>
          <w:rPr>
            <w:rStyle w:val="Hyperlink"/>
          </w:rPr>
          <w:t xml:space="preserve">3.4.1</w:t>
        </w:r>
      </w:hyperlink>
      <w:r>
        <w:t xml:space="preserve">]. Its objectives were to understand family and staff attitudes to civic data holding (</w:t>
      </w:r>
      <w:hyperlink w:anchor="RQ1">
        <w:r>
          <w:rPr>
            <w:rStyle w:val="Hyperlink"/>
          </w:rPr>
          <w:t xml:space="preserve">RQ1</w:t>
        </w:r>
      </w:hyperlink>
      <w:r>
        <w:t xml:space="preserve">) and to explore the role of data within the support relationship (per</w:t>
      </w:r>
      <w:r>
        <w:t xml:space="preserve"> </w:t>
      </w:r>
      <w:hyperlink w:anchor="RQ2">
        <w:r>
          <w:rPr>
            <w:rStyle w:val="Hyperlink"/>
          </w:rPr>
          <w:t xml:space="preserve">RQ2</w:t>
        </w:r>
      </w:hyperlink>
      <w:r>
        <w:t xml:space="preserve">). A model of</w:t>
      </w:r>
      <w:r>
        <w:t xml:space="preserve"> </w:t>
      </w:r>
      <w:r>
        <w:rPr>
          <w:iCs/>
          <w:i/>
        </w:rPr>
        <w:t xml:space="preserve">shared data interaction</w:t>
      </w:r>
      <w:r>
        <w:t xml:space="preserve">, was explored, where supported families would interact with data together with their support workers.</w:t>
      </w:r>
    </w:p>
    <w:p>
      <w:pPr>
        <w:pStyle w:val="BodyText"/>
      </w:pPr>
      <w:r>
        <w:t xml:space="preserve">Section</w:t>
      </w:r>
      <w:r>
        <w:t xml:space="preserve"> </w:t>
      </w:r>
      <w:hyperlink w:anchor="X82650dad14a47661ff5170fb27c2a5610214cf9">
        <w:r>
          <w:rPr>
            <w:rStyle w:val="Hyperlink"/>
          </w:rPr>
          <w:t xml:space="preserve">4.1</w:t>
        </w:r>
      </w:hyperlink>
      <w:r>
        <w:t xml:space="preserve"> </w:t>
      </w:r>
      <w:r>
        <w:t xml:space="preserve">explains the EH context in England.</w:t>
      </w:r>
      <w:r>
        <w:t xml:space="preserve"> </w:t>
      </w:r>
      <w:hyperlink w:anchor="Xa20090f6629e82dc86182a58926523409ffdf49">
        <w:r>
          <w:rPr>
            <w:rStyle w:val="Hyperlink"/>
          </w:rPr>
          <w:t xml:space="preserve">4.2</w:t>
        </w:r>
      </w:hyperlink>
      <w:r>
        <w:t xml:space="preserve"> </w:t>
      </w:r>
      <w:r>
        <w:t xml:space="preserve">brings together prior findings from the pilot study [</w:t>
      </w:r>
      <w:hyperlink w:anchor="X78ad73ec26b8ad5f96338defb9c180e5571da00">
        <w:r>
          <w:rPr>
            <w:rStyle w:val="Hyperlink"/>
          </w:rPr>
          <w:t xml:space="preserve">3.4.1</w:t>
        </w:r>
      </w:hyperlink>
      <w:r>
        <w:t xml:space="preserve">] and SILVER [</w:t>
      </w:r>
      <w:hyperlink w:anchor="Xd1b935e29e3fe3be100369af902a8e47d687d29">
        <w:r>
          <w:rPr>
            <w:rStyle w:val="Hyperlink"/>
          </w:rPr>
          <w:t xml:space="preserve">3.4.1</w:t>
        </w:r>
      </w:hyperlink>
      <w:r>
        <w:t xml:space="preserve">], and explains how these understandings were used in sensitisation to establish a common ground for participants.</w:t>
      </w:r>
      <w:r>
        <w:t xml:space="preserve"> </w:t>
      </w:r>
      <w:hyperlink w:anchor="X5d05199b7d43b0bd203a9cf2e8e874dad4ff45f">
        <w:r>
          <w:rPr>
            <w:rStyle w:val="Hyperlink"/>
          </w:rPr>
          <w:t xml:space="preserve">4.3</w:t>
        </w:r>
      </w:hyperlink>
      <w:r>
        <w:t xml:space="preserve"> </w:t>
      </w:r>
      <w:r>
        <w:t xml:space="preserve">reports qualitative thematic findings: that families want to be given a voice [</w:t>
      </w:r>
      <w:hyperlink w:anchor="X5c213d3f7d5eb3b3913f2bcc99b547ab52233a9">
        <w:r>
          <w:rPr>
            <w:rStyle w:val="Hyperlink"/>
          </w:rPr>
          <w:t xml:space="preserve">4.3.1</w:t>
        </w:r>
      </w:hyperlink>
      <w:r>
        <w:t xml:space="preserve">], that trust can be earned through data and process transparency [</w:t>
      </w:r>
      <w:hyperlink w:anchor="X4bf33bfd9c3793655f2a19fca0ee1ca41e62e6e">
        <w:r>
          <w:rPr>
            <w:rStyle w:val="Hyperlink"/>
          </w:rPr>
          <w:t xml:space="preserve">4.3.2</w:t>
        </w:r>
      </w:hyperlink>
      <w:r>
        <w:t xml:space="preserve">], and that families need</w:t>
      </w:r>
      <w:r>
        <w:t xml:space="preserve"> </w:t>
      </w:r>
      <w:r>
        <w:rPr>
          <w:iCs/>
          <w:i/>
        </w:rPr>
        <w:t xml:space="preserve">meaningful</w:t>
      </w:r>
      <w:r>
        <w:t xml:space="preserve"> </w:t>
      </w:r>
      <w:r>
        <w:t xml:space="preserve">data interaction [</w:t>
      </w:r>
      <w:hyperlink w:anchor="X7d362c1e174c59583bc075f9c4f790b095f0935">
        <w:r>
          <w:rPr>
            <w:rStyle w:val="Hyperlink"/>
          </w:rPr>
          <w:t xml:space="preserve">4.3.3</w:t>
        </w:r>
      </w:hyperlink>
      <w:r>
        <w:t xml:space="preserve">]. [</w:t>
      </w:r>
      <w:hyperlink w:anchor="X3883f9a9f04a04af0c790df93d414e14826cfb7">
        <w:r>
          <w:rPr>
            <w:rStyle w:val="Hyperlink"/>
          </w:rPr>
          <w:t xml:space="preserve">4.4</w:t>
        </w:r>
      </w:hyperlink>
      <w:r>
        <w:t xml:space="preserve">] discusses these findings in the context of prior literature, focusing on the value of data involvement [</w:t>
      </w:r>
      <w:hyperlink w:anchor="X328e55f0b8c991dca9b1bed7c3b0763f63cd1bf">
        <w:r>
          <w:rPr>
            <w:rStyle w:val="Hyperlink"/>
          </w:rPr>
          <w:t xml:space="preserve">4.4.1</w:t>
        </w:r>
      </w:hyperlink>
      <w:r>
        <w:t xml:space="preserve">], the need for human interaction [</w:t>
      </w:r>
      <w:hyperlink w:anchor="X2ad50ca4cbd63a3f83ddbd28315b55b52f600fb">
        <w:r>
          <w:rPr>
            <w:rStyle w:val="Hyperlink"/>
          </w:rPr>
          <w:t xml:space="preserve">4.4.2</w:t>
        </w:r>
      </w:hyperlink>
      <w:r>
        <w:t xml:space="preserve">], and the pros and cons of the shifting of the</w:t>
      </w:r>
      <w:r>
        <w:t xml:space="preserve"> </w:t>
      </w:r>
      <w:r>
        <w:rPr>
          <w:iCs/>
          <w:i/>
        </w:rPr>
        <w:t xml:space="preserve">Locus of Decision Making (LDM)</w:t>
      </w:r>
      <w:r>
        <w:t xml:space="preserve"> </w:t>
      </w:r>
      <w:r>
        <w:t xml:space="preserve">towards the family [</w:t>
      </w:r>
      <w:hyperlink w:anchor="X8a50e98458a9c28886ed15ffb2cc666b2d3d49b">
        <w:r>
          <w:rPr>
            <w:rStyle w:val="Hyperlink"/>
          </w:rPr>
          <w:t xml:space="preserve">4.4.3</w:t>
        </w:r>
      </w:hyperlink>
      <w:r>
        <w:t xml:space="preserve">].</w:t>
      </w:r>
    </w:p>
    <w:bookmarkStart w:id="24" w:name="X82650dad14a47661ff5170fb27c2a5610214cf9"/>
    <w:p>
      <w:pPr>
        <w:pStyle w:val="Heading2"/>
      </w:pPr>
      <w:r>
        <w:rPr>
          <w:rStyle w:val="SectionNumber"/>
        </w:rPr>
        <w:t xml:space="preserve">1.1</w:t>
      </w:r>
      <w:r>
        <w:tab/>
      </w:r>
      <w:r>
        <w:t xml:space="preserve">Context: Data Use in Early Help</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The UK’s social care system has been shaped by a series of efforts to improve the lives of children through data-driven interventions:</w:t>
      </w:r>
      <w:r>
        <w:t xml:space="preserve"> </w:t>
      </w:r>
      <w:r>
        <w:rPr>
          <w:iCs/>
          <w:i/>
        </w:rPr>
        <w:t xml:space="preserve">Every Child Matters</w:t>
      </w:r>
      <w:r>
        <w:t xml:space="preserve">,</w:t>
      </w:r>
      <w:r>
        <w:t xml:space="preserve"> </w:t>
      </w:r>
      <w:r>
        <w:rPr>
          <w:iCs/>
          <w:i/>
        </w:rPr>
        <w:t xml:space="preserve">ContactPoint</w:t>
      </w:r>
      <w:r>
        <w:t xml:space="preserve">, and the</w:t>
      </w:r>
      <w:r>
        <w:t xml:space="preserve"> </w:t>
      </w:r>
      <w:r>
        <w:rPr>
          <w:iCs/>
          <w:i/>
        </w:rPr>
        <w:t xml:space="preserve">Common Assessment Framework (CAF)</w:t>
      </w:r>
      <w:r>
        <w:t xml:space="preserve"> </w:t>
      </w:r>
      <w:r>
        <w:t xml:space="preserve">(</w:t>
      </w:r>
      <w:hyperlink w:anchor="ref-everychildmatters2006">
        <w:r>
          <w:rPr>
            <w:rStyle w:val="Hyperlink"/>
          </w:rPr>
          <w:t xml:space="preserve">Department of Health, Home Office and Department for Education and Skills, 2006</w:t>
        </w:r>
      </w:hyperlink>
      <w:r>
        <w:t xml:space="preserve">;</w:t>
      </w:r>
      <w:r>
        <w:t xml:space="preserve"> </w:t>
      </w:r>
      <w:hyperlink w:anchor="ref-gheera2011">
        <w:r>
          <w:rPr>
            <w:rStyle w:val="Hyperlink"/>
          </w:rPr>
          <w:t xml:space="preserve">Gheera, 2011</w:t>
        </w:r>
      </w:hyperlink>
      <w:r>
        <w:t xml:space="preserve">;</w:t>
      </w:r>
      <w:r>
        <w:t xml:space="preserve"> </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cornford2013">
        <w:r>
          <w:rPr>
            <w:rStyle w:val="Hyperlink"/>
          </w:rPr>
          <w:t xml:space="preserve">Cornford, Baines and Wilson, 2013</w:t>
        </w:r>
      </w:hyperlink>
      <w:r>
        <w:t xml:space="preserve">)</w:t>
      </w:r>
      <w:r>
        <w:t xml:space="preserve">. These interventions later took a broader family focus</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w:t>
      </w:r>
      <w:hyperlink w:anchor="ref-malomo2017">
        <w:r>
          <w:rPr>
            <w:rStyle w:val="Hyperlink"/>
          </w:rPr>
          <w:t xml:space="preserve">Malomo and Sena, 2017</w:t>
        </w:r>
      </w:hyperlink>
      <w:r>
        <w:t xml:space="preserve">)</w:t>
      </w:r>
      <w:r>
        <w:t xml:space="preserve"> </w:t>
      </w:r>
      <w:r>
        <w:t xml:space="preserve">through programmes such as</w:t>
      </w:r>
      <w:r>
        <w:t xml:space="preserve"> </w:t>
      </w:r>
      <w:r>
        <w:rPr>
          <w:iCs/>
          <w:i/>
        </w:rPr>
        <w:t xml:space="preserve">Think Family</w:t>
      </w:r>
      <w:r>
        <w:t xml:space="preserve"> </w:t>
      </w:r>
      <w:r>
        <w:t xml:space="preserve">which focused on</w:t>
      </w:r>
      <w:r>
        <w:t xml:space="preserve"> </w:t>
      </w:r>
      <w:r>
        <w:rPr>
          <w:iCs/>
          <w:i/>
        </w:rPr>
        <w:t xml:space="preserve">family intervention</w:t>
      </w:r>
      <w:r>
        <w:t xml:space="preserve"> </w:t>
      </w:r>
      <w:r>
        <w:t xml:space="preserve">(</w:t>
      </w:r>
      <w:hyperlink w:anchor="ref-cornford2013">
        <w:r>
          <w:rPr>
            <w:rStyle w:val="Hyperlink"/>
          </w:rPr>
          <w:t xml:space="preserve">Cornford, Baines and Wilson, 2013</w:t>
        </w:r>
      </w:hyperlink>
      <w:r>
        <w:t xml:space="preserve">;</w:t>
      </w:r>
      <w:r>
        <w:t xml:space="preserve"> </w:t>
      </w:r>
      <w:hyperlink w:anchor="ref-parr2016">
        <w:r>
          <w:rPr>
            <w:rStyle w:val="Hyperlink"/>
          </w:rPr>
          <w:t xml:space="preserve">Parr</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as a primary approach. Social workers learn about and get directly involved with the lives of targeted young people and their families in order so that they might overcome specific difficulties.</w:t>
      </w:r>
    </w:p>
    <w:p>
      <w:pPr>
        <w:pStyle w:val="BodyText"/>
      </w:pPr>
      <w:r>
        <w:t xml:space="preserve">2012 saw the introduction of the</w:t>
      </w:r>
      <w:r>
        <w:t xml:space="preserve"> </w:t>
      </w:r>
      <w:r>
        <w:rPr>
          <w:iCs/>
          <w:i/>
        </w:rPr>
        <w:t xml:space="preserve">Troubled Families Programme (TFP)</w:t>
      </w:r>
      <w:r>
        <w:t xml:space="preserve"> </w:t>
      </w:r>
      <w:r>
        <w:t xml:space="preserve">in England, which argued that £9 billion of civic spending was due to just 120,000 families and thus these families should be</w:t>
      </w:r>
      <w:r>
        <w:t xml:space="preserve"> </w:t>
      </w:r>
      <w:r>
        <w:t xml:space="preserve">‘</w:t>
      </w:r>
      <w:r>
        <w:t xml:space="preserve">turned around</w:t>
      </w:r>
      <w:r>
        <w:t xml:space="preserve">’</w:t>
      </w:r>
      <w:r>
        <w:t xml:space="preserve">. Local authorities had to identify</w:t>
      </w:r>
      <w:r>
        <w:t xml:space="preserve"> </w:t>
      </w:r>
      <w:r>
        <w:rPr>
          <w:iCs/>
          <w:i/>
        </w:rPr>
        <w:t xml:space="preserve">troubled families</w:t>
      </w:r>
      <w:r>
        <w:rPr>
          <w:rStyle w:val="FootnoteReference"/>
        </w:rPr>
        <w:footnoteReference w:id="20"/>
      </w:r>
      <w:r>
        <w:t xml:space="preserve">—those</w:t>
      </w:r>
      <w:r>
        <w:t xml:space="preserve"> </w:t>
      </w:r>
      <w:r>
        <w:t xml:space="preserve">‘</w:t>
      </w:r>
      <w:r>
        <w:t xml:space="preserve">at risk</w:t>
      </w:r>
      <w:r>
        <w:t xml:space="preserve">’</w:t>
      </w:r>
      <w:r>
        <w:t xml:space="preserve"> </w:t>
      </w:r>
      <w:r>
        <w:t xml:space="preserve">families experiencing multiple issues from a list including unemployment, overcrowded housing, poor education, mental health issues, disability, low income, poverty, truancy, crime and domestic violence. For each family where impact could be proven, funding could be reclaimed from central government</w:t>
      </w:r>
      <w:r>
        <w:t xml:space="preserve"> </w:t>
      </w:r>
      <w:r>
        <w:t xml:space="preserve">(</w:t>
      </w:r>
      <w:hyperlink w:anchor="ref-bate2018">
        <w:r>
          <w:rPr>
            <w:rStyle w:val="Hyperlink"/>
          </w:rPr>
          <w:t xml:space="preserve">Bate and Bellis, 2018</w:t>
        </w:r>
      </w:hyperlink>
      <w:r>
        <w:t xml:space="preserve">)</w:t>
      </w:r>
      <w:r>
        <w:t xml:space="preserve">. This encouraged extensive collection and use of data about each supported family to track and demonstrate progress and impact.</w:t>
      </w:r>
    </w:p>
    <w:p>
      <w:pPr>
        <w:pStyle w:val="BodyText"/>
      </w:pPr>
      <w:r>
        <w:t xml:space="preserve">This shift towards using data mirrors the societal rise of data-centrism [</w:t>
      </w:r>
      <w:hyperlink w:anchor="X1f566259c1a3f810256e3679e10faa457bb4a0b">
        <w:r>
          <w:rPr>
            <w:rStyle w:val="Hyperlink"/>
          </w:rPr>
          <w:t xml:space="preserve">2.1</w:t>
        </w:r>
      </w:hyperlink>
      <w:r>
        <w:t xml:space="preserve">], but also a wider public sector trend: Pressed to to demonstrate performance and deliver measurable, consistent results, human services including social care, health care and education have all prioritised the collection and use of data about their clients or service users. This use of data by the state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as records can include both objective facts as well as subjective information such practitioners’ observations or numerically-quantified measurements of risk. This increases risks of inaccurate data or unfair judgement. Individuals typically have limited access to verify this data. While families can ask about their data, few do, and the service organisations become de-facto</w:t>
      </w:r>
      <w:r>
        <w:t xml:space="preserve"> </w:t>
      </w:r>
      <w:r>
        <w:rPr>
          <w:iCs/>
          <w:i/>
        </w:rPr>
        <w:t xml:space="preserve">gatekeepers</w:t>
      </w:r>
      <w:r>
        <w:t xml:space="preserve"> </w:t>
      </w:r>
      <w:r>
        <w:t xml:space="preserve">to family data</w:t>
      </w:r>
      <w:r>
        <w:t xml:space="preserve"> </w:t>
      </w:r>
      <w:r>
        <w:t xml:space="preserve">(</w:t>
      </w:r>
      <w:hyperlink w:anchor="ref-corra2002">
        <w:r>
          <w:rPr>
            <w:rStyle w:val="Hyperlink"/>
          </w:rPr>
          <w:t xml:space="preserve">Corra and Willer, 2002</w:t>
        </w:r>
      </w:hyperlink>
      <w:r>
        <w:t xml:space="preserve">)</w:t>
      </w:r>
      <w:r>
        <w:t xml:space="preserve">. The situation has exacerbated as data-driven approaches to family care have been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Through the 2010s,</w:t>
      </w:r>
      <w:r>
        <w:t xml:space="preserve"> </w:t>
      </w:r>
      <w:r>
        <w:rPr>
          <w:iCs/>
          <w:i/>
        </w:rPr>
        <w:t xml:space="preserve">Early Help (EH)</w:t>
      </w:r>
      <w:r>
        <w:t xml:space="preserve"> </w:t>
      </w:r>
      <w:r>
        <w:t xml:space="preserve">programmes became a key social care offering from most UK local authorities, aiming to intervene in families’ lives before costly additional help is needed. To meet the proof requirements of TFP, new processes were established. Support workers would now carry out an</w:t>
      </w:r>
      <w:r>
        <w:t xml:space="preserve"> </w:t>
      </w:r>
      <w:r>
        <w:rPr>
          <w:iCs/>
          <w:i/>
        </w:rPr>
        <w:t xml:space="preserve">Early Help Assessment</w:t>
      </w:r>
      <w:r>
        <w:t xml:space="preserve"> </w:t>
      </w:r>
      <w:r>
        <w:t xml:space="preserve">(a guided enrolment questionnaire) to create an</w:t>
      </w:r>
      <w:r>
        <w:t xml:space="preserve"> </w:t>
      </w:r>
      <w:r>
        <w:rPr>
          <w:iCs/>
          <w:i/>
        </w:rPr>
        <w:t xml:space="preserve">Early Help Record (EHR)</w:t>
      </w:r>
      <w:r>
        <w:t xml:space="preserve"> </w:t>
      </w:r>
      <w:r>
        <w:t xml:space="preserve">for each supported individual and their family, stored in case management systems such as CareFirst, LiquidLogic or eCAF. To gain a holistic perspective of a family’s situation, a process of information gathering and family-centric inter-agency collaboration is adopted. The EHR is supplemented on a periodic basis by data from other agencies. Through contact with local authorities as part of its work, the SILVER project [</w:t>
      </w:r>
      <w:hyperlink w:anchor="Xd1b935e29e3fe3be100369af902a8e47d687d29">
        <w:r>
          <w:rPr>
            <w:rStyle w:val="Hyperlink"/>
          </w:rPr>
          <w:t xml:space="preserve">3.4.1</w:t>
        </w:r>
      </w:hyperlink>
      <w:r>
        <w:t xml:space="preserve">] learned that such data is collected ad hoc, via emailed spreadsheets, phone conversations, and in-person meetings. One such meeting is the</w:t>
      </w:r>
      <w:r>
        <w:t xml:space="preserve"> </w:t>
      </w:r>
      <w:r>
        <w:rPr>
          <w:iCs/>
          <w:i/>
        </w:rPr>
        <w:t xml:space="preserve">Team Around the Family (TAF)</w:t>
      </w:r>
      <w:r>
        <w:t xml:space="preserve"> </w:t>
      </w:r>
      <w:r>
        <w:t xml:space="preserve">– a bespoke grouping with representatives from other agencies such as police, schools or housing agencies. EHR data is used to family progress relative to the CAF</w:t>
      </w:r>
      <w:r>
        <w:t xml:space="preserve"> </w:t>
      </w:r>
      <w:r>
        <w:t xml:space="preserve">(</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w:t>
      </w:r>
    </w:p>
    <w:p>
      <w:pPr>
        <w:pStyle w:val="BodyText"/>
      </w:pPr>
      <w:r>
        <w:t xml:space="preserve">Support workers are encouraged to use data as evidence at all stages. A 2015</w:t>
      </w:r>
      <w:r>
        <w:t xml:space="preserve"> </w:t>
      </w:r>
      <w:r>
        <w:t xml:space="preserve">Ofsted report recommended further evidence-centric standardisation to address inconsistencies and deliver better care</w:t>
      </w:r>
      <w:r>
        <w:t xml:space="preserve"> </w:t>
      </w:r>
      <w:r>
        <w:t xml:space="preserve">(</w:t>
      </w:r>
      <w:hyperlink w:anchor="ref-ofsted2015">
        <w:r>
          <w:rPr>
            <w:rStyle w:val="Hyperlink"/>
          </w:rPr>
          <w:t xml:space="preserve">OFSTED, 2015</w:t>
        </w:r>
      </w:hyperlink>
      <w:r>
        <w:t xml:space="preserve">)</w:t>
      </w:r>
      <w:r>
        <w:t xml:space="preserve">, triggering the transformation of EH into a data-driven service, where professionals seek more and more data about</w:t>
      </w:r>
      <w:r>
        <w:t xml:space="preserve"> </w:t>
      </w:r>
      <w:r>
        <w:t xml:space="preserve">‘</w:t>
      </w:r>
      <w:r>
        <w:t xml:space="preserve">at risk</w:t>
      </w:r>
      <w:r>
        <w:t xml:space="preserve">’</w:t>
      </w:r>
      <w:r>
        <w:t xml:space="preserve"> </w:t>
      </w:r>
      <w:r>
        <w:t xml:space="preserve">individuals. This belief that better data can drive better care is baked into national policies:</w:t>
      </w:r>
    </w:p>
    <w:p>
      <w:pPr>
        <w:pStyle w:val="BlockText"/>
      </w:pPr>
      <w:r>
        <w:rPr>
          <w:iCs/>
          <w:i/>
        </w:rPr>
        <w:t xml:space="preserve">“IT systems are most valuable when practitioners use the shared</w:t>
      </w:r>
      <w:r>
        <w:t xml:space="preserve"> </w:t>
      </w:r>
      <w:r>
        <w:t xml:space="preserve">[between agencies]</w:t>
      </w:r>
      <w:r>
        <w:t xml:space="preserve"> </w:t>
      </w:r>
      <w:r>
        <w:rPr>
          <w:iCs/>
          <w:i/>
        </w:rPr>
        <w:t xml:space="preserve">data to make more informed decisions about how to support and safeguard a child.”</w:t>
      </w:r>
      <w:r>
        <w:t xml:space="preserve">—</w:t>
      </w:r>
      <w:r>
        <w:t xml:space="preserve">Department for Education (</w:t>
      </w:r>
      <w:hyperlink w:anchor="ref-dfe2018">
        <w:r>
          <w:rPr>
            <w:rStyle w:val="Hyperlink"/>
          </w:rPr>
          <w:t xml:space="preserve">2018</w:t>
        </w:r>
      </w:hyperlink>
      <w:r>
        <w:t xml:space="preserve">)</w:t>
      </w:r>
    </w:p>
    <w:p>
      <w:pPr>
        <w:pStyle w:val="FirstParagraph"/>
      </w:pPr>
      <w:r>
        <w:t xml:space="preserve">The technical reality of pursuing data sharing in cared is problematic. The information ecosystem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arrangements. Teams work in isolation, using different systems and apps. Limited arrangements are in place to facilitate information sharing between data-holding authorities (which can include local charities to which care services are outsourced). Administrative boundaries differ for different authorities and agencies, complicating matters further. With each local authority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 the ecosystem has become impossibly fragmented.</w:t>
      </w:r>
    </w:p>
    <w:p>
      <w:pPr>
        <w:pStyle w:val="BodyText"/>
      </w:pPr>
      <w:r>
        <w:t xml:space="preserve">Support workers face barriers to accessing needed data. Care workers can rarely access health data from GPs and have to rely on school nurses, health visitors, or the individual’s own word. Information is often shared informally through telephone conversations, meetings or emails,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that further limit what data is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Attempts to create and expand the EHR as a central representation of truth about the family can be seen as data-centric solutionism</w:t>
      </w:r>
      <w:r>
        <w:t xml:space="preserve"> </w:t>
      </w:r>
      <w:r>
        <w:t xml:space="preserve">(</w:t>
      </w:r>
      <w:hyperlink w:anchor="ref-morozov2013">
        <w:r>
          <w:rPr>
            <w:rStyle w:val="Hyperlink"/>
          </w:rPr>
          <w:t xml:space="preserve">Morozov, 2013</w:t>
        </w:r>
      </w:hyperlink>
      <w:r>
        <w:t xml:space="preserve">)</w:t>
      </w:r>
      <w:r>
        <w:t xml:space="preserve">, being applied to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Families’ only awareness of EHR data occurs when support workers or TAF professionals choose to share elements with them. Such sharing is usually verbal, unrecorded and rarely complete. Critiques suggest the acquisition of additional data consolidates power in practitioners’ hands and undermines the families they are meant to be supporting</w:t>
      </w:r>
      <w:r>
        <w:t xml:space="preserve"> </w:t>
      </w:r>
      <w:r>
        <w:t xml:space="preserve">(</w:t>
      </w:r>
      <w:hyperlink w:anchor="ref-white2010">
        <w:r>
          <w:rPr>
            <w:rStyle w:val="Hyperlink"/>
          </w:rPr>
          <w:t xml:space="preserve">White</w:t>
        </w:r>
        <w:r>
          <w:rPr>
            <w:rStyle w:val="Hyperlink"/>
          </w:rPr>
          <w:t xml:space="preserve"> </w:t>
        </w:r>
        <w:r>
          <w:rPr>
            <w:rStyle w:val="Hyperlink"/>
            <w:iCs/>
            <w:i/>
          </w:rPr>
          <w:t xml:space="preserve">et al.</w:t>
        </w:r>
        <w:r>
          <w:rPr>
            <w:rStyle w:val="Hyperlink"/>
          </w:rPr>
          <w:t xml:space="preserve">, 2010</w:t>
        </w:r>
      </w:hyperlink>
      <w:r>
        <w:t xml:space="preserve">;</w:t>
      </w:r>
      <w:r>
        <w:t xml:space="preserve"> </w:t>
      </w:r>
      <w:hyperlink w:anchor="ref-neff2013">
        <w:r>
          <w:rPr>
            <w:rStyle w:val="Hyperlink"/>
          </w:rPr>
          <w:t xml:space="preserve">Neff, 2013</w:t>
        </w:r>
      </w:hyperlink>
      <w:r>
        <w:t xml:space="preserve">;</w:t>
      </w:r>
      <w:r>
        <w:t xml:space="preserve"> </w:t>
      </w:r>
      <w:hyperlink w:anchor="ref-crossley2017tfp">
        <w:r>
          <w:rPr>
            <w:rStyle w:val="Hyperlink"/>
          </w:rPr>
          <w:t xml:space="preserve">Crossley and Lambert, 2017</w:t>
        </w:r>
      </w:hyperlink>
      <w:r>
        <w:t xml:space="preserve">)</w:t>
      </w:r>
      <w:r>
        <w:t xml:space="preserve">. The scattering of data across so many different systems and organisations, combined with informal processes for sharing, presents serious risk of privacy breaches or mishandling of people’s personal data.</w:t>
      </w:r>
    </w:p>
    <w:p>
      <w:pPr>
        <w:pStyle w:val="BodyText"/>
      </w:pPr>
      <w:r>
        <w:t xml:space="preserve">Consent may be violated if data, collected for a specific purpose, passes to another authority for some new purpose without explicit consent. The idea that the EHR is a source of truth risks disempowering families further, countering the empowerment goals of the programme itself. Erroneous data is likely, and this may cause prejudice or unfair decisions being made against families. Individual privacy could be violated, or individuals put at risk, if a domestic abuser or criminal gained access to the data. The failure of such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easily be seen by another family member, with potential severe psychological consequences, such as an adopted child finding out in the wrong way that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Collecting data for a specific purpose (rather than objectively) undermines local professionals’ ability to deliver care</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The collection and use of data may, instead of helping a family, reinforce the existing asymmetry of power that exists between them and data-holding organisations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presents an ideal context to explore</w:t>
      </w:r>
      <w:r>
        <w:t xml:space="preserve"> </w:t>
      </w:r>
      <w:hyperlink w:anchor="RQ2">
        <w:r>
          <w:rPr>
            <w:rStyle w:val="Hyperlink"/>
          </w:rPr>
          <w:t xml:space="preserve">RQ2</w:t>
        </w:r>
      </w:hyperlink>
      <w:r>
        <w:t xml:space="preserve">, specifically the impact of data use upon service relationships. Following preliminary sensitisation research [</w:t>
      </w:r>
      <w:hyperlink w:anchor="Xa20090f6629e82dc86182a58926523409ffdf49">
        <w:r>
          <w:rPr>
            <w:rStyle w:val="Hyperlink"/>
          </w:rPr>
          <w:t xml:space="preserve">4.2</w:t>
        </w:r>
      </w:hyperlink>
      <w:r>
        <w:t xml:space="preserve">], a study was designed to work with both families and support staff involved in EH. This study examined individual perspectives per</w:t>
      </w:r>
      <w:r>
        <w:t xml:space="preserve"> </w:t>
      </w:r>
      <w:hyperlink w:anchor="RQ1">
        <w:r>
          <w:rPr>
            <w:rStyle w:val="Hyperlink"/>
          </w:rPr>
          <w:t xml:space="preserve">RQ1</w:t>
        </w:r>
      </w:hyperlink>
      <w:r>
        <w:t xml:space="preserve"> </w:t>
      </w:r>
      <w:r>
        <w:t xml:space="preserve">but also looked at the power imbalance and the effectiveness of the support relationship as a whole, in terms of its goal to empower families to build better lives for themselves and get them to a point where they no longer need support. As part of</w:t>
      </w:r>
      <w:r>
        <w:t xml:space="preserve"> </w:t>
      </w:r>
      <w:hyperlink w:anchor="RQ2">
        <w:r>
          <w:rPr>
            <w:rStyle w:val="Hyperlink"/>
          </w:rPr>
          <w:t xml:space="preserve">RQ2</w:t>
        </w:r>
      </w:hyperlink>
      <w:r>
        <w:t xml:space="preserve">, the study also explored possible alternative models for the use of data within EH relationships. The study comprised two phases:</w:t>
      </w:r>
    </w:p>
    <w:p>
      <w:pPr>
        <w:numPr>
          <w:ilvl w:val="0"/>
          <w:numId w:val="1001"/>
        </w:numPr>
        <w:pStyle w:val="Compact"/>
      </w:pPr>
      <w:r>
        <w:t xml:space="preserve">First in phase 1, to work with families and support workers as two distinct groups, to identify their different needs [</w:t>
      </w:r>
      <w:hyperlink w:anchor="table-3.1">
        <w:r>
          <w:rPr>
            <w:rStyle w:val="Hyperlink"/>
          </w:rPr>
          <w:t xml:space="preserve">Table 3.1</w:t>
        </w:r>
      </w:hyperlink>
      <w:r>
        <w:t xml:space="preserve">;</w:t>
      </w:r>
      <w:r>
        <w:t xml:space="preserve"> </w:t>
      </w:r>
      <w:hyperlink w:anchor="Xc522393afef60216141778dd694dd810eda5c25">
        <w:r>
          <w:rPr>
            <w:rStyle w:val="Hyperlink"/>
          </w:rPr>
          <w:t xml:space="preserve">4.2.5</w:t>
        </w:r>
      </w:hyperlink>
      <w:r>
        <w:t xml:space="preserve">],</w:t>
      </w:r>
    </w:p>
    <w:p>
      <w:pPr>
        <w:numPr>
          <w:ilvl w:val="0"/>
          <w:numId w:val="1001"/>
        </w:numPr>
        <w:pStyle w:val="Compact"/>
      </w:pPr>
      <w:r>
        <w:t xml:space="preserve">then, in phase 2, to work with both groups together in an attempt to address their unified needs through novel approaches to data interaction.</w:t>
      </w:r>
    </w:p>
    <w:p>
      <w:pPr>
        <w:pStyle w:val="FirstParagraph"/>
      </w:pPr>
      <w:r>
        <w:t xml:space="preserve">The design and approach of the study is described in more detail in the next section.</w:t>
      </w:r>
    </w:p>
    <w:bookmarkEnd w:id="23"/>
    <w:bookmarkEnd w:id="24"/>
    <w:bookmarkStart w:id="34" w:name="Xa20090f6629e82dc86182a58926523409ffdf49"/>
    <w:p>
      <w:pPr>
        <w:pStyle w:val="Heading2"/>
      </w:pPr>
      <w:r>
        <w:rPr>
          <w:rStyle w:val="SectionNumber"/>
        </w:rPr>
        <w:t xml:space="preserve">1.2</w:t>
      </w:r>
      <w:r>
        <w:tab/>
      </w:r>
      <w:r>
        <w:t xml:space="preserve">Preliminary Explorations of Family Civic Data: Families’ and Support Workers’ Perspectives</w:t>
      </w:r>
    </w:p>
    <w:p>
      <w:pPr>
        <w:pStyle w:val="FirstParagraph"/>
      </w:pPr>
      <w:r>
        <w:t xml:space="preserve">The first step in study design was to achieve sensitisation [</w:t>
      </w:r>
      <w:hyperlink w:anchor="X760f23f36812b1f488df2ca1b312429d68b0f8e">
        <w:r>
          <w:rPr>
            <w:rStyle w:val="Hyperlink"/>
          </w:rPr>
          <w:t xml:space="preserve">3.5.1</w:t>
        </w:r>
      </w:hyperlink>
      <w:r>
        <w:t xml:space="preserve">] as a researcher, specifically three ways:</w:t>
      </w:r>
    </w:p>
    <w:p>
      <w:pPr>
        <w:numPr>
          <w:ilvl w:val="0"/>
          <w:numId w:val="1002"/>
        </w:numPr>
        <w:pStyle w:val="Compact"/>
      </w:pPr>
      <w:r>
        <w:t xml:space="preserve">to understand what data is stored about families [</w:t>
      </w:r>
      <w:hyperlink w:anchor="Xc2fcfc265ab40ba82ed064a42903a2f576bb84b">
        <w:r>
          <w:rPr>
            <w:rStyle w:val="Hyperlink"/>
          </w:rPr>
          <w:t xml:space="preserve">4.2.1</w:t>
        </w:r>
      </w:hyperlink>
      <w:r>
        <w:t xml:space="preserve">];</w:t>
      </w:r>
    </w:p>
    <w:p>
      <w:pPr>
        <w:numPr>
          <w:ilvl w:val="0"/>
          <w:numId w:val="1002"/>
        </w:numPr>
        <w:pStyle w:val="Compact"/>
      </w:pPr>
      <w:r>
        <w:t xml:space="preserve">to understand the family perspective [</w:t>
      </w:r>
      <w:hyperlink w:anchor="Xb367cc24dc19d310f9af1157021067beef77465">
        <w:r>
          <w:rPr>
            <w:rStyle w:val="Hyperlink"/>
          </w:rPr>
          <w:t xml:space="preserve">4.2.2</w:t>
        </w:r>
      </w:hyperlink>
      <w:r>
        <w:t xml:space="preserve">]; and</w:t>
      </w:r>
    </w:p>
    <w:p>
      <w:pPr>
        <w:numPr>
          <w:ilvl w:val="0"/>
          <w:numId w:val="1002"/>
        </w:numPr>
        <w:pStyle w:val="Compact"/>
      </w:pPr>
      <w:r>
        <w:t xml:space="preserve">to understand the support worker perspective [</w:t>
      </w:r>
      <w:hyperlink w:anchor="X7d362c1e174c59583bc075f9c4f790b095f0935">
        <w:r>
          <w:rPr>
            <w:rStyle w:val="Hyperlink"/>
          </w:rPr>
          <w:t xml:space="preserve">4.2.3</w:t>
        </w:r>
      </w:hyperlink>
      <w:r>
        <w:t xml:space="preserve">]</w:t>
      </w:r>
    </w:p>
    <w:bookmarkStart w:id="25" w:name="Xc2fcfc265ab40ba82ed064a42903a2f576bb84b"/>
    <w:p>
      <w:pPr>
        <w:pStyle w:val="Heading3"/>
      </w:pPr>
      <w:r>
        <w:rPr>
          <w:rStyle w:val="SectionNumber"/>
        </w:rPr>
        <w:t xml:space="preserve">1.2.1</w:t>
      </w:r>
      <w:r>
        <w:tab/>
      </w:r>
      <w:r>
        <w:t xml:space="preserve">What is Family Civic Data?</w:t>
      </w:r>
    </w:p>
    <w:p>
      <w:pPr>
        <w:pStyle w:val="FirstParagraph"/>
      </w:pPr>
      <w:r>
        <w:t xml:space="preserve">In order to communicate effectively with participants, an understanding of what data is held in an EH context was needed. Through the pilot study [</w:t>
      </w:r>
      <w:hyperlink w:anchor="X78ad73ec26b8ad5f96338defb9c180e5571da00">
        <w:r>
          <w:rPr>
            <w:rStyle w:val="Hyperlink"/>
          </w:rPr>
          <w:t xml:space="preserve">3.4.1</w:t>
        </w:r>
      </w:hyperlink>
      <w:r>
        <w:t xml:space="preserve">;</w:t>
      </w:r>
      <w:r>
        <w:t xml:space="preserve"> </w:t>
      </w:r>
      <w:hyperlink w:anchor="appendix-a">
        <w:r>
          <w:rPr>
            <w:rStyle w:val="Hyperlink"/>
          </w:rPr>
          <w:t xml:space="preserve">Appendix A</w:t>
        </w:r>
      </w:hyperlink>
      <w:r>
        <w:t xml:space="preserve">] and grey literature review within CHC’s SILVER project [</w:t>
      </w:r>
      <w:hyperlink w:anchor="Xd1b935e29e3fe3be100369af902a8e47d687d29">
        <w:r>
          <w:rPr>
            <w:rStyle w:val="Hyperlink"/>
          </w:rPr>
          <w:t xml:space="preserve">3.4.1</w:t>
        </w:r>
      </w:hyperlink>
      <w:r>
        <w:t xml:space="preserve">], a taxonomy of</w:t>
      </w:r>
      <w:r>
        <w:t xml:space="preserve"> </w:t>
      </w:r>
      <w:r>
        <w:rPr>
          <w:iCs/>
          <w:i/>
        </w:rPr>
        <w:t xml:space="preserve">Family Civic Data</w:t>
      </w:r>
      <w:r>
        <w:t xml:space="preserve"> </w:t>
      </w:r>
      <w:r>
        <w:t xml:space="preserve">was established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as shown in</w:t>
      </w:r>
      <w:r>
        <w:t xml:space="preserve"> </w:t>
      </w:r>
      <w:hyperlink w:anchor="table-ari4.1">
        <w:r>
          <w:rPr>
            <w:rStyle w:val="Hyperlink"/>
          </w:rPr>
          <w:t xml:space="preserve">Table ARI4.1</w:t>
        </w:r>
      </w:hyperlink>
      <w:r>
        <w:t xml:space="preserve"> </w:t>
      </w:r>
      <w:r>
        <w:t xml:space="preserve">in the Additional Reference Information.</w:t>
      </w:r>
    </w:p>
    <w:p>
      <w:pPr>
        <w:pStyle w:val="BodyText"/>
      </w:pPr>
      <w:r>
        <w:t xml:space="preserve">Early recruitment attempts revealed that data is seen as an abstract concept in people’s daily lives—a dry, technical topic that many families felt unqualified to talk about. The concepts needed to be made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t>
      </w:r>
      <w:r>
        <w:t xml:space="preserve">(which observes that game pieces can be used to create common ground and as</w:t>
      </w:r>
      <w:r>
        <w:t xml:space="preserve"> </w:t>
      </w:r>
      <w:r>
        <w:rPr>
          <w:iCs/>
          <w:i/>
        </w:rPr>
        <w:t xml:space="preserve">things to think with</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a set of</w:t>
      </w:r>
      <w:r>
        <w:t xml:space="preserve"> </w:t>
      </w:r>
      <w:r>
        <w:rPr>
          <w:iCs/>
          <w:i/>
        </w:rPr>
        <w:t xml:space="preserve">data cards</w:t>
      </w:r>
      <w:r>
        <w:t xml:space="preserve"> </w:t>
      </w:r>
      <w:r>
        <w:t xml:space="preserve">[</w:t>
      </w:r>
      <w:hyperlink w:anchor="figure-3.6">
        <w:r>
          <w:rPr>
            <w:rStyle w:val="Hyperlink"/>
          </w:rPr>
          <w:t xml:space="preserve">Figure 3.6</w:t>
        </w:r>
      </w:hyperlink>
      <w:r>
        <w:t xml:space="preserve">] were created. These cards made family civic data categories visual and tangible. Serving as</w:t>
      </w:r>
      <w:r>
        <w:t xml:space="preserve"> </w:t>
      </w:r>
      <w:r>
        <w:rPr>
          <w:iCs/>
          <w:i/>
        </w:rPr>
        <w:t xml:space="preserve">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cards aimed to bring researcher and participants’ worlds closer together, and to make data relatable to life experience. The design approach for the data cards is documented in [</w:t>
      </w:r>
      <w:hyperlink w:anchor="appendix-a">
        <w:r>
          <w:rPr>
            <w:rStyle w:val="Hyperlink"/>
          </w:rPr>
          <w:t xml:space="preserve">Appendix A</w:t>
        </w:r>
      </w:hyperlink>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p>
    <w:p>
      <w:pPr>
        <w:pStyle w:val="BodyText"/>
      </w:pPr>
      <w:r>
        <w:t xml:space="preserve">The cards were used as research stimuli [</w:t>
      </w:r>
      <w:hyperlink w:anchor="X464e9f2e5e0cf52e9c26d3864e71249d73ea33a">
        <w:r>
          <w:rPr>
            <w:rStyle w:val="Hyperlink"/>
          </w:rPr>
          <w:t xml:space="preserve">3.5.2</w:t>
        </w:r>
      </w:hyperlink>
      <w:r>
        <w:t xml:space="preserve">] within the pilot study, which involved participatory design activities and design games in family homes. Once families understood data as</w:t>
      </w:r>
      <w:r>
        <w:t xml:space="preserve"> </w:t>
      </w:r>
      <w:r>
        <w:rPr>
          <w:iCs/>
          <w:i/>
        </w:rPr>
        <w:t xml:space="preserve">stored information about their lives</w:t>
      </w:r>
      <w:r>
        <w:t xml:space="preserve"> </w:t>
      </w:r>
      <w:r>
        <w:t xml:space="preserve">they were able to very effectively engage and talk about it. The use of the games and the cards was very successful, keeping a light and playful environment and making the topic relatable. The cards enabled families to talk freely about their own lives and views without feeling personally interrogated, as they were dissociated from the participants’ lives.</w:t>
      </w:r>
    </w:p>
    <w:bookmarkEnd w:id="25"/>
    <w:bookmarkStart w:id="26"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Families participating in the pilot study and in SILVER’s early research cared very much about what happened to their civic data, contrary to peers’ expectations. They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rights—to be informed, involved and accurately represented, with the ability to see, explain and correct their data to ensure it is fair and accurate. They wanted to know that their data will be handled sensitively and only by those that need to know. They believe that having such capabilities would help them to be able to work together with representatives of the state in a more positive relationship.</w:t>
      </w:r>
    </w:p>
    <w:p>
      <w:pPr>
        <w:pStyle w:val="BodyText"/>
      </w:pPr>
      <w:r>
        <w:t xml:space="preserve">The SILVER project [</w:t>
      </w:r>
      <w:hyperlink w:anchor="Xd1b935e29e3fe3be100369af902a8e47d687d29">
        <w:r>
          <w:rPr>
            <w:rStyle w:val="Hyperlink"/>
          </w:rPr>
          <w:t xml:space="preserve">3.4.1</w:t>
        </w:r>
      </w:hyperlink>
      <w:r>
        <w:t xml:space="preserve">] conducted qualitative interviews with EH-supported families, and unpublished findings from these interviews reinforced the need for a more consultative role for families in data handling. Participating families identified that while there was a willingness to consent to information being shared in order to improve their care, they had very little understanding of how it was used and could not be deemed to have given informed consent to the way their data is currently used.</w:t>
      </w:r>
    </w:p>
    <w:bookmarkEnd w:id="26"/>
    <w:bookmarkStart w:id="27"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worked closely with local authority staff, providing an understanding of support worker and staff perspectives. 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where staff mapped out information needs. They desired greater access to health information, particularly mental health indicators. The participants revealed a desire to gather as much data as possible about the families they were working with. It was viewed as a useful raw material that enabled them to do their job better.</w:t>
      </w:r>
    </w:p>
    <w:p>
      <w:pPr>
        <w:pStyle w:val="BodyText"/>
      </w:pPr>
      <w:r>
        <w:t xml:space="preserve">Collectively, findings from the pilot study and from SILVER showed a conflict between the desires from families and support workers. Families wanted more involvement and less reduction to data. Support workers wanted to amass more and better data. In part due to its funding and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key requirements. It continued to pursue the building of a richer data interface for support workers. At this point, my research objectives and those of the SILVER project diverged.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7"/>
    <w:bookmarkStart w:id="28" w:name="Xdecc0e8ff84b4e8fdb98d4490fcb5b15d4e95fa"/>
    <w:p>
      <w:pPr>
        <w:pStyle w:val="Heading3"/>
      </w:pPr>
      <w:r>
        <w:rPr>
          <w:rStyle w:val="SectionNumber"/>
        </w:rPr>
        <w:t xml:space="preserve">1.2.4</w:t>
      </w:r>
      <w:r>
        <w:tab/>
      </w:r>
      <w:r>
        <w:t xml:space="preserve">Shared Data Interaction: An Equitable and Mutually Beneficial Data Use Model</w:t>
      </w:r>
    </w:p>
    <w:p>
      <w:pPr>
        <w:pStyle w:val="FirstParagraph"/>
      </w:pPr>
      <w:r>
        <w:t xml:space="preserve">In attempting to reconcile the conflicting desires of families and support workers,</w:t>
      </w:r>
      <w:r>
        <w:t xml:space="preserve"> </w:t>
      </w:r>
      <w:r>
        <w:rPr>
          <w:bCs/>
          <w:b/>
        </w:rPr>
        <w:t xml:space="preserve">Shared Data Interaction</w:t>
      </w:r>
      <w:r>
        <w:t xml:space="preserve"> </w:t>
      </w:r>
      <w:r>
        <w:t xml:space="preserve">was conceived. What if, instead of workers gatekeeping data access and using it by themselves, data could be looked at, examined, and updated together, during the face-to-face encounters between families and their support workers? This could potentially bring the benefits of HDI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 theorised that this would allow families to access unseen data while also enabling support workers to</w:t>
      </w:r>
      <w:r>
        <w:t xml:space="preserve"> </w:t>
      </w:r>
      <w:r>
        <w:t xml:space="preserve">‘</w:t>
      </w:r>
      <w:r>
        <w:t xml:space="preserve">fill the gaps</w:t>
      </w:r>
      <w:r>
        <w:t xml:space="preserve">’</w:t>
      </w:r>
      <w:r>
        <w:t xml:space="preserve"> </w:t>
      </w:r>
      <w:r>
        <w:t xml:space="preserve">in the data by simply asking questions.</w:t>
      </w:r>
    </w:p>
    <w:p>
      <w:pPr>
        <w:pStyle w:val="BodyText"/>
      </w:pPr>
      <w:r>
        <w:t xml:space="preserve">This concept emerged in part from phase 1 participants of the research engagement, and became a main focus for the second phase. In this regard, the workshops would not only explore current practice, but also motivate participants to imagine new practices that could serve their needs better. This would allow a preliminary assessment of shared data interaction—whether it might address both groups’ needs and whether it would be perceived to benefit the support relationship. Even if the model was not well-regarded, such an exploration would still help to put participants in a speculative, co-design mindset that could elicit deeper insights about how civic data</w:t>
      </w:r>
      <w:r>
        <w:t xml:space="preserve"> </w:t>
      </w:r>
      <w:r>
        <w:rPr>
          <w:iCs/>
          <w:i/>
        </w:rPr>
        <w:t xml:space="preserve">should</w:t>
      </w:r>
      <w:r>
        <w:t xml:space="preserve"> </w:t>
      </w:r>
      <w:r>
        <w:t xml:space="preserve">be used.</w:t>
      </w:r>
    </w:p>
    <w:bookmarkEnd w:id="28"/>
    <w:bookmarkStart w:id="29" w:name="Xc522393afef60216141778dd694dd810eda5c25"/>
    <w:p>
      <w:pPr>
        <w:pStyle w:val="Heading3"/>
      </w:pPr>
      <w:r>
        <w:rPr>
          <w:rStyle w:val="SectionNumber"/>
        </w:rPr>
        <w:t xml:space="preserve">1.2.5</w:t>
      </w:r>
      <w:r>
        <w:tab/>
      </w:r>
      <w:r>
        <w:t xml:space="preserve">The Workshops</w:t>
      </w:r>
    </w:p>
    <w:p>
      <w:pPr>
        <w:pStyle w:val="TableCaption"/>
      </w:pPr>
      <w:r>
        <w:t xml:space="preserve">Table 4.1 - Case Study One Group Design Workshops.</w:t>
      </w:r>
    </w:p>
    <w:tbl>
      <w:tblPr>
        <w:tblStyle w:val="Table"/>
        <w:tblW w:type="pct" w:w="5000"/>
        <w:tblLook w:firstRow="1" w:lastRow="0" w:firstColumn="0" w:lastColumn="0" w:noHBand="0" w:noVBand="0" w:val="0020"/>
        <w:tblCaption w:val="Table 4.1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Decks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Decks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summer 2018, four 2-hour co-design workshops were carried out, with two phases as detailed in</w:t>
      </w:r>
      <w:r>
        <w:t xml:space="preserve"> </w:t>
      </w:r>
      <w:hyperlink w:anchor="table-4.1">
        <w:r>
          <w:rPr>
            <w:rStyle w:val="Hyperlink"/>
          </w:rPr>
          <w:t xml:space="preserve">Table 4.1</w:t>
        </w:r>
      </w:hyperlink>
      <w:r>
        <w:t xml:space="preserve">. Phase 1 served to revalidate earlier findings of early work and elicit participant perspectives on data within the support relationship, working with each group separately. A further objective was to understand existing data practices and whether they work, or need improving, and to identify known issues.</w:t>
      </w:r>
    </w:p>
    <w:p>
      <w:pPr>
        <w:pStyle w:val="BodyText"/>
      </w:pPr>
      <w:r>
        <w:t xml:space="preserve">In Phase 2 the two groups would collaborate to design imagined data practices and interactions for the shared data interaction model. The objective was to understand how</w:t>
      </w:r>
      <w:r>
        <w:t xml:space="preserve"> </w:t>
      </w:r>
      <w:r>
        <w:rPr>
          <w:iCs/>
          <w:i/>
        </w:rPr>
        <w:t xml:space="preserve">in practice</w:t>
      </w:r>
      <w:r>
        <w:t xml:space="preserve"> </w:t>
      </w:r>
      <w:r>
        <w:t xml:space="preserve">staff and families could imagine themselves using data together.</w:t>
      </w:r>
    </w:p>
    <w:p>
      <w:pPr>
        <w:pStyle w:val="BodyText"/>
      </w:pPr>
      <w:r>
        <w:t xml:space="preserve">Across both phases, various participatory methods were used [</w:t>
      </w:r>
      <w:hyperlink w:anchor="X464e9f2e5e0cf52e9c26d3864e71249d73ea33a">
        <w:r>
          <w:rPr>
            <w:rStyle w:val="Hyperlink"/>
          </w:rPr>
          <w:t xml:space="preserve">3.5.2</w:t>
        </w:r>
      </w:hyperlink>
      <w:r>
        <w:t xml:space="preserve">;</w:t>
      </w:r>
      <w:r>
        <w:t xml:space="preserve"> </w:t>
      </w:r>
      <w:hyperlink w:anchor="Xedf6a14348e4bc362e215e4dcd1e066e0bd16f7">
        <w:r>
          <w:rPr>
            <w:rStyle w:val="Hyperlink"/>
          </w:rPr>
          <w:t xml:space="preserve">3.5.3</w:t>
        </w:r>
      </w:hyperlink>
      <w:r>
        <w:t xml:space="preserve">]. Workshops were audio recorded and transcribed. Transcripts were analysed thematically, and in some cases quantitatively [</w:t>
      </w:r>
      <w:hyperlink w:anchor="Xecfb0067f356894b6b052ef3c3554dc7fb3f814">
        <w:r>
          <w:rPr>
            <w:rStyle w:val="Hyperlink"/>
          </w:rPr>
          <w:t xml:space="preserve">3.5.5</w:t>
        </w:r>
      </w:hyperlink>
      <w:r>
        <w:t xml:space="preserve">]. Thematic findings are documented in</w:t>
      </w:r>
      <w:r>
        <w:t xml:space="preserve"> </w:t>
      </w:r>
      <w:hyperlink w:anchor="X5d05199b7d43b0bd203a9cf2e8e874dad4ff45f">
        <w:r>
          <w:rPr>
            <w:rStyle w:val="Hyperlink"/>
          </w:rPr>
          <w:t xml:space="preserve">4.3</w:t>
        </w:r>
      </w:hyperlink>
      <w:r>
        <w:t xml:space="preserve">.</w:t>
      </w:r>
    </w:p>
    <w:bookmarkEnd w:id="29"/>
    <w:bookmarkStart w:id="33"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In all workshops, it was important to ensure participants arrived at a common understanding of their</w:t>
      </w:r>
      <w:r>
        <w:t xml:space="preserve"> </w:t>
      </w:r>
      <w:r>
        <w:t xml:space="preserve">‘</w:t>
      </w:r>
      <w:r>
        <w:t xml:space="preserve">design brief</w:t>
      </w:r>
      <w:r>
        <w:t xml:space="preserve">’</w:t>
      </w:r>
      <w:r>
        <w:t xml:space="preserve">. To achieve this, and to validate if these participants’ perspectives matched those observed previously, an activity called</w:t>
      </w:r>
      <w:r>
        <w:t xml:space="preserve"> </w:t>
      </w:r>
      <w:r>
        <w:rPr>
          <w:iCs/>
          <w:i/>
        </w:rPr>
        <w:t xml:space="preserve">Sentence Ranking</w:t>
      </w:r>
      <w:r>
        <w:t xml:space="preserve"> </w:t>
      </w:r>
      <w:r>
        <w:t xml:space="preserve">was conducted. Participants considered a number of opinionated statements and ranked them according to:</w:t>
      </w:r>
    </w:p>
    <w:p>
      <w:pPr>
        <w:numPr>
          <w:ilvl w:val="0"/>
          <w:numId w:val="1003"/>
        </w:numPr>
        <w:pStyle w:val="Compact"/>
      </w:pPr>
    </w:p>
    <w:p>
      <w:pPr>
        <w:numPr>
          <w:ilvl w:val="1"/>
          <w:numId w:val="1004"/>
        </w:numPr>
        <w:pStyle w:val="Compact"/>
      </w:pPr>
      <w:r>
        <w:t xml:space="preserve">whether they agreed, disagreed or were neutral on that statement, and</w:t>
      </w:r>
    </w:p>
    <w:p>
      <w:pPr>
        <w:numPr>
          <w:ilvl w:val="0"/>
          <w:numId w:val="1003"/>
        </w:numPr>
        <w:pStyle w:val="Compact"/>
      </w:pPr>
    </w:p>
    <w:p>
      <w:pPr>
        <w:numPr>
          <w:ilvl w:val="1"/>
          <w:numId w:val="1005"/>
        </w:numPr>
        <w:pStyle w:val="Compact"/>
      </w:pPr>
      <w:r>
        <w:t xml:space="preserve">whether or not they felt that statement was important.</w:t>
      </w:r>
    </w:p>
    <w:p>
      <w:pPr>
        <w:pStyle w:val="FirstParagraph"/>
      </w:pPr>
      <w:r>
        <w:t xml:space="preserve">An example statement is:</w:t>
      </w:r>
    </w:p>
    <w:p>
      <w:pPr>
        <w:pStyle w:val="BlockText"/>
      </w:pPr>
      <w:r>
        <w:t xml:space="preserve">‘</w:t>
      </w:r>
      <w:r>
        <w:t xml:space="preserve">Families should always be able to talk to someone about their data.</w:t>
      </w:r>
      <w:r>
        <w:t xml:space="preserve">’</w:t>
      </w:r>
    </w:p>
    <w:p>
      <w:pPr>
        <w:pStyle w:val="FirstParagraph"/>
      </w:pPr>
      <w:r>
        <w:t xml:space="preserve">The complete list of sentences is in</w:t>
      </w:r>
      <w:r>
        <w:t xml:space="preserve"> </w:t>
      </w:r>
      <w:hyperlink w:anchor="ari-sentences">
        <w:r>
          <w:rPr>
            <w:rStyle w:val="Hyperlink"/>
          </w:rPr>
          <w:t xml:space="preserve">ARI4.2</w:t>
        </w:r>
      </w:hyperlink>
      <w:r>
        <w:t xml:space="preserve">. These sentences were collated from family and staff perspectives observed during the pilot study, in SILVER’s research engagements, and from researcher observations during embedded work with SILVER [</w:t>
      </w:r>
      <w:hyperlink w:anchor="Xd1b935e29e3fe3be100369af902a8e47d687d29">
        <w:r>
          <w:rPr>
            <w:rStyle w:val="Hyperlink"/>
          </w:rPr>
          <w:t xml:space="preserve">3.4.1</w:t>
        </w:r>
      </w:hyperlink>
      <w:r>
        <w:t xml:space="preserve">].</w:t>
      </w:r>
    </w:p>
    <w:p>
      <w:pPr>
        <w:pStyle w:val="BodyText"/>
      </w:pPr>
      <w:r>
        <w:t xml:space="preserve">Through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r>
        <w:t xml:space="preserve"> </w:t>
      </w:r>
      <w:r>
        <w:t xml:space="preserve">Within each workshop, groups of participants sat at tables of 4 to 6 people, and each table provided its own sentence rankings.</w:t>
      </w:r>
    </w:p>
    <w:p>
      <w:pPr>
        <w:pStyle w:val="BodyText"/>
      </w:pPr>
      <w:r>
        <w:t xml:space="preserve">The resultant rankings were analysed as described in</w:t>
      </w:r>
      <w:r>
        <w:t xml:space="preserve"> </w:t>
      </w:r>
      <w:hyperlink w:anchor="ari-sentences">
        <w:r>
          <w:rPr>
            <w:rStyle w:val="Hyperlink"/>
          </w:rPr>
          <w:t xml:space="preserve">ARI4.2</w:t>
        </w:r>
      </w:hyperlink>
      <w:r>
        <w:t xml:space="preserve">. The visualisation of these findings on shared values is shown in</w:t>
      </w:r>
      <w:r>
        <w:t xml:space="preserve"> </w:t>
      </w:r>
      <w:hyperlink w:anchor="figure-4.1">
        <w:r>
          <w:rPr>
            <w:rStyle w:val="Hyperlink"/>
          </w:rPr>
          <w:t xml:space="preserve">Figure 4.1</w:t>
        </w:r>
      </w:hyperlink>
      <w:r>
        <w:t xml:space="preserve">.</w:t>
      </w:r>
    </w:p>
    <w:p>
      <w:pPr>
        <w:pStyle w:val="BodyText"/>
      </w:pPr>
      <w:r>
        <w:t xml:space="preserve">As the figure shows, there was universal consensus that:</w:t>
      </w:r>
    </w:p>
    <w:p>
      <w:pPr>
        <w:numPr>
          <w:ilvl w:val="0"/>
          <w:numId w:val="1006"/>
        </w:numPr>
        <w:pStyle w:val="Compact"/>
      </w:pPr>
      <w:r>
        <w:t xml:space="preserve">families should be able discuss their data with someone from the authorities,</w:t>
      </w:r>
    </w:p>
    <w:p>
      <w:pPr>
        <w:numPr>
          <w:ilvl w:val="0"/>
          <w:numId w:val="1006"/>
        </w:numPr>
        <w:pStyle w:val="Compact"/>
      </w:pPr>
      <w:r>
        <w:t xml:space="preserve">public sector officials cannot make good judgements solely by looking at families’ data,</w:t>
      </w:r>
    </w:p>
    <w:p>
      <w:pPr>
        <w:numPr>
          <w:ilvl w:val="0"/>
          <w:numId w:val="1006"/>
        </w:numPr>
        <w:pStyle w:val="Compact"/>
      </w:pPr>
      <w:r>
        <w:t xml:space="preserve">data cannot adequately represent a family,</w:t>
      </w:r>
    </w:p>
    <w:p>
      <w:pPr>
        <w:numPr>
          <w:ilvl w:val="0"/>
          <w:numId w:val="1006"/>
        </w:numPr>
        <w:pStyle w:val="Compact"/>
      </w:pPr>
      <w:r>
        <w:t xml:space="preserve">families should be treated as more than just what their database record says,</w:t>
      </w:r>
    </w:p>
    <w:p>
      <w:pPr>
        <w:numPr>
          <w:ilvl w:val="0"/>
          <w:numId w:val="1006"/>
        </w:numPr>
        <w:pStyle w:val="Compact"/>
      </w:pPr>
      <w:r>
        <w:t xml:space="preserve">information stored about them must be fair and accurate,</w:t>
      </w:r>
    </w:p>
    <w:p>
      <w:pPr>
        <w:numPr>
          <w:ilvl w:val="0"/>
          <w:numId w:val="1006"/>
        </w:numPr>
        <w:pStyle w:val="Compact"/>
      </w:pPr>
      <w:r>
        <w:t xml:space="preserve">families must have rights to see it and how it is used, and</w:t>
      </w:r>
    </w:p>
    <w:p>
      <w:pPr>
        <w:numPr>
          <w:ilvl w:val="0"/>
          <w:numId w:val="1006"/>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consensus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w:t>
      </w:r>
      <w:hyperlink w:anchor="X9eb2c8e7c5bc627a302d0d70db67a8586f266ab">
        <w:r>
          <w:rPr>
            <w:rStyle w:val="Hyperlink"/>
          </w:rPr>
          <w:t xml:space="preserve">4.3.3</w:t>
        </w:r>
      </w:hyperlink>
      <w:r>
        <w:t xml:space="preserve">], about how families would feel about the collection of data about them and about having responsibility to managing access to it. There was moderate consensus over most other sentences.</w:t>
      </w:r>
    </w:p>
    <w:p>
      <w:pPr>
        <w:pStyle w:val="CaptionedFigure"/>
      </w:pPr>
      <w:r>
        <w:drawing>
          <wp:inline>
            <wp:extent cx="5334000" cy="6195712"/>
            <wp:effectExtent b="0" l="0" r="0" t="0"/>
            <wp:docPr descr="Figure 4.1 - Participants’ Shared Values Deduced from Sentence Rankings Data" title="" id="31" name="Picture"/>
            <a:graphic>
              <a:graphicData uri="http://schemas.openxmlformats.org/drawingml/2006/picture">
                <pic:pic>
                  <pic:nvPicPr>
                    <pic:cNvPr descr="./src/figs/fig4.1-sentence-ranking-results.png" id="32" name="Picture"/>
                    <pic:cNvPicPr>
                      <a:picLocks noChangeArrowheads="1" noChangeAspect="1"/>
                    </pic:cNvPicPr>
                  </pic:nvPicPr>
                  <pic:blipFill>
                    <a:blip r:embed="rId30"/>
                    <a:stretch>
                      <a:fillRect/>
                    </a:stretch>
                  </pic:blipFill>
                  <pic:spPr bwMode="auto">
                    <a:xfrm>
                      <a:off x="0" y="0"/>
                      <a:ext cx="5334000" cy="6195712"/>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After this exercise, participants were considered sensitised and went on to carry out the other co-design activities [</w:t>
      </w:r>
      <w:hyperlink w:anchor="table-4.1">
        <w:r>
          <w:rPr>
            <w:rStyle w:val="Hyperlink"/>
          </w:rPr>
          <w:t xml:space="preserve">Table 4.1</w:t>
        </w:r>
      </w:hyperlink>
      <w:r>
        <w:t xml:space="preserve">]. Transcripts of these activities were analysed to produce thematic findings, which are detailed in the next section.</w:t>
      </w:r>
    </w:p>
    <w:bookmarkEnd w:id="33"/>
    <w:bookmarkEnd w:id="34"/>
    <w:bookmarkStart w:id="40" w:name="X5d05199b7d43b0bd203a9cf2e8e874dad4ff45f"/>
    <w:p>
      <w:pPr>
        <w:pStyle w:val="Heading2"/>
      </w:pPr>
      <w:r>
        <w:rPr>
          <w:rStyle w:val="SectionNumber"/>
        </w:rPr>
        <w:t xml:space="preserve">1.3</w:t>
      </w:r>
      <w:r>
        <w:tab/>
      </w:r>
      <w:r>
        <w:t xml:space="preserve">Thematic Findings</w:t>
      </w:r>
    </w:p>
    <w:p>
      <w:pPr>
        <w:pStyle w:val="FirstParagraph"/>
      </w:pPr>
      <w:r>
        <w:t xml:space="preserve">The 120,000-word corpus from audio recordings of workshops A, B and C was divided by activity, group, and family or staff focus into 85 different source texts. Each text was thematically coded. The coded texts were analysed through four cycles of analysis</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for context. Results of the thematic analysis are presented below. In</w:t>
      </w:r>
      <w:r>
        <w:t xml:space="preserve"> </w:t>
      </w:r>
      <w:hyperlink w:anchor="X5c213d3f7d5eb3b3913f2bcc99b547ab52233a9">
        <w:r>
          <w:rPr>
            <w:rStyle w:val="Hyperlink"/>
          </w:rPr>
          <w:t xml:space="preserve">4.3.1</w:t>
        </w:r>
      </w:hyperlink>
      <w:r>
        <w:t xml:space="preserve"> </w:t>
      </w:r>
      <w:r>
        <w:t xml:space="preserve">the three main themes and subthemes are introduced. Each theme is detailed in</w:t>
      </w:r>
      <w:r>
        <w:t xml:space="preserve"> </w:t>
      </w:r>
      <w:hyperlink w:anchor="X4bf33bfd9c3793655f2a19fca0ee1ca41e62e6e">
        <w:r>
          <w:rPr>
            <w:rStyle w:val="Hyperlink"/>
          </w:rPr>
          <w:t xml:space="preserve">4.3.2</w:t>
        </w:r>
      </w:hyperlink>
      <w:r>
        <w:t xml:space="preserve"> </w:t>
      </w:r>
      <w:r>
        <w:t xml:space="preserve">to</w:t>
      </w:r>
      <w:r>
        <w:t xml:space="preserve"> </w:t>
      </w:r>
      <w:hyperlink w:anchor="Xbab51b354b67876c6284de28df0e549940fb873">
        <w:r>
          <w:rPr>
            <w:rStyle w:val="Hyperlink"/>
          </w:rPr>
          <w:t xml:space="preserve">4.3.4</w:t>
        </w:r>
      </w:hyperlink>
      <w:r>
        <w:t xml:space="preserve">, including participant quotes. Notation for quotes is explained in</w:t>
      </w:r>
      <w:r>
        <w:t xml:space="preserve"> </w:t>
      </w:r>
      <w:hyperlink w:anchor="ari-quote-notation">
        <w:r>
          <w:rPr>
            <w:rStyle w:val="Hyperlink"/>
          </w:rPr>
          <w:t xml:space="preserve">ARI4.4</w:t>
        </w:r>
      </w:hyperlink>
      <w:r>
        <w:t xml:space="preserve">].</w:t>
      </w:r>
    </w:p>
    <w:bookmarkStart w:id="36" w:name="X5c213d3f7d5eb3b3913f2bcc99b547ab52233a9"/>
    <w:p>
      <w:pPr>
        <w:pStyle w:val="Heading3"/>
      </w:pPr>
      <w:r>
        <w:rPr>
          <w:rStyle w:val="SectionNumber"/>
        </w:rPr>
        <w:t xml:space="preserve">1.3.1</w:t>
      </w:r>
      <w:r>
        <w:tab/>
      </w:r>
      <w:r>
        <w:t xml:space="preserve">Themes &amp; Subthemes</w:t>
      </w:r>
    </w:p>
    <w:p>
      <w:pPr>
        <w:pStyle w:val="FirstParagraph"/>
      </w:pPr>
      <w:r>
        <w:t xml:space="preserve">Since workshop discussions were framed as explorations of data use within the EH relationship, thematic findings are expressed as desirable best practices. These best practices are divided into three themes:</w:t>
      </w:r>
    </w:p>
    <w:p>
      <w:pPr>
        <w:numPr>
          <w:ilvl w:val="0"/>
          <w:numId w:val="1007"/>
        </w:numPr>
        <w:pStyle w:val="Compact"/>
      </w:pPr>
      <w:r>
        <w:t xml:space="preserve">Meaningful Data Interaction [</w:t>
      </w:r>
      <w:hyperlink w:anchor="X4bf33bfd9c3793655f2a19fca0ee1ca41e62e6e">
        <w:r>
          <w:rPr>
            <w:rStyle w:val="Hyperlink"/>
          </w:rPr>
          <w:t xml:space="preserve">4.3.2</w:t>
        </w:r>
      </w:hyperlink>
      <w:r>
        <w:t xml:space="preserve">],</w:t>
      </w:r>
    </w:p>
    <w:p>
      <w:pPr>
        <w:numPr>
          <w:ilvl w:val="0"/>
          <w:numId w:val="1007"/>
        </w:numPr>
        <w:pStyle w:val="Compact"/>
      </w:pPr>
      <w:r>
        <w:t xml:space="preserve">Giving a Voice to the Family [</w:t>
      </w:r>
      <w:hyperlink w:anchor="X7d362c1e174c59583bc075f9c4f790b095f0935">
        <w:r>
          <w:rPr>
            <w:rStyle w:val="Hyperlink"/>
          </w:rPr>
          <w:t xml:space="preserve">4.3.3</w:t>
        </w:r>
      </w:hyperlink>
      <w:r>
        <w:t xml:space="preserve">], and</w:t>
      </w:r>
    </w:p>
    <w:p>
      <w:pPr>
        <w:numPr>
          <w:ilvl w:val="0"/>
          <w:numId w:val="1007"/>
        </w:numPr>
        <w:pStyle w:val="Compact"/>
      </w:pPr>
      <w:r>
        <w:t xml:space="preserve">Earning Trust through Transparency [</w:t>
      </w:r>
      <w:hyperlink w:anchor="Xbab51b354b67876c6284de28df0e549940fb873">
        <w:r>
          <w:rPr>
            <w:rStyle w:val="Hyperlink"/>
          </w:rPr>
          <w:t xml:space="preserve">4.3.4</w:t>
        </w:r>
      </w:hyperlink>
      <w:r>
        <w:t xml:space="preserve">].</w:t>
      </w:r>
    </w:p>
    <w:p>
      <w:pPr>
        <w:pStyle w:val="FirstParagraph"/>
      </w:pPr>
      <w:r>
        <w:t xml:space="preserve">Explicit and implicit statements from participants, contextual clues, and accumulated knowledge allowed a judgement to be made as to whether each discussed best practices was:</w:t>
      </w:r>
    </w:p>
    <w:p>
      <w:pPr>
        <w:numPr>
          <w:ilvl w:val="0"/>
          <w:numId w:val="1008"/>
        </w:numPr>
        <w:pStyle w:val="Compact"/>
      </w:pPr>
      <w:r>
        <w:t xml:space="preserve">commonly in use (</w:t>
      </w:r>
      <w:r>
        <w:t xml:space="preserve">‘</w:t>
      </w:r>
      <w:r>
        <w:t xml:space="preserve">current</w:t>
      </w:r>
      <w:r>
        <w:t xml:space="preserve">’</w:t>
      </w:r>
      <w:r>
        <w:t xml:space="preserve">),</w:t>
      </w:r>
    </w:p>
    <w:p>
      <w:pPr>
        <w:numPr>
          <w:ilvl w:val="0"/>
          <w:numId w:val="1008"/>
        </w:numPr>
        <w:pStyle w:val="Compact"/>
      </w:pPr>
      <w:r>
        <w:t xml:space="preserve">happening occasionally/partially (</w:t>
      </w:r>
      <w:r>
        <w:t xml:space="preserve">‘</w:t>
      </w:r>
      <w:r>
        <w:t xml:space="preserve">emergent</w:t>
      </w:r>
      <w:r>
        <w:t xml:space="preserve">’</w:t>
      </w:r>
      <w:r>
        <w:t xml:space="preserve">) , or</w:t>
      </w:r>
    </w:p>
    <w:p>
      <w:pPr>
        <w:numPr>
          <w:ilvl w:val="0"/>
          <w:numId w:val="1008"/>
        </w:numPr>
        <w:pStyle w:val="Compact"/>
      </w:pPr>
      <w:r>
        <w:t xml:space="preserve">not yet occurring at all (</w:t>
      </w:r>
      <w:r>
        <w:t xml:space="preserve">‘</w:t>
      </w:r>
      <w:r>
        <w:t xml:space="preserve">imagined</w:t>
      </w:r>
      <w:r>
        <w:t xml:space="preserve">’</w:t>
      </w:r>
      <w:r>
        <w:t xml:space="preserve">)</w:t>
      </w:r>
      <w:r>
        <w:rPr>
          <w:rStyle w:val="FootnoteReference"/>
        </w:rPr>
        <w:footnoteReference w:id="35"/>
      </w:r>
      <w:r>
        <w:t xml:space="preserve">.</w:t>
      </w:r>
    </w:p>
    <w:p>
      <w:pPr>
        <w:pStyle w:val="FirstParagraph"/>
      </w:pPr>
      <w:r>
        <w:t xml:space="preserve">Tables</w:t>
      </w:r>
      <w:r>
        <w:t xml:space="preserve"> </w:t>
      </w:r>
      <w:hyperlink w:anchor="table-4.3">
        <w:r>
          <w:rPr>
            <w:rStyle w:val="Hyperlink"/>
          </w:rPr>
          <w:t xml:space="preserve">4.3</w:t>
        </w:r>
      </w:hyperlink>
      <w:r>
        <w:t xml:space="preserve">,</w:t>
      </w:r>
      <w:r>
        <w:t xml:space="preserve"> </w:t>
      </w:r>
      <w:hyperlink w:anchor="table-4.4">
        <w:r>
          <w:rPr>
            <w:rStyle w:val="Hyperlink"/>
          </w:rPr>
          <w:t xml:space="preserve">4.4</w:t>
        </w:r>
      </w:hyperlink>
      <w:r>
        <w:t xml:space="preserve"> </w:t>
      </w:r>
      <w:r>
        <w:t xml:space="preserve">and</w:t>
      </w:r>
      <w:r>
        <w:t xml:space="preserve"> </w:t>
      </w:r>
      <w:hyperlink w:anchor="table-4.5">
        <w:r>
          <w:rPr>
            <w:rStyle w:val="Hyperlink"/>
          </w:rPr>
          <w:t xml:space="preserve">4.5</w:t>
        </w:r>
      </w:hyperlink>
      <w:r>
        <w:t xml:space="preserve"> </w:t>
      </w:r>
      <w:r>
        <w:t xml:space="preserve">show subthemes, illustrated with participant quotes, as well as the current, emergent or imagined status of each subtheme. Structuring the themes makes the findings actionable for social care organisations.</w:t>
      </w:r>
    </w:p>
    <w:p>
      <w:pPr>
        <w:pStyle w:val="TableCaption"/>
      </w:pPr>
      <w:r>
        <w:t xml:space="preserve">Table 4.2 -</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4.2 -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w:t>
            </w:r>
            <w:r>
              <w:rPr>
                <w:iCs/>
                <w:i/>
              </w:rPr>
              <w:t xml:space="preserve"> </w:t>
            </w:r>
            <w:r>
              <w:rPr>
                <w:iCs/>
                <w:i/>
              </w:rPr>
              <w:t xml:space="preserve">“</w:t>
            </w:r>
            <w:r>
              <w:rPr>
                <w:iCs/>
                <w:i/>
              </w:rPr>
              <w:t xml:space="preserve">This is where you are now but if you [take these specific steps], even though you’ve got a criminal record, you could progress to this level.</w:t>
            </w:r>
            <w:r>
              <w:rPr>
                <w:iCs/>
                <w:i/>
              </w:rPr>
              <w:t xml:space="preserve">”</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4.3 -</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4.3 -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w:t>
            </w:r>
            <w:r>
              <w:rPr>
                <w:iCs/>
                <w:i/>
              </w:rPr>
              <w:t xml:space="preserve">You should never make a judgement on data… that data could be wrong.</w:t>
            </w:r>
            <w:r>
              <w:rPr>
                <w:iCs/>
                <w:i/>
              </w:rPr>
              <w:t xml:space="preserve">’</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t xml:space="preserve"> </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4.4 -</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4.4 -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w:t>
            </w:r>
            <w:r>
              <w:rPr>
                <w:iCs/>
                <w:i/>
              </w:rPr>
              <w:t xml:space="preserve">’</w:t>
            </w:r>
            <w:r>
              <w:rPr>
                <w:iCs/>
                <w:i/>
              </w:rPr>
              <w:t xml:space="preserve"> </w:t>
            </w:r>
            <w:r>
              <w:rPr>
                <w:iCs/>
                <w:i/>
              </w:rPr>
              <w:t xml:space="preserve">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6"/>
    <w:bookmarkStart w:id="37"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discussions with families and support workers a deep understanding of what sort of families’ ideal data interactions was obtained. Setting aside interface considerations, which were not the main focus of the inquiry, and focusing on the wider sociotechnical context around the data and its access, it seems that in order to maximise understanding for all parties, data interaction needs to be</w:t>
      </w:r>
      <w:r>
        <w:t xml:space="preserve"> </w:t>
      </w:r>
      <w:r>
        <w:rPr>
          <w:iCs/>
          <w:i/>
        </w:rPr>
        <w:t xml:space="preserve">meaningful</w:t>
      </w:r>
      <w:r>
        <w:t xml:space="preserve">—the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p>
      <w:pPr>
        <w:pStyle w:val="BodyText"/>
      </w:pPr>
      <w:r>
        <w:rPr>
          <w:bCs/>
          <w:b/>
        </w:rPr>
        <w:t xml:space="preserve">Understandable Information Summaries</w:t>
      </w:r>
    </w:p>
    <w:p>
      <w:pPr>
        <w:pStyle w:val="BodyText"/>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rPr>
          <w:iCs/>
          <w:i/>
        </w:rPr>
        <w:t xml:space="preserve">findable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t xml:space="preserve">‘</w:t>
      </w:r>
      <w:r>
        <w:t xml:space="preserve">trawl through data</w:t>
      </w:r>
      <w: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effective data use for everyone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It is not clear who could or should do the skilled knowledge work of creating these representative and accurate tailored summaries and visualisations.</w:t>
      </w:r>
    </w:p>
    <w:p>
      <w:pPr>
        <w:pStyle w:val="BodyText"/>
      </w:pPr>
      <w:r>
        <w:rPr>
          <w:bCs/>
          <w:b/>
        </w:rPr>
        <w:t xml:space="preserve">Interact with Data Together</w:t>
      </w:r>
    </w:p>
    <w:p>
      <w:pPr>
        <w:pStyle w:val="BodyText"/>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lock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—[Worker, SQ28]</w:t>
      </w:r>
    </w:p>
    <w:p>
      <w:pPr>
        <w:pStyle w:val="FirstParagraph"/>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it seems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w:t>
      </w:r>
      <w:r>
        <w:t xml:space="preserve"> </w:t>
      </w:r>
      <w:hyperlink w:anchor="table-4.2">
        <w:r>
          <w:rPr>
            <w:rStyle w:val="Hyperlink"/>
          </w:rPr>
          <w:t xml:space="preserve">Table 4.2</w:t>
        </w:r>
      </w:hyperlink>
      <w:r>
        <w:t xml:space="preserve">]. This could motivate and reinforce progress [SQ6] by relating behaviours to consequences [SQ32] – essentially facilitating data-based decision making. Reviewing historical data is preferable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p>
      <w:pPr>
        <w:pStyle w:val="BodyText"/>
      </w:pPr>
      <w:r>
        <w:rPr>
          <w:bCs/>
          <w:b/>
        </w:rPr>
        <w:t xml:space="preserve">Direct and Unified Data Access</w:t>
      </w:r>
    </w:p>
    <w:p>
      <w:pPr>
        <w:pStyle w:val="BodyText"/>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p>
    <w:p>
      <w:pPr>
        <w:pStyle w:val="BlockText"/>
      </w:pPr>
      <w:r>
        <w:rPr>
          <w:iCs/>
          <w:i/>
        </w:rPr>
        <w:t xml:space="preserve">‘</w:t>
      </w:r>
      <w:r>
        <w:rPr>
          <w:iCs/>
          <w:i/>
        </w:rPr>
        <w:t xml:space="preserve">They could quickly tap onto the app […] and show somebody else where they’re at.</w:t>
      </w:r>
      <w:r>
        <w:rPr>
          <w:iCs/>
          <w:i/>
        </w:rPr>
        <w:t xml:space="preserve">’</w:t>
      </w:r>
      <w:r>
        <w:t xml:space="preserve">—[SQ54]</w:t>
      </w:r>
    </w:p>
    <w:p>
      <w:pPr>
        <w:pStyle w:val="Block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—[Parent, FQ7]</w:t>
      </w:r>
    </w:p>
    <w:p>
      <w:pPr>
        <w:pStyle w:val="FirstParagraph"/>
      </w:pPr>
      <w:r>
        <w:t xml:space="preserve">Workers and families shared a desire for one single point of access for data, useable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p>
    <w:p>
      <w:pPr>
        <w:pStyle w:val="BlockText"/>
      </w:pP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—[SQ8]</w:t>
      </w:r>
    </w:p>
    <w:p>
      <w:pPr>
        <w:pStyle w:val="FirstParagraph"/>
      </w:pPr>
      <w:r>
        <w:rPr>
          <w:bCs/>
          <w:b/>
        </w:rPr>
        <w:t xml:space="preserve">Ongoing Data Access and Support</w:t>
      </w:r>
    </w:p>
    <w:p>
      <w:pPr>
        <w:pStyle w:val="BodyText"/>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lock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 that they feel they’re being judged on.</w:t>
      </w:r>
      <w:r>
        <w:rPr>
          <w:iCs/>
          <w:i/>
        </w:rPr>
        <w:t xml:space="preserve">’</w:t>
      </w:r>
      <w:r>
        <w:t xml:space="preserve">—[Worker, CQ13]</w:t>
      </w:r>
    </w:p>
    <w:p>
      <w:pPr>
        <w:pStyle w:val="FirstParagraph"/>
      </w:pPr>
      <w:r>
        <w:t xml:space="preserve">Timely access to data could be empowering, as families could track their own progress, enabling them to make plans outside of the support relationship, reducing dependency upon support, in line with the ultimate goals of the programme:</w:t>
      </w:r>
    </w:p>
    <w:p>
      <w:pPr>
        <w:pStyle w:val="Block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FirstParagraph"/>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lock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-[Worker, SQ49]</w:t>
      </w:r>
    </w:p>
    <w:p>
      <w:pPr>
        <w:pStyle w:val="FirstParagraph"/>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37"/>
    <w:bookmarkStart w:id="38"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EH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There are benefits and dangers of relying solely on either source. Families should become agents in the data ecosystem, and this involvement should lead to both greater empowerment and better evidence-based decisions.</w:t>
      </w:r>
    </w:p>
    <w:p>
      <w:pPr>
        <w:pStyle w:val="BodyText"/>
      </w:pPr>
      <w:r>
        <w:rPr>
          <w:bCs/>
          <w:b/>
        </w:rPr>
        <w:t xml:space="preserve">People not Records</w:t>
      </w:r>
    </w:p>
    <w:p>
      <w:pPr>
        <w:pStyle w:val="BodyText"/>
      </w:pPr>
      <w:r>
        <w:t xml:space="preserve">It was evident, consistent with literature (</w:t>
      </w:r>
      <w:r>
        <w:t xml:space="preserve">Gitelman (</w:t>
      </w:r>
      <w:hyperlink w:anchor="ref-gitelman2013">
        <w:r>
          <w:rPr>
            <w:rStyle w:val="Hyperlink"/>
          </w:rPr>
          <w:t xml:space="preserve">2013</w:t>
        </w:r>
      </w:hyperlink>
      <w:r>
        <w:t xml:space="preserve">)</w:t>
      </w:r>
      <w:r>
        <w:t xml:space="preserve">) and the pilot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data can never represent absolute truth - it is often biased or incomplete, and this can mislead [SQ59,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p>
    <w:p>
      <w:pPr>
        <w:pStyle w:val="BlockText"/>
      </w:pPr>
      <w:r>
        <w:rPr>
          <w:iCs/>
          <w:i/>
        </w:rPr>
        <w:t xml:space="preserve">’I had a family where trying to unpick what had happened, over ten years, to the child, was really difficult. So, I went away, got the information and came back and if you have</w:t>
      </w:r>
      <w:r>
        <w:t xml:space="preserve"> </w:t>
      </w:r>
      <w:r>
        <w:t xml:space="preserve">[…]</w:t>
      </w:r>
      <w:r>
        <w:t xml:space="preserve"> </w:t>
      </w:r>
      <w:r>
        <w:rPr>
          <w:iCs/>
          <w:i/>
        </w:rPr>
        <w:t xml:space="preserve">that picture of how the family works</w:t>
      </w:r>
      <w:r>
        <w:t xml:space="preserve"> </w:t>
      </w:r>
      <w:r>
        <w:t xml:space="preserve">[when you meet them]</w:t>
      </w:r>
      <w:r>
        <w:rPr>
          <w:iCs/>
          <w:i/>
        </w:rPr>
        <w:t xml:space="preserve">,</w:t>
      </w:r>
      <w:r>
        <w:t xml:space="preserve"> </w:t>
      </w:r>
      <w:r>
        <w:t xml:space="preserve">[that helps]</w:t>
      </w:r>
      <w:r>
        <w:rPr>
          <w:iCs/>
          <w:i/>
        </w:rPr>
        <w:t xml:space="preserve">.’</w:t>
      </w:r>
      <w:r>
        <w:t xml:space="preserve">—[SQ1]</w:t>
      </w:r>
    </w:p>
    <w:p>
      <w:pPr>
        <w:pStyle w:val="FirstParagraph"/>
      </w:pP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p>
    <w:p>
      <w:pPr>
        <w:pStyle w:val="BlockText"/>
      </w:pP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—[Worker, SQ61]</w:t>
      </w:r>
    </w:p>
    <w:p>
      <w:pPr>
        <w:pStyle w:val="FirstParagraph"/>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w:t>
      </w:r>
      <w:hyperlink w:anchor="Xbab51b354b67876c6284de28df0e549940fb873">
        <w:r>
          <w:rPr>
            <w:rStyle w:val="Hyperlink"/>
          </w:rPr>
          <w:t xml:space="preserve">4.3.4</w:t>
        </w:r>
      </w:hyperlink>
      <w:r>
        <w:t xml:space="preserve">].</w:t>
      </w:r>
    </w:p>
    <w:p>
      <w:pPr>
        <w:pStyle w:val="BodyText"/>
      </w:pPr>
      <w:r>
        <w:rPr>
          <w:bCs/>
          <w:b/>
        </w:rPr>
        <w:t xml:space="preserve">Checking Data Together</w:t>
      </w:r>
    </w:p>
    <w:p>
      <w:pPr>
        <w:pStyle w:val="BodyText"/>
      </w:pPr>
      <w:r>
        <w:t xml:space="preserve">The idea of families and support workers reviewing data</w:t>
      </w:r>
      <w:r>
        <w:t xml:space="preserve"> </w:t>
      </w:r>
      <w:r>
        <w:rPr>
          <w:bCs/>
          <w:b/>
        </w:rPr>
        <w:t xml:space="preserve">together</w:t>
      </w:r>
      <w:r>
        <w:t xml:space="preserve"> </w:t>
      </w:r>
      <w:r>
        <w:t xml:space="preserve">arose from many participants in workshops A and B, and this motivated an exploration of the concept of shared data interaction in more depth through the storyboarding exercise in workshop C [</w:t>
      </w:r>
      <w:hyperlink w:anchor="Xdecc0e8ff84b4e8fdb98d4490fcb5b15d4e95fa">
        <w:r>
          <w:rPr>
            <w:rStyle w:val="Hyperlink"/>
          </w:rPr>
          <w:t xml:space="preserve">4.2.4</w:t>
        </w:r>
      </w:hyperlink>
      <w:r>
        <w:t xml:space="preserve">]. Families perceived value in having not just data representations as above, but also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lockText"/>
      </w:pPr>
      <w:r>
        <w:rPr>
          <w:iCs/>
          <w:i/>
        </w:rPr>
        <w:t xml:space="preserve">“</w:t>
      </w:r>
      <w:r>
        <w:t xml:space="preserve">[There would be an]</w:t>
      </w:r>
      <w:r>
        <w:t xml:space="preserve"> </w:t>
      </w:r>
      <w:r>
        <w:rPr>
          <w:iCs/>
          <w:i/>
        </w:rPr>
        <w:t xml:space="preserve">individual view where each person within the family would have their own section</w:t>
      </w:r>
      <w:r>
        <w:t xml:space="preserve"> </w:t>
      </w:r>
      <w:r>
        <w:t xml:space="preserve">[…]</w:t>
      </w:r>
      <w:r>
        <w:t xml:space="preserve"> </w:t>
      </w:r>
      <w:r>
        <w:rPr>
          <w:iCs/>
          <w:i/>
        </w:rPr>
        <w:t xml:space="preserve">you could sit with them</w:t>
      </w:r>
      <w:r>
        <w:t xml:space="preserve"> </w:t>
      </w:r>
      <w:r>
        <w:t xml:space="preserve">[…]</w:t>
      </w:r>
      <w:r>
        <w:t xml:space="preserve"> </w:t>
      </w:r>
      <w:r>
        <w:rPr>
          <w:iCs/>
          <w:i/>
        </w:rPr>
        <w:t xml:space="preserve">and go through the data that we have got which would enable them to change anything that they want taken out.”</w:t>
      </w:r>
      <w:r>
        <w:t xml:space="preserve">—[Worker, SQ66]</w:t>
      </w:r>
    </w:p>
    <w:p>
      <w:pPr>
        <w:pStyle w:val="FirstParagraph"/>
      </w:pPr>
      <w:r>
        <w:t xml:space="preserve">Shared data interaction carries the potential to bring benefits in accountability, accuracy, simplicity [SQ25, SQ26] and consent.</w:t>
      </w:r>
    </w:p>
    <w:p>
      <w:pPr>
        <w:pStyle w:val="BodyText"/>
      </w:pPr>
      <w:r>
        <w:rPr>
          <w:bCs/>
          <w:b/>
        </w:rPr>
        <w:t xml:space="preserve">Changing Lives Means Changing Data and Changing Consent</w:t>
      </w:r>
    </w:p>
    <w:p>
      <w:pPr>
        <w:pStyle w:val="BodyText"/>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lockText"/>
      </w:pPr>
      <w:r>
        <w:t xml:space="preserve">Worker A:</w:t>
      </w:r>
      <w:r>
        <w:t xml:space="preserve"> </w:t>
      </w:r>
      <w:r>
        <w:rPr>
          <w:iCs/>
          <w:i/>
        </w:rPr>
        <w:t xml:space="preserve">‘</w:t>
      </w:r>
      <w:r>
        <w:rPr>
          <w:iCs/>
          <w:i/>
        </w:rPr>
        <w:t xml:space="preserve">We would get a report through to say…</w:t>
      </w:r>
      <w:r>
        <w:rPr>
          <w:iCs/>
          <w:i/>
        </w:rPr>
        <w:t xml:space="preserve">’</w:t>
      </w:r>
      <w:r>
        <w:rPr>
          <w:iCs/>
          <w:i/>
        </w:rPr>
        <w:t xml:space="preserve">“</w:t>
      </w:r>
      <w:r>
        <w:t xml:space="preserve">Worker B:</w:t>
      </w:r>
      <w:r>
        <w:t xml:space="preserve"> </w:t>
      </w:r>
      <w:r>
        <w:rPr>
          <w:iCs/>
          <w:i/>
        </w:rPr>
        <w:t xml:space="preserve">‘</w:t>
      </w:r>
      <w:r>
        <w:rPr>
          <w:iCs/>
          <w:i/>
        </w:rPr>
        <w:t xml:space="preserve">They’ve recorded something.</w:t>
      </w:r>
      <w:r>
        <w:rPr>
          <w:iCs/>
          <w:i/>
        </w:rPr>
        <w:t xml:space="preserve">’</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—[SQ65]</w:t>
      </w:r>
    </w:p>
    <w:p>
      <w:pPr>
        <w:pStyle w:val="FirstParagraph"/>
      </w:pPr>
      <w:r>
        <w:t xml:space="preserve">Regardless of the particular mechanism, it was ultimately felt that both data systems and support processes need to do a better job of supporting change.</w:t>
      </w:r>
    </w:p>
    <w:p>
      <w:pPr>
        <w:pStyle w:val="BodyText"/>
      </w:pPr>
      <w:r>
        <w:rPr>
          <w:bCs/>
          <w:b/>
        </w:rPr>
        <w:t xml:space="preserve">Individual Agency &amp; Family-sourced Data</w:t>
      </w:r>
    </w:p>
    <w:p>
      <w:pPr>
        <w:pStyle w:val="BodyText"/>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lock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FirstParagraph"/>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lock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FirstParagraph"/>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w:t>
      </w:r>
      <w:r>
        <w:t xml:space="preserve"> </w:t>
      </w:r>
      <w:hyperlink w:anchor="table-4.3">
        <w:r>
          <w:rPr>
            <w:rStyle w:val="Hyperlink"/>
          </w:rPr>
          <w:t xml:space="preserve">Table 4.3</w:t>
        </w:r>
      </w:hyperlink>
      <w:r>
        <w:t xml:space="preserve"> </w:t>
      </w:r>
      <w:r>
        <w:t xml:space="preserve">above].</w:t>
      </w:r>
    </w:p>
    <w:p>
      <w:pPr>
        <w:pStyle w:val="BodyText"/>
      </w:pPr>
      <w:r>
        <w:rPr>
          <w:bCs/>
          <w:b/>
        </w:rPr>
        <w:t xml:space="preserve">Granular Access Controls</w:t>
      </w:r>
    </w:p>
    <w:p>
      <w:pPr>
        <w:pStyle w:val="BodyText"/>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lock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Worker B:</w:t>
      </w:r>
      <w:r>
        <w:t xml:space="preserve"> </w:t>
      </w:r>
      <w:r>
        <w:rPr>
          <w:iCs/>
          <w:i/>
        </w:rPr>
        <w:t xml:space="preserve">‘</w:t>
      </w:r>
      <w:r>
        <w:rPr>
          <w:iCs/>
          <w:i/>
        </w:rPr>
        <w:t xml:space="preserve">I think it’s confidential.</w:t>
      </w:r>
      <w:r>
        <w:rPr>
          <w:iCs/>
          <w:i/>
        </w:rPr>
        <w:t xml:space="preserve">’</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—[SQ53]</w:t>
      </w:r>
    </w:p>
    <w:p>
      <w:pPr>
        <w:pStyle w:val="FirstParagraph"/>
      </w:pPr>
      <w:r>
        <w:t xml:space="preserve">Once such capabilities are established, this could enable much more careful and deliberate forms of data-sharing which could support the creation of a personal data ecosystem [</w:t>
      </w:r>
      <w:hyperlink w:anchor="X7b06b2486a051055e43ae1127e87196d505e2f3">
        <w:r>
          <w:rPr>
            <w:rStyle w:val="Hyperlink"/>
          </w:rPr>
          <w:t xml:space="preserve">2.3.4</w:t>
        </w:r>
      </w:hyperlink>
      <w:r>
        <w:t xml:space="preserve">] beyond, but centred upon, the individual family member, all the while remaining under that individual family member’s control:</w:t>
      </w:r>
    </w:p>
    <w:p>
      <w:pPr>
        <w:pStyle w:val="Block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—[Parent, FQ8]</w:t>
      </w:r>
    </w:p>
    <w:p>
      <w:pPr>
        <w:pStyle w:val="FirstParagraph"/>
      </w:pPr>
      <w:r>
        <w:t xml:space="preserve">Theme 2 shows see that giving families a role in the creation and stewardship of their data selves may unlock new capabilities and a sense of empowerment for families.</w:t>
      </w:r>
    </w:p>
    <w:bookmarkEnd w:id="38"/>
    <w:bookmarkStart w:id="39"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the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p>
      <w:pPr>
        <w:pStyle w:val="BodyText"/>
      </w:pPr>
      <w:r>
        <w:rPr>
          <w:bCs/>
          <w:b/>
        </w:rPr>
        <w:t xml:space="preserve">Transparent, Respectful Data Handling</w:t>
      </w:r>
    </w:p>
    <w:p>
      <w:pPr>
        <w:pStyle w:val="BodyText"/>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lockText"/>
      </w:pPr>
      <w:r>
        <w:rPr>
          <w:iCs/>
          <w:i/>
        </w:rPr>
        <w:t xml:space="preserve">‘</w:t>
      </w:r>
      <w:r>
        <w:rPr>
          <w:iCs/>
          <w:i/>
        </w:rPr>
        <w:t xml:space="preserve">I think that [families] have got a right to know what is held about them and what is said about them.</w:t>
      </w:r>
      <w:r>
        <w:rPr>
          <w:iCs/>
          <w:i/>
        </w:rPr>
        <w:t xml:space="preserve">’</w:t>
      </w:r>
      <w:r>
        <w:t xml:space="preserve">—[Worker, SQ50]</w:t>
      </w:r>
    </w:p>
    <w:p>
      <w:pPr>
        <w:pStyle w:val="FirstParagraph"/>
      </w:pPr>
      <w:r>
        <w:t xml:space="preserve">Even for data that would itself would be considered uncontroversial, a lack of awareness to that data or a lack of transparency on how data is informing judgements can cause great worry to families:</w:t>
      </w:r>
    </w:p>
    <w:p>
      <w:pPr>
        <w:pStyle w:val="BlockText"/>
      </w:pPr>
      <w:r>
        <w:rPr>
          <w:iCs/>
          <w:i/>
        </w:rPr>
        <w:t xml:space="preserve">‘</w:t>
      </w:r>
      <w:r>
        <w:rPr>
          <w:iCs/>
          <w:i/>
        </w:rPr>
        <w:t xml:space="preserve">Some people that I’ve worked with, I think as soon as they know you’re holding information about them they get really tight and [say],</w:t>
      </w:r>
      <w:r>
        <w:rPr>
          <w:iCs/>
          <w:i/>
        </w:rPr>
        <w:t xml:space="preserve"> </w:t>
      </w:r>
      <w:r>
        <w:rPr>
          <w:iCs/>
          <w:i/>
        </w:rPr>
        <w:t xml:space="preserve">“</w:t>
      </w:r>
      <w:r>
        <w:rPr>
          <w:iCs/>
          <w:i/>
        </w:rPr>
        <w:t xml:space="preserve">What are you holding about me?</w:t>
      </w:r>
      <w:r>
        <w:rPr>
          <w:iCs/>
          <w:i/>
        </w:rPr>
        <w:t xml:space="preserve">”</w:t>
      </w:r>
      <w:r>
        <w:rPr>
          <w:iCs/>
          <w:i/>
        </w:rPr>
        <w:t xml:space="preserve"> </w:t>
      </w:r>
      <w:r>
        <w:rPr>
          <w:iCs/>
          <w:i/>
        </w:rPr>
        <w:t xml:space="preserve">[…] They don’t like people knowing what’s going on in their lives.</w:t>
      </w:r>
      <w:r>
        <w:rPr>
          <w:iCs/>
          <w:i/>
        </w:rPr>
        <w:t xml:space="preserve">’</w:t>
      </w:r>
      <w:r>
        <w:t xml:space="preserve">—[Worker, SQ70]</w:t>
      </w:r>
    </w:p>
    <w:p>
      <w:pPr>
        <w:pStyle w:val="FirstParagraph"/>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lock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—[Parent, CQ3]</w:t>
      </w:r>
    </w:p>
    <w:p>
      <w:pPr>
        <w:pStyle w:val="FirstParagraph"/>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lockText"/>
      </w:pPr>
      <w:r>
        <w:rPr>
          <w:iCs/>
          <w:i/>
        </w:rPr>
        <w:t xml:space="preserve">‘</w:t>
      </w:r>
      <w:r>
        <w:rPr>
          <w:iCs/>
          <w:i/>
        </w:rPr>
        <w:t xml:space="preserve">There was a time where I was at the doctors</w:t>
      </w:r>
      <w:r>
        <w:rPr>
          <w:iCs/>
          <w:i/>
        </w:rPr>
        <w:t xml:space="preserve">’</w:t>
      </w:r>
      <w:r>
        <w:rPr>
          <w:iCs/>
          <w:i/>
        </w:rPr>
        <w:t xml:space="preserve"> </w:t>
      </w:r>
      <w:r>
        <w:rPr>
          <w:iCs/>
          <w:i/>
        </w:rPr>
        <w:t xml:space="preserve">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t xml:space="preserve">—[Parent, CQ7]</w:t>
      </w:r>
    </w:p>
    <w:p>
      <w:pPr>
        <w:pStyle w:val="FirstParagraph"/>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p>
      <w:pPr>
        <w:pStyle w:val="BodyText"/>
      </w:pPr>
      <w:r>
        <w:rPr>
          <w:bCs/>
          <w:b/>
        </w:rPr>
        <w:t xml:space="preserve">Always Seek and Demonstrate Greater Understanding</w:t>
      </w:r>
    </w:p>
    <w:p>
      <w:pPr>
        <w:pStyle w:val="BodyText"/>
      </w:pPr>
      <w:r>
        <w:t xml:space="preserve">In order to earn, build and maintain trust, support workers must always be seeking to form a completer and more up-to-date picture of the family, in line with the finding in</w:t>
      </w:r>
      <w:r>
        <w:t xml:space="preserve"> </w:t>
      </w:r>
      <w:hyperlink w:anchor="X9eb2c8e7c5bc627a302d0d70db67a8586f266ab">
        <w:r>
          <w:rPr>
            <w:rStyle w:val="Hyperlink"/>
          </w:rPr>
          <w:t xml:space="preserve">4.3.3</w:t>
        </w:r>
      </w:hyperlink>
      <w:r>
        <w:t xml:space="preserve"> </w:t>
      </w:r>
      <w:r>
        <w:t xml:space="preserve">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lock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FirstParagraph"/>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p>
      <w:pPr>
        <w:pStyle w:val="BodyText"/>
      </w:pPr>
      <w:r>
        <w:rPr>
          <w:bCs/>
          <w:b/>
        </w:rPr>
        <w:t xml:space="preserve">Pro-actively Challenge Data-centric Norms</w:t>
      </w:r>
    </w:p>
    <w:p>
      <w:pPr>
        <w:pStyle w:val="BodyText"/>
      </w:pPr>
      <w:r>
        <w:t xml:space="preserve">Exploring this need for reassuring dialogue in more depth, it is clear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transparency—giving them instead confidence that their interests are being protected, thus putting them at ease [SQ20]. Data handling processes appear to be only explained once in very loose terms during initial engagement, for the purposes of collecting informed consent, and are rarely revisited.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EH teams through the SILVER project [</w:t>
      </w:r>
      <w:hyperlink w:anchor="Xd1b935e29e3fe3be100369af902a8e47d687d29">
        <w:r>
          <w:rPr>
            <w:rStyle w:val="Hyperlink"/>
          </w:rPr>
          <w:t xml:space="preserve">3.4.1</w:t>
        </w:r>
      </w:hyperlink>
      <w:r>
        <w:t xml:space="preserve">]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 it would be important to explain where the information has come from and why the support worker has it, rather than just reporting its content:</w:t>
      </w:r>
    </w:p>
    <w:p>
      <w:pPr>
        <w:pStyle w:val="Block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—[CQ6]</w:t>
      </w:r>
    </w:p>
    <w:p>
      <w:pPr>
        <w:pStyle w:val="FirstParagraph"/>
      </w:pPr>
      <w:r>
        <w:t xml:space="preserve">As mentioned in</w:t>
      </w:r>
      <w:r>
        <w:t xml:space="preserve"> </w:t>
      </w:r>
      <w:hyperlink w:anchor="X765544707e63d114a5f98236a33a1ab147f236f">
        <w:r>
          <w:rPr>
            <w:rStyle w:val="Hyperlink"/>
          </w:rPr>
          <w:t xml:space="preserve">4.3.3</w:t>
        </w:r>
      </w:hyperlink>
      <w:r>
        <w:t xml:space="preserve">, there is a need to replace the current practice of treating consent as a one-off formality at the start of the support process with something better. This has previously been conceptualised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lock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Researcher:</w:t>
      </w:r>
      <w:r>
        <w:t xml:space="preserve"> </w:t>
      </w:r>
      <w:r>
        <w:rPr>
          <w:iCs/>
          <w:i/>
        </w:rPr>
        <w:t xml:space="preserve">‘</w:t>
      </w:r>
      <w:r>
        <w:rPr>
          <w:iCs/>
          <w:i/>
        </w:rPr>
        <w:t xml:space="preserve">Regardless of what they say?</w:t>
      </w:r>
      <w:r>
        <w:rPr>
          <w:iCs/>
          <w:i/>
        </w:rPr>
        <w:t xml:space="preserve">’</w:t>
      </w:r>
      <w:r>
        <w:t xml:space="preserve">Worker A:</w:t>
      </w:r>
      <w:r>
        <w:t xml:space="preserve"> </w:t>
      </w:r>
      <w:r>
        <w:rPr>
          <w:iCs/>
          <w:i/>
        </w:rPr>
        <w:t xml:space="preserve">‘</w:t>
      </w:r>
      <w:r>
        <w:rPr>
          <w:iCs/>
          <w:i/>
        </w:rPr>
        <w:t xml:space="preserve">I do, yes.</w:t>
      </w:r>
      <w:r>
        <w:rPr>
          <w:iCs/>
          <w:i/>
        </w:rPr>
        <w:t xml:space="preserve">’</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—[SQ22]</w:t>
      </w:r>
    </w:p>
    <w:p>
      <w:pPr>
        <w:pStyle w:val="FirstParagraph"/>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 making as requirements and lead to a healthier support relationship. This could even include thinking about new ways of using data, for example at a collective community level [SQ78], to promote an open data-sharing culture.</w:t>
      </w:r>
    </w:p>
    <w:bookmarkEnd w:id="39"/>
    <w:bookmarkEnd w:id="40"/>
    <w:bookmarkStart w:id="47" w:name="X3883f9a9f04a04af0c790df93d414e14826cfb7"/>
    <w:p>
      <w:pPr>
        <w:pStyle w:val="Heading2"/>
      </w:pPr>
      <w:r>
        <w:rPr>
          <w:rStyle w:val="SectionNumber"/>
        </w:rPr>
        <w:t xml:space="preserve">1.4</w:t>
      </w:r>
      <w:r>
        <w:tab/>
      </w:r>
      <w:r>
        <w:t xml:space="preserve">Discussion</w:t>
      </w:r>
    </w:p>
    <w:p>
      <w:pPr>
        <w:pStyle w:val="FirstParagraph"/>
      </w:pPr>
      <w:r>
        <w:t xml:space="preserve">The findings have provided a deeper understanding of families’ experience of data [</w:t>
      </w:r>
      <w:hyperlink w:anchor="RQ1">
        <w:r>
          <w:rPr>
            <w:rStyle w:val="Hyperlink"/>
          </w:rPr>
          <w:t xml:space="preserve">RQ1</w:t>
        </w:r>
      </w:hyperlink>
      <w:r>
        <w:t xml:space="preserve">] and the role of data within EH relationships [</w:t>
      </w:r>
      <w:hyperlink w:anchor="RQ2">
        <w:r>
          <w:rPr>
            <w:rStyle w:val="Hyperlink"/>
          </w:rPr>
          <w:t xml:space="preserve">RQ2</w:t>
        </w:r>
      </w:hyperlink>
      <w:r>
        <w:t xml:space="preserve">]. This section discusses three implications:</w:t>
      </w:r>
    </w:p>
    <w:p>
      <w:pPr>
        <w:numPr>
          <w:ilvl w:val="0"/>
          <w:numId w:val="1009"/>
        </w:numPr>
        <w:pStyle w:val="Compact"/>
      </w:pPr>
      <w:r>
        <w:t xml:space="preserve">the value of involving people with their data [</w:t>
      </w:r>
      <w:hyperlink w:anchor="X328e55f0b8c991dca9b1bed7c3b0763f63cd1bf">
        <w:r>
          <w:rPr>
            <w:rStyle w:val="Hyperlink"/>
          </w:rPr>
          <w:t xml:space="preserve">4.4.1</w:t>
        </w:r>
      </w:hyperlink>
      <w:r>
        <w:t xml:space="preserve">],</w:t>
      </w:r>
    </w:p>
    <w:p>
      <w:pPr>
        <w:numPr>
          <w:ilvl w:val="0"/>
          <w:numId w:val="1009"/>
        </w:numPr>
        <w:pStyle w:val="Compact"/>
      </w:pPr>
      <w:r>
        <w:t xml:space="preserve">the need for human interaction to make data access effective [</w:t>
      </w:r>
      <w:hyperlink w:anchor="X2ad50ca4cbd63a3f83ddbd28315b55b52f600fb">
        <w:r>
          <w:rPr>
            <w:rStyle w:val="Hyperlink"/>
          </w:rPr>
          <w:t xml:space="preserve">4.4.2</w:t>
        </w:r>
      </w:hyperlink>
      <w:r>
        <w:t xml:space="preserve">], and</w:t>
      </w:r>
    </w:p>
    <w:p>
      <w:pPr>
        <w:numPr>
          <w:ilvl w:val="0"/>
          <w:numId w:val="1009"/>
        </w:numPr>
        <w:pStyle w:val="Compact"/>
      </w:pPr>
      <w:r>
        <w:t xml:space="preserve">the implications of a shared data interaction approach in terms of shifting the LDM closer to the supported family [</w:t>
      </w:r>
      <w:hyperlink w:anchor="X8a50e98458a9c28886ed15ffb2cc666b2d3d49b">
        <w:r>
          <w:rPr>
            <w:rStyle w:val="Hyperlink"/>
          </w:rPr>
          <w:t xml:space="preserve">4.4.3</w:t>
        </w:r>
      </w:hyperlink>
      <w:r>
        <w:t xml:space="preserve">].</w:t>
      </w:r>
    </w:p>
    <w:bookmarkStart w:id="41"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Data about supported individuals is integral to current care practice, improving decision making by providing a more complete picture of a family’s life [</w:t>
      </w:r>
      <w:hyperlink w:anchor="X6442478f1f952d62cb89e1b634d5937a7d2863f">
        <w:r>
          <w:rPr>
            <w:rStyle w:val="Hyperlink"/>
          </w:rPr>
          <w:t xml:space="preserve">4.1.2</w:t>
        </w:r>
      </w:hyperlink>
      <w:r>
        <w:t xml:space="preserve">]. This prevalent mindset reduces families’ autonomy. Just as in the commercial sector [</w:t>
      </w:r>
      <w:hyperlink w:anchor="X2fecb37588747cdb8227230edc41ff2ca6557e1">
        <w:r>
          <w:rPr>
            <w:rStyle w:val="Hyperlink"/>
          </w:rPr>
          <w:t xml:space="preserve">2.1.2</w:t>
        </w:r>
      </w:hyperlink>
      <w:r>
        <w:t xml:space="preserve">], families’ civic data is considered a resource to be utilised. The implicit assumption is that data is a complete and objective source of truth [</w:t>
      </w:r>
      <w:hyperlink w:anchor="X6442478f1f952d62cb89e1b634d5937a7d2863f">
        <w:r>
          <w:rPr>
            <w:rStyle w:val="Hyperlink"/>
          </w:rPr>
          <w:t xml:space="preserve">4.1.2</w:t>
        </w:r>
      </w:hyperlink>
      <w:r>
        <w:t xml:space="preserve">], yet participants agree it can never be [S14, S18’].</w:t>
      </w:r>
    </w:p>
    <w:p>
      <w:pPr>
        <w:pStyle w:val="BodyText"/>
      </w:pPr>
      <w:r>
        <w:t xml:space="preserve">Families’ lack of awareness of held data and its use leads to false expectations and surprises, and in the worst cases, fear and distrust which can harm the care relationship. Family civic data currently serves a</w:t>
      </w:r>
      <w:r>
        <w:t xml:space="preserve"> </w:t>
      </w:r>
      <w:r>
        <w:rPr>
          <w:iCs/>
          <w:i/>
        </w:rPr>
        <w:t xml:space="preserve">proxy for family involvement in decision making</w:t>
      </w:r>
      <w:r>
        <w:t xml:space="preserve">. Families are cut out of the loop. They should be able to take a role in relation to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lack of such involvement removes any possibility for data checking, increasing the chance that data can contain inaccuracies or errors of judgement due to out-of-date or missing data, which can cause harm</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hyperlink w:anchor="ref-crossley2022">
        <w:r>
          <w:rPr>
            <w:rStyle w:val="Hyperlink"/>
          </w:rPr>
          <w:t xml:space="preserve">Crossley, 2022</w:t>
        </w:r>
      </w:hyperlink>
      <w:r>
        <w:t xml:space="preserve">)</w:t>
      </w:r>
      <w:r>
        <w:t xml:space="preserve">.</w:t>
      </w:r>
    </w:p>
    <w:p>
      <w:pPr>
        <w:pStyle w:val="BodyText"/>
      </w:pPr>
      <w:r>
        <w:rPr>
          <w:bCs/>
          <w:b/>
        </w:rPr>
        <w:t xml:space="preserve">Trust</w:t>
      </w:r>
    </w:p>
    <w:p>
      <w:pPr>
        <w:pStyle w:val="BodyText"/>
      </w:pPr>
      <w:r>
        <w:t xml:space="preserve">Participants’ responses confirm prior findings</w:t>
      </w:r>
      <w:r>
        <w:t xml:space="preserve"> </w:t>
      </w:r>
      <w:r>
        <w:t xml:space="preserve">(</w:t>
      </w:r>
      <w:hyperlink w:anchor="ref-vandijck2014">
        <w:r>
          <w:rPr>
            <w:rStyle w:val="Hyperlink"/>
          </w:rPr>
          <w:t xml:space="preserve">Dijck, 2014</w:t>
        </w:r>
      </w:hyperlink>
      <w:r>
        <w:t xml:space="preserve">)</w:t>
      </w:r>
      <w:r>
        <w:t xml:space="preserve"> </w:t>
      </w:r>
      <w:r>
        <w:t xml:space="preserve">that trust in the independence and integrity of data holders is critical to an effective support relationship. Yet trust in EH is currently fragile, resting upon feelings and impressions. The findings suggest that a support worker can build trust by continually striving to develop and show a deep understanding of the family as individuals, beyond</w:t>
      </w:r>
      <w:r>
        <w:t xml:space="preserve"> </w:t>
      </w:r>
      <w:r>
        <w:t xml:space="preserve">‘</w:t>
      </w:r>
      <w:r>
        <w:t xml:space="preserve">what the computer says</w:t>
      </w:r>
      <w:r>
        <w:t xml:space="preserve">’</w:t>
      </w:r>
      <w:r>
        <w:t xml:space="preserve">. Trust—in the system and the worker—can be earned by treating them as people, not</w:t>
      </w:r>
      <w:r>
        <w:t xml:space="preserve"> </w:t>
      </w:r>
      <w:r>
        <w:rPr>
          <w:iCs/>
          <w:i/>
        </w:rPr>
        <w:t xml:space="preserve">‘</w:t>
      </w:r>
      <w:r>
        <w:rPr>
          <w:iCs/>
          <w:i/>
        </w:rPr>
        <w:t xml:space="preserve">objects to be administered</w:t>
      </w:r>
      <w:r>
        <w:rPr>
          <w:iCs/>
          <w:i/>
        </w:rPr>
        <w:t xml:space="preserve">’</w:t>
      </w:r>
      <w:r>
        <w:t xml:space="preserve"> </w:t>
      </w:r>
      <w:r>
        <w:t xml:space="preserve">[</w:t>
      </w:r>
      <w:r>
        <w:t xml:space="preserve">Cornford, Baines and Wilson (</w:t>
      </w:r>
      <w:hyperlink w:anchor="ref-cornford2013">
        <w:r>
          <w:rPr>
            <w:rStyle w:val="Hyperlink"/>
          </w:rPr>
          <w:t xml:space="preserve">2013</w:t>
        </w:r>
      </w:hyperlink>
      <w:r>
        <w:t xml:space="preserve">)</w:t>
      </w:r>
      <w:r>
        <w:t xml:space="preserve">; S4], leading to more effective support.</w:t>
      </w:r>
    </w:p>
    <w:p>
      <w:pPr>
        <w:pStyle w:val="BodyText"/>
      </w:pPr>
      <w:r>
        <w:t xml:space="preserve">Shared data interaction practices (such as checking data together, visible data recording, family sign-off, or contribution of individual perspectives as data) could give a family direct evidence that they are being listened to and that their viewpoint is important even when it contradicts the digital record. This would be powerful for trust-building. Transparency of processing—something that is currently near impossible—could empower families by giving them confidence through their ability to hold providers accountable by verifying that</w:t>
      </w:r>
      <w:r>
        <w:t xml:space="preserve"> </w:t>
      </w:r>
      <w:r>
        <w:t xml:space="preserve">(as per the need established in</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data is fair and accurate. It is evident from the findings that an EH system built upon strong trust would require direct involvement of the individual(s) being cared for. Shared data interaction as conceived by the participants suggests mechanisms for such involvement.</w:t>
      </w:r>
    </w:p>
    <w:p>
      <w:pPr>
        <w:pStyle w:val="BodyText"/>
      </w:pPr>
      <w:r>
        <w:t xml:space="preserve">Shared data interaction would also align with the desire for evidence-based decisions [</w:t>
      </w:r>
      <w:hyperlink w:anchor="X6442478f1f952d62cb89e1b634d5937a7d2863f">
        <w:r>
          <w:rPr>
            <w:rStyle w:val="Hyperlink"/>
          </w:rPr>
          <w:t xml:space="preserve">4.1.2</w:t>
        </w:r>
      </w:hyperlink>
      <w:r>
        <w:t xml:space="preserve">]. An earlier WHO study found that a similar approach lead to more effective collaboration and better decisions</w:t>
      </w:r>
      <w:r>
        <w:t xml:space="preserve"> </w:t>
      </w:r>
      <w:r>
        <w:t xml:space="preserve">(</w:t>
      </w:r>
      <w:hyperlink w:anchor="ref-johnson2010">
        <w:r>
          <w:rPr>
            <w:rStyle w:val="Hyperlink"/>
          </w:rPr>
          <w:t xml:space="preserve">Johnson, Kim and Church, 2010</w:t>
        </w:r>
      </w:hyperlink>
      <w:r>
        <w:t xml:space="preserve">)</w:t>
      </w:r>
      <w:r>
        <w:t xml:space="preserve">. Inefficiencies that could be avoided include spending time correcting misunderstandings, or</w:t>
      </w:r>
      <w:r>
        <w:t xml:space="preserve"> </w:t>
      </w:r>
      <w:r>
        <w:t xml:space="preserve">‘</w:t>
      </w:r>
      <w:r>
        <w:t xml:space="preserve">damage control</w:t>
      </w:r>
      <w:r>
        <w:t xml:space="preserve">’</w:t>
      </w:r>
      <w:r>
        <w:t xml:space="preserve"> </w:t>
      </w:r>
      <w:r>
        <w:t xml:space="preserve">following misjudgements. Participants described emergent practices of using data with families to track progress; these are apparently already effective, allowing families to see their own progress. If such data were available outside of the support engagement, this could empower families still further to be self sufficient.</w:t>
      </w:r>
    </w:p>
    <w:p>
      <w:pPr>
        <w:pStyle w:val="BodyText"/>
      </w:pPr>
      <w:r>
        <w:t xml:space="preserve">A health innovation project in South Africa echoes these findings on the importance of trust, agency and involvement of the individual:</w:t>
      </w:r>
    </w:p>
    <w:p>
      <w:pPr>
        <w:pStyle w:val="BlockText"/>
      </w:pPr>
      <w:r>
        <w:rPr>
          <w:iCs/>
          <w:i/>
        </w:rPr>
        <w:t xml:space="preserve">‘</w:t>
      </w:r>
      <w:r>
        <w:rPr>
          <w:iCs/>
          <w:i/>
        </w:rPr>
        <w:t xml:space="preserve">The user must feel or experience trust, […] feel that they can control and increase their own access to a system. Their uptake and use are essential for such a [digital ecosystem] to work or be regarded as a sustainable solution.</w:t>
      </w:r>
      <w:r>
        <w:rPr>
          <w:iCs/>
          <w:i/>
        </w:rPr>
        <w:t xml:space="preserve">’</w:t>
      </w:r>
      <w:r>
        <w:t xml:space="preserve">—</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FirstParagraph"/>
      </w:pPr>
      <w:r>
        <w:rPr>
          <w:bCs/>
          <w:b/>
        </w:rPr>
        <w:t xml:space="preserve">Consent</w:t>
      </w:r>
    </w:p>
    <w:p>
      <w:pPr>
        <w:pStyle w:val="BodyText"/>
      </w:pPr>
      <w:r>
        <w:t xml:space="preserve">Viewing data as a shared resource to be curated together could provide an effective alternative to EH’s currently ineffective consent model [</w:t>
      </w:r>
      <w:hyperlink w:anchor="Xb367cc24dc19d310f9af1157021067beef77465">
        <w:r>
          <w:rPr>
            <w:rStyle w:val="Hyperlink"/>
          </w:rPr>
          <w:t xml:space="preserve">4.2.2</w:t>
        </w:r>
      </w:hyperlink>
      <w:r>
        <w:t xml:space="preserve">]. Currently consent collected as part of the EHA serves as a a</w:t>
      </w:r>
      <w:r>
        <w:t xml:space="preserve"> </w:t>
      </w:r>
      <w:r>
        <w:rPr>
          <w:iCs/>
          <w:i/>
        </w:rPr>
        <w:t xml:space="preserve">point of severance</w:t>
      </w:r>
      <w:r>
        <w:t xml:space="preserve"> </w:t>
      </w:r>
      <w:r>
        <w:t xml:space="preserve">(</w:t>
      </w:r>
      <w:hyperlink w:anchor="ref-luger2013">
        <w:r>
          <w:rPr>
            <w:rStyle w:val="Hyperlink"/>
          </w:rPr>
          <w:t xml:space="preserve">Luger and Rodden, 2013</w:t>
        </w:r>
      </w:hyperlink>
      <w:r>
        <w:t xml:space="preserve">)</w:t>
      </w:r>
      <w:r>
        <w:t xml:space="preserve"> </w:t>
      </w:r>
      <w:r>
        <w:t xml:space="preserve">that hands authorities</w:t>
      </w:r>
      <w:r>
        <w:t xml:space="preserve"> </w:t>
      </w:r>
      <w:r>
        <w:rPr>
          <w:iCs/>
          <w:i/>
        </w:rPr>
        <w:t xml:space="preserve">carte blanche</w:t>
      </w:r>
      <w:r>
        <w:t xml:space="preserve"> </w:t>
      </w:r>
      <w:r>
        <w:t xml:space="preserve">powers to collect and use families’ data. Ongoing access and direct use of data by families would offer practical</w:t>
      </w:r>
      <w:r>
        <w:t xml:space="preserve"> </w:t>
      </w:r>
      <w:r>
        <w:rPr>
          <w:iCs/>
          <w:i/>
        </w:rPr>
        <w:t xml:space="preserve">dynamic consent</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w:t>
      </w:r>
      <w:r>
        <w:t xml:space="preserve"> </w:t>
      </w:r>
      <w:r>
        <w:t xml:space="preserve">If families were regularly</w:t>
      </w:r>
      <w:r>
        <w:t xml:space="preserve"> </w:t>
      </w:r>
      <w:r>
        <w:t xml:space="preserve">‘</w:t>
      </w:r>
      <w:r>
        <w:t xml:space="preserve">talked through</w:t>
      </w:r>
      <w:r>
        <w:t xml:space="preserve">’</w:t>
      </w:r>
      <w:r>
        <w:t xml:space="preserve"> </w:t>
      </w:r>
      <w:r>
        <w:t xml:space="preserve">their data, consent would become more reliable and less bureaucratic. Consent could shift from being seen as a formal permission to be certified and tracked, relying instead on the natural human instinct to speak up when you are shown something that seems amiss.</w:t>
      </w:r>
      <w:r>
        <w:t xml:space="preserve"> </w:t>
      </w:r>
      <w:r>
        <w:t xml:space="preserve">Families will be happier with the use of their data if they can see it, notice issues and speak up when they feel something is amiss.</w:t>
      </w:r>
    </w:p>
    <w:p>
      <w:pPr>
        <w:pStyle w:val="BodyText"/>
      </w:pPr>
      <w:r>
        <w:t xml:space="preserve">If implemented in a robust manner, this could simplify consent processes and, by sharing responsibility for data stewardship, limit support workers’ liability. Conversations centred upon data would allow mistakes to be spotted sooner, easing workers’ fears of</w:t>
      </w:r>
      <w:r>
        <w:t xml:space="preserve"> </w:t>
      </w:r>
      <w:r>
        <w:rPr>
          <w:iCs/>
          <w:i/>
        </w:rPr>
        <w:t xml:space="preserve">‘</w:t>
      </w:r>
      <w:r>
        <w:rPr>
          <w:iCs/>
          <w:i/>
        </w:rPr>
        <w:t xml:space="preserve">missing something important</w:t>
      </w:r>
      <w:r>
        <w:rPr>
          <w:iCs/>
          <w:i/>
        </w:rPr>
        <w:t xml:space="preserve">’</w:t>
      </w:r>
      <w:r>
        <w:t xml:space="preserve">. Shifting the focus of the support relationship towards</w:t>
      </w:r>
      <w:r>
        <w:t xml:space="preserve"> </w:t>
      </w:r>
      <w:r>
        <w:rPr>
          <w:iCs/>
          <w:i/>
        </w:rPr>
        <w:t xml:space="preserve">discussions around data</w:t>
      </w:r>
      <w:r>
        <w:t xml:space="preserve"> </w:t>
      </w:r>
      <w:r>
        <w:t xml:space="preserve">might help alleviate the inadequacies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of the EHR to accurately represent families.</w:t>
      </w:r>
    </w:p>
    <w:p>
      <w:pPr>
        <w:pStyle w:val="BodyText"/>
      </w:pPr>
      <w:r>
        <w:t xml:space="preserve">Giving the user a role in understanding and influencing the life of their own data is identified as a key ingredient of moving towards a more progressive model of digital citizenship:</w:t>
      </w:r>
    </w:p>
    <w:p>
      <w:pPr>
        <w:pStyle w:val="Block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w:t>
      </w:r>
      <w:r>
        <w:t xml:space="preserve">(</w:t>
      </w:r>
      <w:hyperlink w:anchor="ref-bridle2016">
        <w:r>
          <w:rPr>
            <w:rStyle w:val="Hyperlink"/>
          </w:rPr>
          <w:t xml:space="preserve">Bridle, 2016</w:t>
        </w:r>
      </w:hyperlink>
      <w:r>
        <w:t xml:space="preserve">)</w:t>
      </w:r>
    </w:p>
    <w:p>
      <w:pPr>
        <w:pStyle w:val="FirstParagraph"/>
      </w:pPr>
      <w:r>
        <w:rPr>
          <w:bCs/>
          <w:b/>
        </w:rPr>
        <w:t xml:space="preserve">Families as Agents of Self-Care</w:t>
      </w:r>
    </w:p>
    <w:p>
      <w:pPr>
        <w:pStyle w:val="BodyText"/>
      </w:pPr>
      <w:r>
        <w:t xml:space="preserve">Shared data interaction could make supported families stakeholders in their own case. The care worker need take less of a position of authority, instead becoming an ally to the family member(s), now empowered as an agent in their own self-care. Individuals would be more able to act and improve their situation than previously [</w:t>
      </w:r>
      <w:hyperlink w:anchor="X7d362c1e174c59583bc075f9c4f790b095f0935">
        <w:r>
          <w:rPr>
            <w:rStyle w:val="Hyperlink"/>
          </w:rPr>
          <w:t xml:space="preserve">4.3.3</w:t>
        </w:r>
      </w:hyperlink>
      <w:r>
        <w:t xml:space="preserve">], approaching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Such a shift could serve as an antidote to data-centrism in the system and society at large [</w:t>
      </w:r>
      <w:hyperlink w:anchor="X2fecb37588747cdb8227230edc41ff2ca6557e1">
        <w:r>
          <w:rPr>
            <w:rStyle w:val="Hyperlink"/>
          </w:rPr>
          <w:t xml:space="preserve">2.1.2</w:t>
        </w:r>
      </w:hyperlink>
      <w:r>
        <w:t xml:space="preserve">]. With control over and input into their</w:t>
      </w:r>
      <w:r>
        <w:t xml:space="preserve"> </w:t>
      </w:r>
      <w:r>
        <w:rPr>
          <w:iCs/>
          <w:i/>
        </w:rPr>
        <w:t xml:space="preserve">‘</w:t>
      </w:r>
      <w:r>
        <w:rPr>
          <w:iCs/>
          <w:i/>
        </w:rPr>
        <w:t xml:space="preserve">data self</w:t>
      </w:r>
      <w:r>
        <w:rPr>
          <w:iCs/>
          <w:i/>
        </w:rPr>
        <w:t xml:space="preserve">’</w:t>
      </w:r>
      <w:r>
        <w:t xml:space="preserve">—the representation of them that is seen by the state—families would have greater trust that their interests are being served. Through data, they could take part in informed decisions to could improve their own lives.</w:t>
      </w:r>
    </w:p>
    <w:bookmarkEnd w:id="41"/>
    <w:bookmarkStart w:id="42"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rPr>
          <w:bCs/>
          <w:b/>
        </w:rPr>
        <w:t xml:space="preserve">The Need for Support</w:t>
      </w:r>
    </w:p>
    <w:p>
      <w:pPr>
        <w:pStyle w:val="BodyText"/>
      </w:pPr>
      <w:r>
        <w:t xml:space="preserve">The findings shows that current data inequalities will not be solved simply by opening up databases to families and giving them access. They must be able to meaningfully comprehend the data and effect change based on what they learn. This involves the translation of raw data into meaningful information [</w:t>
      </w:r>
      <w:hyperlink w:anchor="X24fa45ca77f079cc359c97272276969e6aead2c">
        <w:r>
          <w:rPr>
            <w:rStyle w:val="Hyperlink"/>
          </w:rPr>
          <w:t xml:space="preserve">2.1.1</w:t>
        </w:r>
      </w:hyperlink>
      <w:r>
        <w:t xml:space="preserve">]—through summaries, visualisations and explanations.</w:t>
      </w:r>
    </w:p>
    <w:p>
      <w:pPr>
        <w:pStyle w:val="BodyText"/>
      </w:pPr>
      <w:r>
        <w:t xml:space="preserve">It is not clear who would have the access, skills and mandate to create such information representations. Participants’ designs and desires echo prior claims that information available to must be</w:t>
      </w:r>
      <w:r>
        <w:t xml:space="preserve"> </w:t>
      </w:r>
      <w:r>
        <w:rPr>
          <w:iCs/>
          <w:i/>
        </w:rPr>
        <w:t xml:space="preserve">legible</w:t>
      </w:r>
      <w:r>
        <w:t xml:space="preserve"> </w:t>
      </w:r>
      <w:r>
        <w:t xml:space="preserve">[</w:t>
      </w:r>
      <w:hyperlink w:anchor="X83b2e9f55420fa41efd48e4a45103566c9e4767">
        <w:r>
          <w:rPr>
            <w:rStyle w:val="Hyperlink"/>
          </w:rPr>
          <w:t xml:space="preserve">2.3.2</w:t>
        </w:r>
      </w:hyperlink>
      <w:r>
        <w:t xml:space="preserve">;</w:t>
      </w:r>
      <w:r>
        <w:t xml:space="preserve"> </w:t>
      </w:r>
      <w:r>
        <w:t xml:space="preserve">Mortier</w:t>
      </w:r>
      <w:r>
        <w:t xml:space="preserve"> </w:t>
      </w:r>
      <w:r>
        <w:rPr>
          <w:iCs/>
          <w:i/>
        </w:rPr>
        <w:t xml:space="preserve">et al.</w:t>
      </w:r>
      <w:r>
        <w:t xml:space="preserve"> </w:t>
      </w:r>
      <w:r>
        <w:t xml:space="preserve">(</w:t>
      </w:r>
      <w:hyperlink w:anchor="ref-mortier2014">
        <w:r>
          <w:rPr>
            <w:rStyle w:val="Hyperlink"/>
          </w:rPr>
          <w:t xml:space="preserve">2014</w:t>
        </w:r>
      </w:hyperlink>
      <w:r>
        <w:t xml:space="preserve">)</w:t>
      </w:r>
      <w:r>
        <w:t xml:space="preserve">] and that access must be</w:t>
      </w:r>
      <w:r>
        <w:t xml:space="preserve"> </w:t>
      </w:r>
      <w:r>
        <w:rPr>
          <w:iCs/>
          <w:i/>
        </w:rPr>
        <w:t xml:space="preserve">effective</w:t>
      </w:r>
      <w:r>
        <w:t xml:space="preserve"> </w:t>
      </w:r>
      <w:r>
        <w:t xml:space="preserve">[</w:t>
      </w:r>
      <w:hyperlink w:anchor="Xbff12eeb621c3f4c18ae1d2809b3860778910f4">
        <w:r>
          <w:rPr>
            <w:rStyle w:val="Hyperlink"/>
          </w:rPr>
          <w:t xml:space="preserve">2.1.4</w:t>
        </w:r>
      </w:hyperlink>
      <w:r>
        <w:t xml:space="preserve">;</w:t>
      </w:r>
      <w:r>
        <w:t xml:space="preserve"> </w:t>
      </w:r>
      <w:r>
        <w:t xml:space="preserve">Gurstein (</w:t>
      </w:r>
      <w:hyperlink w:anchor="ref-gurstein2011">
        <w:r>
          <w:rPr>
            <w:rStyle w:val="Hyperlink"/>
          </w:rPr>
          <w:t xml:space="preserve">2011</w:t>
        </w:r>
      </w:hyperlink>
      <w:r>
        <w:t xml:space="preserve">)</w:t>
      </w:r>
      <w:r>
        <w:t xml:space="preserve">]. This includes providing suitable opportunities for access—for example via personal data interfaces not just within meetings—as well as addressing technology, literacy, mental or physical handicaps. Participant ideas around audio interfaces illustrate the extra steps that would be needed to provide effective access for all. To support varied needs, information access would need to be supported by a human relationship—one where someone can both explain the data as well as answer questions about it [</w:t>
      </w:r>
      <w:hyperlink w:anchor="Xc3386c80ed9a8cff1b198fe602b5fc87b19c203">
        <w:r>
          <w:rPr>
            <w:rStyle w:val="Hyperlink"/>
          </w:rPr>
          <w:t xml:space="preserve">4.3.2</w:t>
        </w:r>
      </w:hyperlink>
      <w:r>
        <w:t xml:space="preserve">].</w:t>
      </w:r>
    </w:p>
    <w:p>
      <w:pPr>
        <w:pStyle w:val="BodyText"/>
      </w:pPr>
      <w:r>
        <w:t xml:space="preserve">It is the human-to-human interaction that can make data access meaningful. Data use necessitates an ongoing conversation. Systems need a human face or point of contact that individuals may put their trust in and to whom they can address questions. Access only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rPr>
          <w:bCs/>
          <w:b/>
        </w:rPr>
        <w:t xml:space="preserve">Working Together</w:t>
      </w:r>
    </w:p>
    <w:p>
      <w:pPr>
        <w:pStyle w:val="BodyText"/>
      </w:pPr>
      <w:r>
        <w:t xml:space="preserve">Explorations of human interactions around data within the support relationship suggest that shared data interaction could lead to more effective discussions.</w:t>
      </w:r>
      <w:r>
        <w:t xml:space="preserve"> </w:t>
      </w:r>
      <w:r>
        <w:t xml:space="preserve">The use of printouts, tablets or 2-in-1 devices to show data rather than verbally report it, can provide a focal point, optimising the discussion. The data representations would function as a</w:t>
      </w:r>
      <w:r>
        <w:t xml:space="preserve"> </w:t>
      </w:r>
      <w:r>
        <w:rPr>
          <w:iCs/>
          <w:i/>
        </w:rPr>
        <w:t xml:space="preserve">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the data cards did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r>
        <w:t xml:space="preserve"> </w:t>
      </w:r>
      <w:r>
        <w:t xml:space="preserve">The families understand the data because it is</w:t>
      </w:r>
      <w:r>
        <w:t xml:space="preserve"> </w:t>
      </w:r>
      <w:r>
        <w:rPr>
          <w:iCs/>
          <w:i/>
        </w:rPr>
        <w:t xml:space="preserve">about</w:t>
      </w:r>
      <w:r>
        <w:t xml:space="preserve"> </w:t>
      </w:r>
      <w:r>
        <w:t xml:space="preserve">them, and the support workers are familiar with the systems it came from. This could encourage</w:t>
      </w:r>
      <w:r>
        <w:t xml:space="preserve"> </w:t>
      </w:r>
      <w:r>
        <w:t xml:space="preserve">families to</w:t>
      </w:r>
      <w:r>
        <w:t xml:space="preserve"> </w:t>
      </w:r>
      <w:r>
        <w:t xml:space="preserve">‘</w:t>
      </w:r>
      <w:r>
        <w:t xml:space="preserve">open up</w:t>
      </w:r>
      <w:r>
        <w:t xml:space="preserve">’</w:t>
      </w:r>
      <w:r>
        <w:t xml:space="preserve">. Many participants talked about how looking at data could serve as a conversation starter—echoing this study’s use of stimuli [</w:t>
      </w:r>
      <w:hyperlink w:anchor="X464e9f2e5e0cf52e9c26d3864e71249d73ea33a">
        <w:r>
          <w:rPr>
            <w:rStyle w:val="Hyperlink"/>
          </w:rPr>
          <w:t xml:space="preserve">3.5.2</w:t>
        </w:r>
      </w:hyperlink>
      <w:r>
        <w:t xml:space="preserve">]. The ongoing use of such data representations as a metric to observe change from from meeting to meeting could bring a feeling of reward and accomplishment to the family and contribute to their future success.</w:t>
      </w:r>
    </w:p>
    <w:p>
      <w:pPr>
        <w:pStyle w:val="BodyText"/>
      </w:pPr>
      <w:r>
        <w:t xml:space="preserve">Shared data interaction would also enable support workers to be less adversarial. They could position themselves as equals (</w:t>
      </w:r>
      <w:r>
        <w:rPr>
          <w:iCs/>
          <w:i/>
        </w:rPr>
        <w:t xml:space="preserve">‘</w:t>
      </w:r>
      <w:r>
        <w:rPr>
          <w:iCs/>
          <w:i/>
        </w:rPr>
        <w:t xml:space="preserve">Let’s make sure this data is right.</w:t>
      </w:r>
      <w:r>
        <w:rPr>
          <w:iCs/>
          <w:i/>
        </w:rPr>
        <w:t xml:space="preserve">’</w:t>
      </w:r>
      <w:r>
        <w:t xml:space="preserve">) and avoid appearing to side with the data (</w:t>
      </w:r>
      <w:r>
        <w:rPr>
          <w:iCs/>
          <w:i/>
        </w:rPr>
        <w:t xml:space="preserve">‘</w:t>
      </w:r>
      <w:r>
        <w:rPr>
          <w:iCs/>
          <w:i/>
        </w:rPr>
        <w:t xml:space="preserve">Our records say that you have…</w:t>
      </w:r>
      <w:r>
        <w:rPr>
          <w:iCs/>
          <w:i/>
        </w:rPr>
        <w:t xml:space="preserve">’</w:t>
      </w:r>
      <w:r>
        <w:t xml:space="preserve">). As we see in this study, data representations serve as</w:t>
      </w:r>
      <w:r>
        <w:t xml:space="preserve"> </w:t>
      </w:r>
      <w:r>
        <w:rPr>
          <w:iCs/>
          <w:i/>
        </w:rPr>
        <w:t xml:space="preserve">‘</w:t>
      </w:r>
      <w:r>
        <w:rPr>
          <w:iCs/>
          <w:i/>
        </w:rPr>
        <w:t xml:space="preserve">things to think with</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464e9f2e5e0cf52e9c26d3864e71249d73ea33a">
        <w:r>
          <w:rPr>
            <w:rStyle w:val="Hyperlink"/>
          </w:rPr>
          <w:t xml:space="preserve">3.5.2</w:t>
        </w:r>
      </w:hyperlink>
      <w:r>
        <w:t xml:space="preserve">]. Shared data interaction—played out in abstract through the use of storyboarding cards in Workshop C—helped participants to navigate scenarios and quickly imagine possible actions together.</w:t>
      </w:r>
    </w:p>
    <w:p>
      <w:pPr>
        <w:pStyle w:val="BodyText"/>
      </w:pPr>
      <w:r>
        <w:rPr>
          <w:bCs/>
          <w:b/>
        </w:rPr>
        <w:t xml:space="preserve">Agency &amp; Negotiability</w:t>
      </w:r>
      <w:r>
        <w:t xml:space="preserve">.</w:t>
      </w:r>
    </w:p>
    <w:p>
      <w:pPr>
        <w:pStyle w:val="BodyText"/>
      </w:pPr>
      <w:r>
        <w:t xml:space="preserve">Yellow-bordered cards (for families) and blue-bordered cards (for staff) triggered both parties to take ownership of their piece of the puzzle, placing their</w:t>
      </w:r>
      <w:r>
        <w:t xml:space="preserve"> </w:t>
      </w:r>
      <w:r>
        <w:t xml:space="preserve">‘</w:t>
      </w:r>
      <w:r>
        <w:t xml:space="preserve">own</w:t>
      </w:r>
      <w:r>
        <w:t xml:space="preserve">’</w:t>
      </w:r>
      <w:r>
        <w:t xml:space="preserve"> </w:t>
      </w:r>
      <w:r>
        <w:t xml:space="preserve">actions without any direction having been given as to who should place which cards. Parents and staff had each taken a role in the scenario and felt ownership over the choice of options available to them. Similarly, green-bordered cards (actions involving both parties) usually resulted in both parties discussing and agreeing a view before the card was placed, showing that the way data is presented is key to how people respond to it. This gives some insight into how the dynamics of shared data interaction might work if implemented in practice. Feeling able to perfom actions such as commenting or correcting data would provide some</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family members;</w:t>
      </w:r>
      <w:r>
        <w:t xml:space="preserve"> </w:t>
      </w:r>
      <w:r>
        <w:t xml:space="preserve">The availability of capabilities over data, including the ability to raise a question or start a conversation would satisfy the second HDI requirement of</w:t>
      </w:r>
      <w:r>
        <w:t xml:space="preserve"> </w:t>
      </w:r>
      <w:r>
        <w:rPr>
          <w:iCs/>
          <w:i/>
        </w:rPr>
        <w:t xml:space="preserve">negotiability</w:t>
      </w:r>
      <w:r>
        <w:t xml:space="preserve">. Conversely, an inability to act upon or influence shown data and its use would indicate a lack of negotiability, reinforcing the idea that simply viewing data is insufficient.</w:t>
      </w:r>
    </w:p>
    <w:p>
      <w:pPr>
        <w:pStyle w:val="BodyText"/>
      </w:pPr>
      <w:r>
        <w:t xml:space="preserve">Efforts to deliver effective HDI capabilities in future should therefore focus upon the role of the human in the information system, as a data interface is limited by its operational context as to its ability to truly offer meaningful actions to users.</w:t>
      </w:r>
    </w:p>
    <w:p>
      <w:pPr>
        <w:pStyle w:val="BodyText"/>
      </w:pPr>
      <w:r>
        <w:t xml:space="preserve">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w:t>
      </w:r>
      <w:r>
        <w:t xml:space="preserve"> </w:t>
      </w:r>
      <w:hyperlink w:anchor="X9eb2c8e7c5bc627a302d0d70db67a8586f266ab">
        <w:r>
          <w:rPr>
            <w:rStyle w:val="Hyperlink"/>
          </w:rPr>
          <w:t xml:space="preserve">4.3.3</w:t>
        </w:r>
      </w:hyperlink>
      <w:r>
        <w:t xml:space="preserve">]. Excessive focus upon the record can inadvertently become problematic in EH practice focusing upon child welfare:</w:t>
      </w:r>
    </w:p>
    <w:p>
      <w:pPr>
        <w:pStyle w:val="BlockText"/>
      </w:pPr>
      <w:r>
        <w:rPr>
          <w:iCs/>
          <w:i/>
        </w:rPr>
        <w:t xml:space="preserve">’Children</w:t>
      </w:r>
      <w:r>
        <w:t xml:space="preserve"> </w:t>
      </w:r>
      <w:r>
        <w:t xml:space="preserve">[can be seen as]</w:t>
      </w:r>
      <w:r>
        <w:t xml:space="preserve"> </w:t>
      </w:r>
      <w:r>
        <w:rPr>
          <w:iCs/>
          <w:i/>
        </w:rPr>
        <w:t xml:space="preserve">the objects of a variety of concerns which need to be acted upon rather than agents of their own lives’</w:t>
      </w:r>
      <w:r>
        <w:t xml:space="preserve">—</w:t>
      </w:r>
      <w:r>
        <w:t xml:space="preserve">(</w:t>
      </w:r>
      <w:hyperlink w:anchor="ref-ec2014">
        <w:r>
          <w:rPr>
            <w:rStyle w:val="Hyperlink"/>
          </w:rPr>
          <w:t xml:space="preserve">European Commission, 2014</w:t>
        </w:r>
      </w:hyperlink>
      <w:r>
        <w:t xml:space="preserve">)</w:t>
      </w:r>
      <w:r>
        <w:t xml:space="preserve">.</w:t>
      </w:r>
    </w:p>
    <w:p>
      <w:pPr>
        <w:pStyle w:val="FirstParagraph"/>
      </w:pPr>
      <w:r>
        <w:t xml:space="preserve">Analysis of the Child Index, an early warning child welfare system in the Netherlands, drew a similar conclusion on the importance of maintaining a compassionate human aspect in family-state relations:</w:t>
      </w:r>
    </w:p>
    <w:p>
      <w:pPr>
        <w:pStyle w:val="BlockText"/>
      </w:pPr>
      <w:r>
        <w:rPr>
          <w:iCs/>
          <w:i/>
        </w:rPr>
        <w:t xml:space="preserve">“Taking into account that</w:t>
      </w:r>
      <w:r>
        <w:t xml:space="preserve"> </w:t>
      </w:r>
      <w:r>
        <w:t xml:space="preserve">[care]</w:t>
      </w:r>
      <w:r>
        <w:t xml:space="preserve"> </w:t>
      </w:r>
      <w:r>
        <w:rPr>
          <w:iCs/>
          <w:i/>
        </w:rPr>
        <w:t xml:space="preserve">professionals’ first love is the best interest of and care for a child,</w:t>
      </w:r>
      <w:r>
        <w:t xml:space="preserve"> </w:t>
      </w:r>
      <w:r>
        <w:t xml:space="preserve">[policymakers should]</w:t>
      </w:r>
      <w:r>
        <w:t xml:space="preserve"> </w:t>
      </w:r>
      <w:r>
        <w:rPr>
          <w:iCs/>
          <w:i/>
        </w:rPr>
        <w:t xml:space="preserve">provide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t xml:space="preserve">—</w:t>
      </w:r>
      <w:r>
        <w:t xml:space="preserve">Lecluijze</w:t>
      </w:r>
      <w:r>
        <w:t xml:space="preserve"> </w:t>
      </w:r>
      <w:r>
        <w:rPr>
          <w:iCs/>
          <w:i/>
        </w:rPr>
        <w:t xml:space="preserve">et al.</w:t>
      </w:r>
      <w:r>
        <w:t xml:space="preserve"> </w:t>
      </w:r>
      <w:r>
        <w:t xml:space="preserve">(</w:t>
      </w:r>
      <w:hyperlink w:anchor="ref-lecluijze2015">
        <w:r>
          <w:rPr>
            <w:rStyle w:val="Hyperlink"/>
          </w:rPr>
          <w:t xml:space="preserve">2015</w:t>
        </w:r>
      </w:hyperlink>
      <w:r>
        <w:t xml:space="preserve">)</w:t>
      </w:r>
    </w:p>
    <w:bookmarkEnd w:id="42"/>
    <w:bookmarkStart w:id="46" w:name="X8a50e98458a9c28886ed15ffb2cc666b2d3d49b"/>
    <w:p>
      <w:pPr>
        <w:pStyle w:val="Heading3"/>
      </w:pPr>
      <w:r>
        <w:rPr>
          <w:rStyle w:val="SectionNumber"/>
        </w:rPr>
        <w:t xml:space="preserve">1.4.3</w:t>
      </w:r>
      <w:r>
        <w:tab/>
      </w:r>
      <w:r>
        <w:t xml:space="preserve">The Implications of Shifting the Locus of Decision Making Through Shared Data Interaction</w:t>
      </w:r>
    </w:p>
    <w:p>
      <w:pPr>
        <w:pStyle w:val="FirstParagraph"/>
      </w:pPr>
      <w:r>
        <w:t xml:space="preserve">In pursuit of</w:t>
      </w:r>
      <w:r>
        <w:t xml:space="preserve"> </w:t>
      </w:r>
      <w:hyperlink w:anchor="RQ2">
        <w:r>
          <w:rPr>
            <w:rStyle w:val="Hyperlink"/>
          </w:rPr>
          <w:t xml:space="preserve">RQ2</w:t>
        </w:r>
      </w:hyperlink>
      <w:r>
        <w:t xml:space="preserve">, the workshops explored the role of data within the EH support relationship. Workshop C brought parents and workers together to explore the mechanics of shared data interaction at an interpersonal, sociotechnical level [</w:t>
      </w:r>
      <w:hyperlink w:anchor="Xda596d45f9d6516efc24f110a7c87475a984016">
        <w:r>
          <w:rPr>
            <w:rStyle w:val="Hyperlink"/>
          </w:rPr>
          <w:t xml:space="preserve">2.2.5</w:t>
        </w:r>
      </w:hyperlink>
      <w:r>
        <w:t xml:space="preserve">;</w:t>
      </w:r>
      <w:r>
        <w:t xml:space="preserve"> </w:t>
      </w:r>
      <w:hyperlink w:anchor="Xcfe54f27289e2e996bf2e77df14202ff94111f9">
        <w:r>
          <w:rPr>
            <w:rStyle w:val="Hyperlink"/>
          </w:rPr>
          <w:t xml:space="preserve">2.3.3</w:t>
        </w:r>
      </w:hyperlink>
      <w:r>
        <w:t xml:space="preserve">] to explore the mutual benefits that might be offered by</w:t>
      </w:r>
      <w:r>
        <w:t xml:space="preserve"> </w:t>
      </w:r>
      <w:r>
        <w:rPr>
          <w:iCs/>
          <w:i/>
        </w:rPr>
        <w:t xml:space="preserve">shared data interaction</w:t>
      </w:r>
      <w:r>
        <w:t xml:space="preserve">. The participants worked together to construct possible narratives expressed through human-human and human-data interactions. In doing so, they modelled how shared data interaction could rebalancing power over data. I conceptualise this as</w:t>
      </w:r>
      <w:r>
        <w:t xml:space="preserve"> </w:t>
      </w:r>
      <w:r>
        <w:rPr>
          <w:bCs/>
          <w:b/>
        </w:rPr>
        <w:t xml:space="preserve">shifting the Locus of Decision Making (LDM)</w:t>
      </w:r>
      <w:r>
        <w:t xml:space="preserve">. LDM is a concept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organisational hierarchy. The LDM is the the place where decisions are made. It may or may not coincide with existing authority structures. Accumulated understandings of EH practice, and more generally of data-centric service provision, suggest that decisions are typically made, germinated or championed close to where data is accessed.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 provision [</w:t>
      </w:r>
      <w:hyperlink w:anchor="X2fecb37588747cdb8227230edc41ff2ca6557e1">
        <w:r>
          <w:rPr>
            <w:rStyle w:val="Hyperlink"/>
          </w:rPr>
          <w:t xml:space="preserve">2.1.2</w:t>
        </w:r>
      </w:hyperlink>
      <w:r>
        <w:t xml:space="preserve">] has concentrated the LDM with data holders, who collect service users’ data to serve their own purposes.</w:t>
      </w:r>
    </w:p>
    <w:p>
      <w:pPr>
        <w:pStyle w:val="CaptionedFigure"/>
      </w:pPr>
      <w:r>
        <w:drawing>
          <wp:inline>
            <wp:extent cx="5334000" cy="6122894"/>
            <wp:effectExtent b="0" l="0" r="0" t="0"/>
            <wp:docPr descr="Figure 4.2: Current Model of Data Interaction, and Proposed Model of Shared Data Interaction" title="" id="44" name="Picture"/>
            <a:graphic>
              <a:graphicData uri="http://schemas.openxmlformats.org/drawingml/2006/picture">
                <pic:pic>
                  <pic:nvPicPr>
                    <pic:cNvPr descr="./src/figs/fig4.2-shifting-locus.png" id="45" name="Picture"/>
                    <pic:cNvPicPr>
                      <a:picLocks noChangeArrowheads="1" noChangeAspect="1"/>
                    </pic:cNvPicPr>
                  </pic:nvPicPr>
                  <pic:blipFill>
                    <a:blip r:embed="rId43"/>
                    <a:stretch>
                      <a:fillRect/>
                    </a:stretch>
                  </pic:blipFill>
                  <pic:spPr bwMode="auto">
                    <a:xfrm>
                      <a:off x="0" y="0"/>
                      <a:ext cx="5334000" cy="6122894"/>
                    </a:xfrm>
                    <a:prstGeom prst="rect">
                      <a:avLst/>
                    </a:prstGeom>
                    <a:noFill/>
                    <a:ln w="9525">
                      <a:noFill/>
                      <a:headEnd/>
                      <a:tailEnd/>
                    </a:ln>
                  </pic:spPr>
                </pic:pic>
              </a:graphicData>
            </a:graphic>
          </wp:inline>
        </w:drawing>
      </w:r>
    </w:p>
    <w:p>
      <w:pPr>
        <w:pStyle w:val="ImageCaption"/>
      </w:pPr>
      <w:r>
        <w:t xml:space="preserve">Figure 4.2: Current Model of Data Interaction, and Proposed Model of Shared Data Interaction</w:t>
      </w:r>
    </w:p>
    <w:p>
      <w:pPr>
        <w:pStyle w:val="BodyText"/>
      </w:pPr>
      <w:r>
        <w:rPr>
          <w:bCs/>
          <w:b/>
        </w:rPr>
        <w:t xml:space="preserve">Removing the Gatekeeper</w:t>
      </w:r>
    </w:p>
    <w:p>
      <w:pPr>
        <w:pStyle w:val="BodyText"/>
      </w:pPr>
      <w:r>
        <w:t xml:space="preserve">The current and imagined approaches are represented in</w:t>
      </w:r>
      <w:r>
        <w:t xml:space="preserve"> </w:t>
      </w:r>
      <w:hyperlink w:anchor="figure-4.2">
        <w:r>
          <w:rPr>
            <w:rStyle w:val="Hyperlink"/>
          </w:rPr>
          <w:t xml:space="preserve">Figure 4.2</w:t>
        </w:r>
      </w:hyperlink>
      <w:r>
        <w:t xml:space="preserve">.</w:t>
      </w:r>
    </w:p>
    <w:p>
      <w:pPr>
        <w:pStyle w:val="BodyText"/>
      </w:pPr>
      <w:r>
        <w:t xml:space="preserve">In the current model (top), the only access to data by families is through the support worker as gatekeeper, who decides the scope, content and nature of their access. The LDM is</w:t>
      </w:r>
      <w:r>
        <w:t xml:space="preserve"> </w:t>
      </w:r>
      <w:r>
        <w:t xml:space="preserve">‘</w:t>
      </w:r>
      <w:r>
        <w:t xml:space="preserve">back at the office</w:t>
      </w:r>
      <w:r>
        <w:t xml:space="preserve">’</w:t>
      </w:r>
      <w:r>
        <w:t xml:space="preserve">, locked away from the family’s participation.</w:t>
      </w:r>
    </w:p>
    <w:p>
      <w:pPr>
        <w:pStyle w:val="BodyText"/>
      </w:pPr>
      <w:r>
        <w:t xml:space="preserve">In a more equitable model (bottom), support worker and family member are positioned as allies looking at the data together. This changes the nature of the support relationship. Some of the work that was previously done solely by the data holder (such as data maintenance and data-driven decision making) would now take place in the two-party context of the support meeting itself.</w:t>
      </w:r>
    </w:p>
    <w:p>
      <w:pPr>
        <w:pStyle w:val="BodyText"/>
      </w:pPr>
      <w:r>
        <w:t xml:space="preserve">The removal of the gatekeeper role redistributes the power to interpret, select and judge data. Families would no longer be prevented from participating in data-based decision making. I theorise that shifting the data access from the domain of the support worker to the shared domain of the support meeting would move the LDM closer to the heart of the support relationship, creating a more balanced relationship and increasing families’ agency and power.</w:t>
      </w:r>
    </w:p>
    <w:p>
      <w:pPr>
        <w:pStyle w:val="BodyText"/>
      </w:pPr>
      <w:r>
        <w:t xml:space="preserve">Support for shifting the LDM through shared data interaction is seen in the findings: Both families and staff said they would value a shared data interaction approach. Multiple participants independently imagined benefits of reviewing data and consent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w:t>
      </w:r>
      <w:r>
        <w:t xml:space="preserve"> </w:t>
      </w:r>
      <w:hyperlink w:anchor="X765544707e63d114a5f98236a33a1ab147f236f">
        <w:r>
          <w:rPr>
            <w:rStyle w:val="Hyperlink"/>
          </w:rPr>
          <w:t xml:space="preserve">4.3.3</w:t>
        </w:r>
      </w:hyperlink>
      <w:r>
        <w:t xml:space="preserve">]. Participants perceive shared data interaction as an improvement, but it has not been tested in practice, so it is important to consider the benefits and implications of such a shift.</w:t>
      </w:r>
    </w:p>
    <w:p>
      <w:pPr>
        <w:pStyle w:val="BodyText"/>
      </w:pPr>
      <w:r>
        <w:rPr>
          <w:bCs/>
          <w:b/>
        </w:rPr>
        <w:t xml:space="preserve">Individual/Family Benefits</w:t>
      </w:r>
    </w:p>
    <w:p>
      <w:pPr>
        <w:pStyle w:val="BodyText"/>
      </w:pPr>
      <w:r>
        <w:t xml:space="preserve">Shared data interaction could empower families by giving them a role to play as agents in the life of their data, and a new ability to create and curate their own</w:t>
      </w:r>
      <w:r>
        <w:t xml:space="preserve"> </w:t>
      </w:r>
      <w:r>
        <w:rPr>
          <w:iCs/>
          <w:i/>
        </w:rPr>
        <w:t xml:space="preserve">data self</w:t>
      </w:r>
      <w:r>
        <w:t xml:space="preserve"> </w:t>
      </w:r>
      <w:r>
        <w:t xml:space="preserve">so that it is as fair, accurate and representative as possible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0feb4697a9a59378889074eb2a9c667eb85231">
        <w:r>
          <w:rPr>
            <w:rStyle w:val="Hyperlink"/>
          </w:rPr>
          <w:t xml:space="preserve">4.4.1</w:t>
        </w:r>
      </w:hyperlink>
      <w:r>
        <w:t xml:space="preserve">]. They would be further empowered by having access to view metrics by which their progress is judged, as they could</w:t>
      </w:r>
      <w:r>
        <w:t xml:space="preserve"> </w:t>
      </w:r>
      <w:r>
        <w:t xml:space="preserve">take steps to influence any poorer metrics, and then use the improved metrics as confidence-building evidence of growth—a positive feedback cycle that is hardly possible at present.</w:t>
      </w:r>
    </w:p>
    <w:p>
      <w:pPr>
        <w:pStyle w:val="BodyText"/>
      </w:pPr>
      <w:r>
        <w:t xml:space="preserve">Shifting the LDM could enable families to take more responsibility, through an increased ability to reflect and make plans—an important element of harnessing one’s personal data for self-improvement [</w:t>
      </w:r>
      <w:hyperlink w:anchor="X243f3446bb1226eacba3cdb8b904ef729d6ec9d">
        <w:r>
          <w:rPr>
            <w:rStyle w:val="Hyperlink"/>
          </w:rPr>
          <w:t xml:space="preserve">2.2.3</w:t>
        </w:r>
      </w:hyperlink>
      <w:r>
        <w:t xml:space="preserve">;</w:t>
      </w:r>
      <w:r>
        <w:t xml:space="preserve"> </w:t>
      </w:r>
      <w:r>
        <w:t xml:space="preserve">Abiteboul, André and Kaplan (</w:t>
      </w:r>
      <w:hyperlink w:anchor="ref-abiteboul2015">
        <w:r>
          <w:rPr>
            <w:rStyle w:val="Hyperlink"/>
          </w:rPr>
          <w:t xml:space="preserve">2015</w:t>
        </w:r>
      </w:hyperlink>
      <w:r>
        <w:t xml:space="preserve">)</w:t>
      </w:r>
      <w:r>
        <w:t xml:space="preserve">], and through better accountability [SQ75]. Exposure to data is required for accountability</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93% of doctors believe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rPr>
          <w:bCs/>
          <w:b/>
        </w:rPr>
        <w:t xml:space="preserve">Care Provider Benefits</w:t>
      </w:r>
      <w:r>
        <w:t xml:space="preserve">.</w:t>
      </w:r>
    </w:p>
    <w:p>
      <w:pPr>
        <w:pStyle w:val="BodyText"/>
      </w:pPr>
      <w:r>
        <w:t xml:space="preserve">Benefits to supported individuals can be seen as benefits to the EH practitioner too, given their role to help improve the family’s situation. But co-stewardship of family data can also reduce the burden and responsibility upon the authority to look after that data. Responsibility for ensuring completeness, accuracy and fairness is now shared. This could also reduce the likelihood of complaints or litigation, not least because families can shift from an</w:t>
      </w:r>
      <w:r>
        <w:t xml:space="preserve"> </w:t>
      </w:r>
      <w:r>
        <w:t xml:space="preserve">‘</w:t>
      </w:r>
      <w:r>
        <w:t xml:space="preserve">us and them</w:t>
      </w:r>
      <w:r>
        <w:t xml:space="preserve">’</w:t>
      </w:r>
      <w:r>
        <w:t xml:space="preserve"> </w:t>
      </w:r>
      <w:r>
        <w:t xml:space="preserve">mentality towards a more favourable perspective.</w:t>
      </w:r>
    </w:p>
    <w:p>
      <w:pPr>
        <w:pStyle w:val="BodyText"/>
      </w:pPr>
      <w:r>
        <w:t xml:space="preserve">Provided the individual remains engaged, informed and understands the data and processes that exist, the scope for breaches of consent by workers is reduced because at every meeting (and, with personal data interfaces, outside those meetings) supported families are involved in a conversation that directly enables them to voice their approval or concerns for the ways their data is being used.</w:t>
      </w:r>
    </w:p>
    <w:p>
      <w:pPr>
        <w:pStyle w:val="BodyText"/>
      </w:pPr>
      <w:r>
        <w:rPr>
          <w:bCs/>
          <w:b/>
        </w:rPr>
        <w:t xml:space="preserve">Practical Challenges</w:t>
      </w:r>
    </w:p>
    <w:p>
      <w:pPr>
        <w:pStyle w:val="BodyText"/>
      </w:pPr>
      <w:r>
        <w:t xml:space="preserve">Implementing shared data interaction would be challenging. Costs could be incurred if new equipment such as 2-in-1 devices were needed. New software interfaces would need to be commissioned, developed and purchased. Such interfaces would be technically difficult, given the fragmented care sector infrastructure [</w:t>
      </w:r>
      <w:hyperlink w:anchor="X6442478f1f952d62cb89e1b634d5937a7d2863f">
        <w:r>
          <w:rPr>
            <w:rStyle w:val="Hyperlink"/>
          </w:rPr>
          <w:t xml:space="preserve">4.1.2</w:t>
        </w:r>
      </w:hyperlink>
      <w:r>
        <w:t xml:space="preserve">;</w:t>
      </w:r>
      <w:r>
        <w:t xml:space="preserve"> </w:t>
      </w:r>
      <w:r>
        <w:t xml:space="preserve">Copeland (</w:t>
      </w:r>
      <w:hyperlink w:anchor="ref-copeland2015">
        <w:r>
          <w:rPr>
            <w:rStyle w:val="Hyperlink"/>
          </w:rPr>
          <w:t xml:space="preserve">2015</w:t>
        </w:r>
      </w:hyperlink>
      <w:r>
        <w:t xml:space="preserve">)</w:t>
      </w:r>
      <w:r>
        <w:t xml:space="preserve">]. Identity management in this context is already challenging</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and child involvement requires special care</w:t>
      </w:r>
      <w:r>
        <w:t xml:space="preserve"> </w:t>
      </w:r>
      <w:r>
        <w:t xml:space="preserve">(</w:t>
      </w:r>
      <w:hyperlink w:anchor="ref-tregeagle2008">
        <w:r>
          <w:rPr>
            <w:rStyle w:val="Hyperlink"/>
          </w:rPr>
          <w:t xml:space="preserve">Tregeagle and Darcy, 2008</w:t>
        </w:r>
      </w:hyperlink>
      <w:r>
        <w:t xml:space="preserve">)</w:t>
      </w:r>
      <w:r>
        <w:t xml:space="preserve">. Support workers would need additional training both on software and hardware, this is already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a critical one in Poland</w:t>
      </w:r>
      <w:r>
        <w:t xml:space="preserve"> </w:t>
      </w:r>
      <w:r>
        <w:t xml:space="preserve">(</w:t>
      </w:r>
      <w:hyperlink w:anchor="ref-soja2015">
        <w:r>
          <w:rPr>
            <w:rStyle w:val="Hyperlink"/>
          </w:rPr>
          <w:t xml:space="preserve">Soja, 2015</w:t>
        </w:r>
      </w:hyperlink>
      <w:r>
        <w:t xml:space="preserve">)</w:t>
      </w:r>
      <w:r>
        <w:t xml:space="preserve">. Training becomes particularly important in a system where the care workers must take on an educational role as sensemakers of digital records.</w:t>
      </w:r>
    </w:p>
    <w:p>
      <w:pPr>
        <w:pStyle w:val="BodyText"/>
      </w:pPr>
      <w:r>
        <w:t xml:space="preserve">Involving individual members of the public as actors within systems previously targeted to staff would likely carry fresh considerations for access control, technical support and public liability insurance. Providing personal data interfaces to the public, and new communication channels for asking questions would carry a large human resource support cost.</w:t>
      </w:r>
    </w:p>
    <w:p>
      <w:pPr>
        <w:pStyle w:val="BodyText"/>
      </w:pPr>
      <w:r>
        <w:t xml:space="preserve">The creation of a direct communication channel between supported individuals and support services offers potential savings for the state in terms of reducing the amount of costly</w:t>
      </w:r>
      <w:r>
        <w:t xml:space="preserve"> </w:t>
      </w:r>
      <w:r>
        <w:t xml:space="preserve">(</w:t>
      </w:r>
      <w:hyperlink w:anchor="ref-kriisk2017">
        <w:r>
          <w:rPr>
            <w:rStyle w:val="Hyperlink"/>
          </w:rPr>
          <w:t xml:space="preserve">Kriisk and Minas, 2017</w:t>
        </w:r>
      </w:hyperlink>
      <w:r>
        <w:t xml:space="preserve">)</w:t>
      </w:r>
      <w:r>
        <w:t xml:space="preserve"> </w:t>
      </w:r>
      <w:r>
        <w:t xml:space="preserve">‘</w:t>
      </w:r>
      <w:r>
        <w:t xml:space="preserve">in the home</w:t>
      </w:r>
      <w:r>
        <w:t xml:space="preserve">’</w:t>
      </w:r>
      <w:r>
        <w:t xml:space="preserve"> </w:t>
      </w:r>
      <w:r>
        <w:t xml:space="preserve">contact. However, broad human support for data access might change these savings into a net cost.</w:t>
      </w:r>
    </w:p>
    <w:p>
      <w:pPr>
        <w:pStyle w:val="BodyText"/>
      </w:pPr>
      <w:r>
        <w:t xml:space="preserve">Dispute resolution procedures and additional legal and information governance support would be likely to be needed. New challenges might occur, such as individuals with destructive, manipulative or otherwise challenging intent, who might try to mislead workers for person gain.</w:t>
      </w:r>
    </w:p>
    <w:p>
      <w:pPr>
        <w:pStyle w:val="BodyText"/>
      </w:pPr>
      <w:r>
        <w:t xml:space="preserve">It would be fair to criticise human-centred state interaction as something that would not be cheap or scalable. With more individual-state interactions, every case could take more worker time in a system that is already overburdened and underfunded</w:t>
      </w:r>
      <w:r>
        <w:t xml:space="preserve"> </w:t>
      </w:r>
      <w:r>
        <w:t xml:space="preserve">(</w:t>
      </w:r>
      <w:hyperlink w:anchor="ref-copeland2015">
        <w:r>
          <w:rPr>
            <w:rStyle w:val="Hyperlink"/>
          </w:rPr>
          <w:t xml:space="preserve">Copeland, 2015</w:t>
        </w:r>
      </w:hyperlink>
      <w:r>
        <w:t xml:space="preserve">;</w:t>
      </w:r>
      <w:r>
        <w:t xml:space="preserve"> </w:t>
      </w:r>
      <w:hyperlink w:anchor="ref-lga2017">
        <w:r>
          <w:rPr>
            <w:rStyle w:val="Hyperlink"/>
          </w:rPr>
          <w:t xml:space="preserve">Local Government Association, 2017</w:t>
        </w:r>
      </w:hyperlink>
      <w:r>
        <w:t xml:space="preserve">)</w:t>
      </w:r>
      <w:r>
        <w:t xml:space="preserve">. The state has adopted a data-centric approach to citizen interaction in part because it cannot manage to provide human relationships with every individual citizen. But now this approach has become ingrained into government approaches to citizen relations:</w:t>
      </w:r>
    </w:p>
    <w:p>
      <w:pPr>
        <w:pStyle w:val="BlockText"/>
      </w:pPr>
      <w:r>
        <w:rPr>
          <w:iCs/>
          <w:i/>
        </w:rPr>
        <w:t xml:space="preserve">‘</w:t>
      </w:r>
      <w:r>
        <w:rPr>
          <w:iCs/>
          <w:i/>
        </w:rPr>
        <w:t xml:space="preserve">It is no longer a technological necessity but it has become a political intention.</w:t>
      </w:r>
      <w:r>
        <w:rPr>
          <w:iCs/>
          <w:i/>
        </w:rPr>
        <w:t xml:space="preserve">’</w:t>
      </w:r>
      <w:r>
        <w:t xml:space="preserve">—</w:t>
      </w:r>
      <w:r>
        <w:t xml:space="preserve">(</w:t>
      </w:r>
      <w:hyperlink w:anchor="ref-bridle2016">
        <w:r>
          <w:rPr>
            <w:rStyle w:val="Hyperlink"/>
          </w:rPr>
          <w:t xml:space="preserve">Bridle, 2016</w:t>
        </w:r>
      </w:hyperlink>
      <w:r>
        <w:t xml:space="preserve">)</w:t>
      </w:r>
    </w:p>
    <w:p>
      <w:pPr>
        <w:pStyle w:val="FirstParagraph"/>
      </w:pPr>
      <w:r>
        <w:t xml:space="preserve">There is a need to reverse this trend, not only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proposal for shifting the LDM is theoretical; it does not provide an implementable solution that could be rolled out at scale. Instead, it can serve as a mental model to stimulate discussions about potential change. Its value is in shining a light on the positive and negative impacts upon relationship effectiveness of current data practice in EH. These findings offer imagined practices that could be more efficient, and serve as a challenge to the status quo that should encourage EH providers to question their priorities when it comes to the use of people’s civic data. The primary goal of EH is to empower families to help themselves as effectively as possible, and EH’s focus on data arguably works against this.</w:t>
      </w:r>
    </w:p>
    <w:bookmarkEnd w:id="46"/>
    <w:bookmarkEnd w:id="47"/>
    <w:bookmarkStart w:id="48"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this study highlighted five problem areas which participants perceive with current personal data practices:</w:t>
      </w:r>
    </w:p>
    <w:p>
      <w:pPr>
        <w:numPr>
          <w:ilvl w:val="0"/>
          <w:numId w:val="1010"/>
        </w:numPr>
      </w:pPr>
      <w:r>
        <w:rPr>
          <w:bCs/>
          <w:b/>
        </w:rPr>
        <w:t xml:space="preserve">A power imbalance</w:t>
      </w:r>
      <w:r>
        <w:t xml:space="preserve"> </w:t>
      </w:r>
      <w:r>
        <w:t xml:space="preserve">– Families’ personal civic data is collected by care organisations who view it as a resource to be utilised, creating a structural power imbalance against families who are barely able to influence data values or practices.</w:t>
      </w:r>
    </w:p>
    <w:p>
      <w:pPr>
        <w:numPr>
          <w:ilvl w:val="0"/>
          <w:numId w:val="1010"/>
        </w:numPr>
      </w:pPr>
      <w:r>
        <w:rPr>
          <w:bCs/>
          <w:b/>
        </w:rPr>
        <w:t xml:space="preserve">A closed and opaque data ecosystem</w:t>
      </w:r>
      <w:r>
        <w:t xml:space="preserve"> </w:t>
      </w:r>
      <w:r>
        <w:t xml:space="preserve">– Families lack awareness of what data is held about them and how it is used, with support workers (who themselves have limited access) functioning as gatekeepers to what families will be told.</w:t>
      </w:r>
    </w:p>
    <w:p>
      <w:pPr>
        <w:numPr>
          <w:ilvl w:val="0"/>
          <w:numId w:val="1010"/>
        </w:numPr>
      </w:pPr>
      <w:r>
        <w:rPr>
          <w:bCs/>
          <w:b/>
        </w:rPr>
        <w:t xml:space="preserve">Ineffective, meaningless consent</w:t>
      </w:r>
      <w:r>
        <w:t xml:space="preserve"> </w:t>
      </w:r>
      <w:r>
        <w:t xml:space="preserve">– The current consent model, while legally satisfactorily, is ineffective. It is a one-time initial hurdle after which support workers can do whatever they deem necessary with families’ data. Families are never again given any meaningful choices about what happens to their data.</w:t>
      </w:r>
    </w:p>
    <w:p>
      <w:pPr>
        <w:numPr>
          <w:ilvl w:val="0"/>
          <w:numId w:val="1010"/>
        </w:numPr>
      </w:pPr>
      <w:r>
        <w:rPr>
          <w:bCs/>
          <w:b/>
        </w:rPr>
        <w:t xml:space="preserve">No accountability and fragile, limited trust</w:t>
      </w:r>
      <w:r>
        <w:t xml:space="preserve"> </w:t>
      </w:r>
      <w:r>
        <w:t xml:space="preserve">– Without transparency or an ability to request or demand changes to data or data practices, families have no ability to hold data holders to account. This makes families’ trust in the system hard to earn and fragile to maintain.</w:t>
      </w:r>
    </w:p>
    <w:p>
      <w:pPr>
        <w:numPr>
          <w:ilvl w:val="0"/>
          <w:numId w:val="1010"/>
        </w:numPr>
      </w:pPr>
      <w:r>
        <w:rPr>
          <w:bCs/>
          <w:b/>
        </w:rPr>
        <w:t xml:space="preserve">A lack of agency or true empowerment</w:t>
      </w:r>
      <w:r>
        <w:t xml:space="preserve"> </w:t>
      </w:r>
      <w:r>
        <w:t xml:space="preserve">– With families having no ability to shape the way they are seen in data, or even just to see how the state sees them, opportunities are missed to empower families for personal growth.</w:t>
      </w:r>
    </w:p>
    <w:p>
      <w:pPr>
        <w:pStyle w:val="FirstParagraph"/>
      </w:pPr>
      <w:r>
        <w:t xml:space="preserve">These explorations of shared data interaction and personal data interaction show there is both a need and a desire for a new approach. Deliberately openness with families’ data and direct use within face-to-face consultations could address all five of these problems. The removal of the gatekeeper role over families’ civic data would give families a role in the stewardship of their own data, shifting power in their favour. Clear visibility of data recording and usage would enable accountability (currently absent), engendering trust. With ongoing family involvement, the consent problem would be largely solved; families could immediately speak up at any point in the light of new developments or new information. Data-informed and support conversations could enable better decisions. With an ability to influence how they are represented and observe changes through data, families would be empowered to make changes in their own lives, acquiring a previously unattainable level of agency.</w:t>
      </w:r>
    </w:p>
    <w:p>
      <w:pPr>
        <w:pStyle w:val="BodyText"/>
      </w:pPr>
      <w:r>
        <w:t xml:space="preserve">Data visualisations and summaries could serve as conversation starters and as boundary objects, enabling more effective conversations. A shift from verbal reporting to</w:t>
      </w:r>
      <w:r>
        <w:t xml:space="preserve"> </w:t>
      </w:r>
      <w:r>
        <w:t xml:space="preserve">‘</w:t>
      </w:r>
      <w:r>
        <w:t xml:space="preserve">looking at data together</w:t>
      </w:r>
      <w:r>
        <w:t xml:space="preserve">’</w:t>
      </w:r>
      <w:r>
        <w:t xml:space="preserve"> </w:t>
      </w:r>
      <w:r>
        <w:t xml:space="preserve">would change the dynamic of the support interaction away from</w:t>
      </w:r>
      <w:r>
        <w:t xml:space="preserve"> </w:t>
      </w:r>
      <w:r>
        <w:t xml:space="preserve">‘</w:t>
      </w:r>
      <w:r>
        <w:t xml:space="preserve">us and them</w:t>
      </w:r>
      <w:r>
        <w:t xml:space="preserve">’</w:t>
      </w:r>
      <w:r>
        <w:t xml:space="preserve"> </w:t>
      </w:r>
      <w:r>
        <w:t xml:space="preserve">towards an ally-based approach. Data accuracy should improve, given that for a full picture both data and dialogue is needed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Given the opportunity, individuals could contribute explanations, fill gaps or correct mistakes. Decision making would naturally improve through a greater focus on discussions around accurate evidence.</w:t>
      </w:r>
    </w:p>
    <w:p>
      <w:pPr>
        <w:pStyle w:val="BodyText"/>
      </w:pPr>
      <w:r>
        <w:t xml:space="preserve">This chapter establishes that giving the family a role could be very powerful, because visible data processing would provide them with direct evidence that they are being listened to and that their perspective is seen to matter more than</w:t>
      </w:r>
      <w:r>
        <w:t xml:space="preserve"> </w:t>
      </w:r>
      <w:r>
        <w:t xml:space="preserve">‘</w:t>
      </w:r>
      <w:r>
        <w:t xml:space="preserve">what the computer says</w:t>
      </w:r>
      <w:r>
        <w:t xml:space="preserve">’</w:t>
      </w:r>
      <w:r>
        <w:t xml:space="preserve">. The ability to ask questions about data treats the family with greater respect. Personal data interfaces, enabling families to act independently in their own time and in contexts outside of the support interaction, would allow individuals to alleviate concerns quickly and maintain confidence that their data selves remain fair and accurate. At the same time, new opportunities could arise for use of one’s own data. The adoption of such measures could facilitate the emergence of a human-centred personal data ecosystem [</w:t>
      </w:r>
      <w:hyperlink w:anchor="X7b06b2486a051055e43ae1127e87196d505e2f3">
        <w:r>
          <w:rPr>
            <w:rStyle w:val="Hyperlink"/>
          </w:rPr>
          <w:t xml:space="preserve">2.3.4</w:t>
        </w:r>
      </w:hyperlink>
      <w:r>
        <w:t xml:space="preserve">] in a civic context.</w:t>
      </w:r>
    </w:p>
    <w:p>
      <w:pPr>
        <w:pStyle w:val="BodyText"/>
      </w:pPr>
      <w:r>
        <w:t xml:space="preserve">Capabilities – or their absence – matter more than the on-screen technicalities of the data interaction. Data interfaces are limited by their operating context as to how much they can offer, but in this chapter data interaction is examined as a sociotechnical process [</w:t>
      </w:r>
      <w:hyperlink w:anchor="Xcfe54f27289e2e996bf2e77df14202ff94111f9">
        <w:r>
          <w:rPr>
            <w:rStyle w:val="Hyperlink"/>
          </w:rPr>
          <w:t xml:space="preserve">2.3.3</w:t>
        </w:r>
      </w:hyperlink>
      <w:r>
        <w:t xml:space="preserve">], looking beyond interface interaction to the human relationship between the individual and the state, which allows more holistic and human-centric solutions to be imagined, in line with the objectives of this thesis [</w:t>
      </w:r>
      <w:hyperlink w:anchor="X8a16af997b52cb888232ab5d79a527b0716561c">
        <w:r>
          <w:rPr>
            <w:rStyle w:val="Hyperlink"/>
          </w:rPr>
          <w:t xml:space="preserve">2.4</w:t>
        </w:r>
      </w:hyperlink>
      <w:r>
        <w:t xml:space="preserve">].</w:t>
      </w:r>
    </w:p>
    <w:p>
      <w:pPr>
        <w:pStyle w:val="BodyText"/>
      </w:pPr>
      <w:r>
        <w:t xml:space="preserve">The sociotechnical perspective allows deeper consideration of the purpose of EH interactions, refocusing attention on the core goals to empower individuals to better themselves. The human perspective on family civic data should be given the highest priority, so that professionals’ flexibility is not limited, but also because data cannot adequately represent the complexities of human life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People are more than just data, and you have to talk to them to make sense of their lives and to avoid excluding them. Usage of data should always be supported with dialogue and engagement. It is this need to focus on the human aspect that explains why trust underpinned nearly every single problem imagined by participants. Without an open system that encourages dialogue and discussion, it is very hard not to close doors, create suspicion and harm trust.</w:t>
      </w:r>
    </w:p>
    <w:p>
      <w:pPr>
        <w:pStyle w:val="BodyText"/>
      </w:pPr>
      <w:r>
        <w:t xml:space="preserve">[</w:t>
      </w:r>
      <w:hyperlink w:anchor="figure-4.1">
        <w:r>
          <w:rPr>
            <w:rStyle w:val="Hyperlink"/>
          </w:rPr>
          <w:t xml:space="preserve">Figure 4.1</w:t>
        </w:r>
      </w:hyperlink>
      <w:r>
        <w:t xml:space="preserve">] informs</w:t>
      </w:r>
      <w:r>
        <w:t xml:space="preserve"> </w:t>
      </w:r>
      <w:hyperlink w:anchor="RQ1">
        <w:r>
          <w:rPr>
            <w:rStyle w:val="Hyperlink"/>
          </w:rPr>
          <w:t xml:space="preserve">RQ1</w:t>
        </w:r>
      </w:hyperlink>
      <w:r>
        <w:t xml:space="preserve">, showing perspectives upon family civic data and practices. The thematic analysis [</w:t>
      </w:r>
      <w:hyperlink w:anchor="X5d05199b7d43b0bd203a9cf2e8e874dad4ff45f">
        <w:r>
          <w:rPr>
            <w:rStyle w:val="Hyperlink"/>
          </w:rPr>
          <w:t xml:space="preserve">4.3</w:t>
        </w:r>
      </w:hyperlink>
      <w:r>
        <w:t xml:space="preserve">] of workshop transcripts identified positive and negative impacts on the support relationship of current civic data practices within EH, identifying best practices, seen in the subthemes and expressed as 38 specific practices for EH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practices would improve families’ engagement and the support they receive. These proposed practices, as well as the shared data interaction approach, challenge the status quo and can inform policy, process and system design for all kinds of attempts to reform care services or digital citizenship offerings. Such changes carry significant challenges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 behind</w:t>
      </w:r>
      <w:r>
        <w:rPr>
          <w:iCs/>
          <w:i/>
        </w:rPr>
        <w:t xml:space="preserve">’</w:t>
      </w:r>
      <w:r>
        <w:t xml:space="preserve"> </w:t>
      </w:r>
      <w:r>
        <w:t xml:space="preserve">(disempowered) families, perhaps moreso than a purely state-centred approach. Human-centred data use may offer a route to a more enabling welfare state. This work serves as a reminder that as we move into the data-driven age it is important that data should stay close to the people it is about, rather than to those that use the data to provide services.</w:t>
      </w:r>
    </w:p>
    <w:p>
      <w:pPr>
        <w:pStyle w:val="BodyText"/>
      </w:pPr>
      <w:r>
        <w:t xml:space="preserve">The general principles expressed here could be equally applied to other domains including education, healthcare, democracy and commerce, and this emphasis upon individual capabilities over interface design is a mindset that could be applied to many human-computer interaction and design endeavours.</w:t>
      </w:r>
    </w:p>
    <w:p>
      <w:r>
        <w:pict>
          <v:rect style="width:0;height:1.5pt" o:hralign="center" o:hrstd="t" o:hr="t"/>
        </w:pict>
      </w:r>
    </w:p>
    <w:bookmarkEnd w:id="48"/>
    <w:bookmarkEnd w:id="49"/>
    <w:bookmarkStart w:id="147" w:name="bibliography"/>
    <w:p>
      <w:pPr>
        <w:pStyle w:val="Heading1"/>
      </w:pPr>
      <w:r>
        <w:t xml:space="preserve">Bibliography</w:t>
      </w:r>
    </w:p>
    <w:bookmarkStart w:id="146" w:name="refs"/>
    <w:bookmarkStart w:id="51"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0">
        <w:r>
          <w:rPr>
            <w:rStyle w:val="Hyperlink"/>
          </w:rPr>
          <w:t xml:space="preserve">10.1145/2670528</w:t>
        </w:r>
      </w:hyperlink>
      <w:r>
        <w:t xml:space="preserve">.</w:t>
      </w:r>
    </w:p>
    <w:bookmarkEnd w:id="51"/>
    <w:bookmarkStart w:id="52"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52"/>
    <w:bookmarkStart w:id="53" w:name="ref-bate2018"/>
    <w:p>
      <w:pPr>
        <w:pStyle w:val="Bibliography"/>
      </w:pPr>
      <w:r>
        <w:t xml:space="preserve">Bate, A. and Bellis, A. (2018)</w:t>
      </w:r>
      <w:r>
        <w:t xml:space="preserve"> </w:t>
      </w:r>
      <w:r>
        <w:rPr>
          <w:iCs/>
          <w:i/>
        </w:rPr>
        <w:t xml:space="preserve">The Troubled Families programme ( England )</w:t>
      </w:r>
      <w:r>
        <w:t xml:space="preserve">. July.</w:t>
      </w:r>
    </w:p>
    <w:bookmarkEnd w:id="53"/>
    <w:bookmarkStart w:id="55"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54">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55"/>
    <w:bookmarkStart w:id="57"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56">
        <w:r>
          <w:rPr>
            <w:rStyle w:val="Hyperlink"/>
          </w:rPr>
          <w:t xml:space="preserve">10.1145/3173574.3173710</w:t>
        </w:r>
      </w:hyperlink>
      <w:r>
        <w:t xml:space="preserve">.</w:t>
      </w:r>
    </w:p>
    <w:bookmarkEnd w:id="57"/>
    <w:bookmarkStart w:id="59"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58">
        <w:r>
          <w:rPr>
            <w:rStyle w:val="Hyperlink"/>
          </w:rPr>
          <w:t xml:space="preserve">10.1145/3290607.3312998</w:t>
        </w:r>
      </w:hyperlink>
      <w:r>
        <w:t xml:space="preserve">.</w:t>
      </w:r>
    </w:p>
    <w:bookmarkEnd w:id="59"/>
    <w:bookmarkStart w:id="61"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60">
        <w:r>
          <w:rPr>
            <w:rStyle w:val="Hyperlink"/>
          </w:rPr>
          <w:t xml:space="preserve">10.1145/1011870.1011885</w:t>
        </w:r>
      </w:hyperlink>
      <w:r>
        <w:t xml:space="preserve">.</w:t>
      </w:r>
    </w:p>
    <w:bookmarkEnd w:id="61"/>
    <w:bookmarkStart w:id="63"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62">
        <w:r>
          <w:rPr>
            <w:rStyle w:val="Hyperlink"/>
          </w:rPr>
          <w:t xml:space="preserve">10.1080/2373566x.2016.1237858</w:t>
        </w:r>
      </w:hyperlink>
      <w:r>
        <w:t xml:space="preserve">.</w:t>
      </w:r>
    </w:p>
    <w:bookmarkEnd w:id="63"/>
    <w:bookmarkStart w:id="65"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64">
        <w:r>
          <w:rPr>
            <w:rStyle w:val="Hyperlink"/>
          </w:rPr>
          <w:t xml:space="preserve">www.policyexchange.org.uk https://policyexchange.org.uk/publication/small-pieces-loosely-joined-how-smarter-use-of-technology-and-data-can-deliver-real-reform-of-local-government/</w:t>
        </w:r>
      </w:hyperlink>
      <w:r>
        <w:t xml:space="preserve">.</w:t>
      </w:r>
    </w:p>
    <w:bookmarkEnd w:id="65"/>
    <w:bookmarkStart w:id="67"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6">
        <w:r>
          <w:rPr>
            <w:rStyle w:val="Hyperlink"/>
          </w:rPr>
          <w:t xml:space="preserve">10.1332/030557312X645838</w:t>
        </w:r>
      </w:hyperlink>
      <w:r>
        <w:t xml:space="preserve">.</w:t>
      </w:r>
    </w:p>
    <w:bookmarkEnd w:id="67"/>
    <w:bookmarkStart w:id="68"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68"/>
    <w:bookmarkStart w:id="70"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9">
        <w:r>
          <w:rPr>
            <w:rStyle w:val="Hyperlink"/>
          </w:rPr>
          <w:t xml:space="preserve">10.2139/ssrn.2874312</w:t>
        </w:r>
      </w:hyperlink>
      <w:r>
        <w:t xml:space="preserve">.</w:t>
      </w:r>
    </w:p>
    <w:bookmarkEnd w:id="70"/>
    <w:bookmarkStart w:id="71" w:name="ref-crossley2022"/>
    <w:p>
      <w:pPr>
        <w:pStyle w:val="Bibliography"/>
      </w:pPr>
      <w:r>
        <w:t xml:space="preserve">Crossley, S. (2022)</w:t>
      </w:r>
      <w:r>
        <w:t xml:space="preserve"> </w:t>
      </w:r>
      <w:r>
        <w:t xml:space="preserve">‘Misrecognising ‘complex’families: A social harm perspective’</w:t>
      </w:r>
      <w:r>
        <w:t xml:space="preserve">, in</w:t>
      </w:r>
      <w:r>
        <w:t xml:space="preserve"> </w:t>
      </w:r>
      <w:r>
        <w:rPr>
          <w:iCs/>
          <w:i/>
        </w:rPr>
        <w:t xml:space="preserve">Negotiating families and personal lives in the 21st century</w:t>
      </w:r>
      <w:r>
        <w:t xml:space="preserve">. Routledge, pp. 30–45.</w:t>
      </w:r>
    </w:p>
    <w:bookmarkEnd w:id="71"/>
    <w:bookmarkStart w:id="73" w:name="ref-crossley2017tfp"/>
    <w:p>
      <w:pPr>
        <w:pStyle w:val="Bibliography"/>
      </w:pPr>
      <w:r>
        <w:t xml:space="preserve">Crossley, S. and Lambert, M. (2017)</w:t>
      </w:r>
      <w:r>
        <w:t xml:space="preserve"> </w:t>
      </w:r>
      <w:r>
        <w:t xml:space="preserve">‘Introduction:</w:t>
      </w:r>
      <w:r>
        <w:t xml:space="preserve"> </w:t>
      </w:r>
      <w:r>
        <w:t xml:space="preserve">“Looking for trouble?”</w:t>
      </w:r>
      <w:r>
        <w:t xml:space="preserve"> </w:t>
      </w:r>
      <w:r>
        <w:t xml:space="preserve">Critically examining the UK government’s troubled families programme’</w:t>
      </w:r>
      <w:r>
        <w:t xml:space="preserve">,</w:t>
      </w:r>
      <w:r>
        <w:t xml:space="preserve"> </w:t>
      </w:r>
      <w:r>
        <w:rPr>
          <w:iCs/>
          <w:i/>
        </w:rPr>
        <w:t xml:space="preserve">Social Policy and Society</w:t>
      </w:r>
      <w:r>
        <w:t xml:space="preserve">. Cambridge University Press, 16(1), pp. 81–85. doi:</w:t>
      </w:r>
      <w:r>
        <w:t xml:space="preserve"> </w:t>
      </w:r>
      <w:hyperlink r:id="rId72">
        <w:r>
          <w:rPr>
            <w:rStyle w:val="Hyperlink"/>
          </w:rPr>
          <w:t xml:space="preserve">10.1017/S1474746416000476</w:t>
        </w:r>
      </w:hyperlink>
      <w:r>
        <w:t xml:space="preserve">.</w:t>
      </w:r>
    </w:p>
    <w:bookmarkEnd w:id="73"/>
    <w:bookmarkStart w:id="75"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74">
        <w:r>
          <w:rPr>
            <w:rStyle w:val="Hyperlink"/>
          </w:rPr>
          <w:t xml:space="preserve">10.1080/13561820020003919</w:t>
        </w:r>
      </w:hyperlink>
      <w:r>
        <w:t xml:space="preserve">.</w:t>
      </w:r>
    </w:p>
    <w:bookmarkEnd w:id="75"/>
    <w:bookmarkStart w:id="76" w:name="ref-everychildmatters2006"/>
    <w:p>
      <w:pPr>
        <w:pStyle w:val="Bibliography"/>
      </w:pPr>
      <w:r>
        <w:t xml:space="preserve">Department of Health, Home Office and Department for Education and Skills (2006)</w:t>
      </w:r>
      <w:r>
        <w:t xml:space="preserve"> </w:t>
      </w:r>
      <w:r>
        <w:rPr>
          <w:iCs/>
          <w:i/>
        </w:rPr>
        <w:t xml:space="preserve">Working together to safeguard children: A guide to inter-agency working to safeguard and promote the welfare of children</w:t>
      </w:r>
      <w:r>
        <w:t xml:space="preserve">. Department for Education; Skills, p. 256.</w:t>
      </w:r>
    </w:p>
    <w:bookmarkEnd w:id="76"/>
    <w:bookmarkStart w:id="78"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7">
        <w:r>
          <w:rPr>
            <w:rStyle w:val="Hyperlink"/>
          </w:rPr>
          <w:t xml:space="preserve">10.24908/ss.v12i2.4776</w:t>
        </w:r>
      </w:hyperlink>
      <w:r>
        <w:t xml:space="preserve">.</w:t>
      </w:r>
    </w:p>
    <w:bookmarkEnd w:id="78"/>
    <w:bookmarkStart w:id="79"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79"/>
    <w:bookmarkStart w:id="81"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80">
        <w:r>
          <w:rPr>
            <w:rStyle w:val="Hyperlink"/>
          </w:rPr>
          <w:t xml:space="preserve">www.frankfield.co.uk http://www.inspiredbybabies.org.uk/Page2NationalrelevantDocsresources/Frank Field Preventing poor children becoming poor adults 2011.pdf</w:t>
        </w:r>
      </w:hyperlink>
      <w:r>
        <w:t xml:space="preserve">.</w:t>
      </w:r>
    </w:p>
    <w:bookmarkEnd w:id="81"/>
    <w:bookmarkStart w:id="83" w:name="ref-gheera2011"/>
    <w:p>
      <w:pPr>
        <w:pStyle w:val="Bibliography"/>
      </w:pPr>
      <w:r>
        <w:t xml:space="preserve">Gheera, M. (2011)</w:t>
      </w:r>
      <w:r>
        <w:t xml:space="preserve"> </w:t>
      </w:r>
      <w:r>
        <w:rPr>
          <w:iCs/>
          <w:i/>
        </w:rPr>
        <w:t xml:space="preserve">The ContactPoint database</w:t>
      </w:r>
      <w:r>
        <w:t xml:space="preserve">. The House of Commons Library. Available at:</w:t>
      </w:r>
      <w:r>
        <w:t xml:space="preserve"> </w:t>
      </w:r>
      <w:hyperlink r:id="rId82">
        <w:r>
          <w:rPr>
            <w:rStyle w:val="Hyperlink"/>
          </w:rPr>
          <w:t xml:space="preserve">https://researchbriefings.files.parliament.uk/documents/SN05171/SN05171.pdf</w:t>
        </w:r>
      </w:hyperlink>
      <w:r>
        <w:t xml:space="preserve">.</w:t>
      </w:r>
    </w:p>
    <w:bookmarkEnd w:id="83"/>
    <w:bookmarkStart w:id="85"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84">
        <w:r>
          <w:rPr>
            <w:rStyle w:val="Hyperlink"/>
          </w:rPr>
          <w:t xml:space="preserve">https://mitpress.mit.edu/books/raw-data-oxymoron</w:t>
        </w:r>
      </w:hyperlink>
      <w:r>
        <w:t xml:space="preserve">.</w:t>
      </w:r>
    </w:p>
    <w:bookmarkEnd w:id="85"/>
    <w:bookmarkStart w:id="87"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6">
        <w:r>
          <w:rPr>
            <w:rStyle w:val="Hyperlink"/>
          </w:rPr>
          <w:t xml:space="preserve">10.5210/fm.v16i2.3316</w:t>
        </w:r>
      </w:hyperlink>
      <w:r>
        <w:t xml:space="preserve">.</w:t>
      </w:r>
    </w:p>
    <w:bookmarkEnd w:id="87"/>
    <w:bookmarkStart w:id="89"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88">
        <w:r>
          <w:rPr>
            <w:rStyle w:val="Hyperlink"/>
          </w:rPr>
          <w:t xml:space="preserve">http://www.cs.ucl.ac.uk/research/researchnotes/documents/RN_06_11.pdf</w:t>
        </w:r>
      </w:hyperlink>
      <w:r>
        <w:t xml:space="preserve">.</w:t>
      </w:r>
    </w:p>
    <w:bookmarkEnd w:id="89"/>
    <w:bookmarkStart w:id="91"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90">
        <w:r>
          <w:rPr>
            <w:rStyle w:val="Hyperlink"/>
          </w:rPr>
          <w:t xml:space="preserve">10.1109/ISTAFRICA.2016.7530615</w:t>
        </w:r>
      </w:hyperlink>
      <w:r>
        <w:t xml:space="preserve">.</w:t>
      </w:r>
    </w:p>
    <w:bookmarkEnd w:id="91"/>
    <w:bookmarkStart w:id="92" w:name="ref-caf2012"/>
    <w:p>
      <w:pPr>
        <w:pStyle w:val="Bibliography"/>
      </w:pPr>
      <w:r>
        <w:t xml:space="preserve">Holmes, L.</w:t>
      </w:r>
      <w:r>
        <w:t xml:space="preserve"> </w:t>
      </w:r>
      <w:r>
        <w:rPr>
          <w:iCs/>
          <w:i/>
        </w:rPr>
        <w:t xml:space="preserve">et al.</w:t>
      </w:r>
      <w:r>
        <w:t xml:space="preserve"> </w:t>
      </w:r>
      <w:r>
        <w:t xml:space="preserve">(2012)</w:t>
      </w:r>
      <w:r>
        <w:t xml:space="preserve"> </w:t>
      </w:r>
      <w:r>
        <w:rPr>
          <w:iCs/>
          <w:i/>
        </w:rPr>
        <w:t xml:space="preserve">Exploration of the costs and impact of the common assessment framework</w:t>
      </w:r>
      <w:r>
        <w:t xml:space="preserve">. Department for Education.</w:t>
      </w:r>
    </w:p>
    <w:bookmarkEnd w:id="92"/>
    <w:bookmarkStart w:id="93" w:name="ref-honeyman2016"/>
    <w:p>
      <w:pPr>
        <w:pStyle w:val="Bibliography"/>
      </w:pPr>
      <w:r>
        <w:t xml:space="preserve">Honeyman, M., Dunn, P. and Mckenna, H. (2016)</w:t>
      </w:r>
      <w:r>
        <w:t xml:space="preserve"> </w:t>
      </w:r>
      <w:r>
        <w:rPr>
          <w:iCs/>
          <w:i/>
        </w:rPr>
        <w:t xml:space="preserve">A digital NHS?</w:t>
      </w:r>
    </w:p>
    <w:bookmarkEnd w:id="93"/>
    <w:bookmarkStart w:id="9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94"/>
    <w:bookmarkStart w:id="9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95">
        <w:r>
          <w:rPr>
            <w:rStyle w:val="Hyperlink"/>
          </w:rPr>
          <w:t xml:space="preserve">10.1016/j.pec.2010.10.011</w:t>
        </w:r>
      </w:hyperlink>
      <w:r>
        <w:t xml:space="preserve">.</w:t>
      </w:r>
    </w:p>
    <w:bookmarkEnd w:id="96"/>
    <w:bookmarkStart w:id="9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97">
        <w:r>
          <w:rPr>
            <w:rStyle w:val="Hyperlink"/>
          </w:rPr>
          <w:t xml:space="preserve">10.4018/978-1-59140-575-7.ch032</w:t>
        </w:r>
      </w:hyperlink>
      <w:r>
        <w:t xml:space="preserve">.</w:t>
      </w:r>
    </w:p>
    <w:bookmarkEnd w:id="98"/>
    <w:bookmarkStart w:id="10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9">
        <w:r>
          <w:rPr>
            <w:rStyle w:val="Hyperlink"/>
          </w:rPr>
          <w:t xml:space="preserve">10.1038/ejhg.2014.71</w:t>
        </w:r>
      </w:hyperlink>
      <w:r>
        <w:t xml:space="preserve">.</w:t>
      </w:r>
    </w:p>
    <w:bookmarkEnd w:id="100"/>
    <w:bookmarkStart w:id="10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01">
        <w:r>
          <w:rPr>
            <w:rStyle w:val="Hyperlink"/>
          </w:rPr>
          <w:t xml:space="preserve">https://www.jstor.org/stable/pdf/2352107.pdf?refreqid=excelsior%3A24bde6bf7de0eccf42c6ea11f8446d38</w:t>
        </w:r>
      </w:hyperlink>
      <w:r>
        <w:t xml:space="preserve">.</w:t>
      </w:r>
    </w:p>
    <w:bookmarkEnd w:id="102"/>
    <w:bookmarkStart w:id="10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03">
        <w:r>
          <w:rPr>
            <w:rStyle w:val="Hyperlink"/>
          </w:rPr>
          <w:t xml:space="preserve">10.3389/fpubh.2015.00134</w:t>
        </w:r>
      </w:hyperlink>
      <w:r>
        <w:t xml:space="preserve">.</w:t>
      </w:r>
    </w:p>
    <w:bookmarkEnd w:id="104"/>
    <w:bookmarkStart w:id="10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05">
        <w:r>
          <w:rPr>
            <w:rStyle w:val="Hyperlink"/>
          </w:rPr>
          <w:t xml:space="preserve">https://www.socwork.net/sws/article/view/503/1007</w:t>
        </w:r>
      </w:hyperlink>
      <w:r>
        <w:t xml:space="preserve">.</w:t>
      </w:r>
    </w:p>
    <w:bookmarkEnd w:id="106"/>
    <w:bookmarkStart w:id="10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07">
        <w:r>
          <w:rPr>
            <w:rStyle w:val="Hyperlink"/>
          </w:rPr>
          <w:t xml:space="preserve">10.1016/j.childyouth.2015.07.003</w:t>
        </w:r>
      </w:hyperlink>
      <w:r>
        <w:t xml:space="preserve">.</w:t>
      </w:r>
    </w:p>
    <w:bookmarkEnd w:id="108"/>
    <w:bookmarkStart w:id="109" w:name="ref-lga2017"/>
    <w:p>
      <w:pPr>
        <w:pStyle w:val="Bibliography"/>
      </w:pPr>
      <w:r>
        <w:t xml:space="preserve">Local Government Association (2017)</w:t>
      </w:r>
      <w:r>
        <w:t xml:space="preserve"> </w:t>
      </w:r>
      <w:r>
        <w:rPr>
          <w:iCs/>
          <w:i/>
        </w:rPr>
        <w:t xml:space="preserve">Adult social care funding: State of the nation</w:t>
      </w:r>
      <w:r>
        <w:t xml:space="preserve">. Local Government Association.</w:t>
      </w:r>
    </w:p>
    <w:bookmarkEnd w:id="109"/>
    <w:bookmarkStart w:id="110"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0"/>
    <w:bookmarkStart w:id="11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11">
        <w:r>
          <w:rPr>
            <w:rStyle w:val="Hyperlink"/>
          </w:rPr>
          <w:t xml:space="preserve">10.1145/2493432.2493446</w:t>
        </w:r>
      </w:hyperlink>
      <w:r>
        <w:t xml:space="preserve">.</w:t>
      </w:r>
    </w:p>
    <w:bookmarkEnd w:id="112"/>
    <w:bookmarkStart w:id="114"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13">
        <w:r>
          <w:rPr>
            <w:rStyle w:val="Hyperlink"/>
          </w:rPr>
          <w:t xml:space="preserve">10.1002/poi3.141</w:t>
        </w:r>
      </w:hyperlink>
      <w:r>
        <w:t xml:space="preserve">.</w:t>
      </w:r>
    </w:p>
    <w:bookmarkEnd w:id="114"/>
    <w:bookmarkStart w:id="115"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15"/>
    <w:bookmarkStart w:id="116"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16"/>
    <w:bookmarkStart w:id="118"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7">
        <w:r>
          <w:rPr>
            <w:rStyle w:val="Hyperlink"/>
          </w:rPr>
          <w:t xml:space="preserve">10.2139/ssrn.2508051</w:t>
        </w:r>
      </w:hyperlink>
      <w:r>
        <w:t xml:space="preserve">.</w:t>
      </w:r>
    </w:p>
    <w:bookmarkEnd w:id="118"/>
    <w:bookmarkStart w:id="120"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9">
        <w:r>
          <w:rPr>
            <w:rStyle w:val="Hyperlink"/>
          </w:rPr>
          <w:t xml:space="preserve">10.1089/big.2013.0029</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3"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3"/>
    <w:bookmarkStart w:id="124" w:name="ref-parr2016"/>
    <w:p>
      <w:pPr>
        <w:pStyle w:val="Bibliography"/>
      </w:pPr>
      <w:r>
        <w:t xml:space="preserve">Parr, S.</w:t>
      </w:r>
      <w:r>
        <w:t xml:space="preserve"> </w:t>
      </w:r>
      <w:r>
        <w:rPr>
          <w:iCs/>
          <w:i/>
        </w:rPr>
        <w:t xml:space="preserve">et al.</w:t>
      </w:r>
      <w:r>
        <w:t xml:space="preserve"> </w:t>
      </w:r>
      <w:r>
        <w:t xml:space="preserve">(2016)</w:t>
      </w:r>
      <w:r>
        <w:t xml:space="preserve"> </w:t>
      </w:r>
      <w:r>
        <w:t xml:space="preserve">‘State intervention in family life’</w:t>
      </w:r>
      <w:r>
        <w:t xml:space="preserve">.</w:t>
      </w:r>
    </w:p>
    <w:bookmarkEnd w:id="124"/>
    <w:bookmarkStart w:id="126"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25">
        <w:r>
          <w:rPr>
            <w:rStyle w:val="Hyperlink"/>
          </w:rPr>
          <w:t xml:space="preserve">https://blog.okfn.org/2011/03/31/building-the-open-data-ecosystem/</w:t>
        </w:r>
      </w:hyperlink>
      <w:r>
        <w:t xml:space="preserve"> </w:t>
      </w:r>
      <w:r>
        <w:t xml:space="preserve">(Accessed: 23 July 2019).</w:t>
      </w:r>
    </w:p>
    <w:bookmarkEnd w:id="126"/>
    <w:bookmarkStart w:id="127"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27"/>
    <w:bookmarkStart w:id="129"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28">
        <w:r>
          <w:rPr>
            <w:rStyle w:val="Hyperlink"/>
          </w:rPr>
          <w:t xml:space="preserve">10.1037/0033-2909.91.3.482</w:t>
        </w:r>
      </w:hyperlink>
      <w:r>
        <w:t xml:space="preserve">.</w:t>
      </w:r>
    </w:p>
    <w:bookmarkEnd w:id="129"/>
    <w:bookmarkStart w:id="131"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0">
        <w:r>
          <w:rPr>
            <w:rStyle w:val="Hyperlink"/>
          </w:rPr>
          <w:t xml:space="preserve">10.1016/b978-1-55860-092-8.50006-x</w:t>
        </w:r>
      </w:hyperlink>
      <w:r>
        <w:t xml:space="preserve">.</w:t>
      </w:r>
    </w:p>
    <w:bookmarkEnd w:id="131"/>
    <w:bookmarkStart w:id="133"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32">
        <w:r>
          <w:rPr>
            <w:rStyle w:val="Hyperlink"/>
          </w:rPr>
          <w:t xml:space="preserve">10.1177/0162243910377624</w:t>
        </w:r>
      </w:hyperlink>
      <w:r>
        <w:t xml:space="preserve">.</w:t>
      </w:r>
    </w:p>
    <w:bookmarkEnd w:id="133"/>
    <w:bookmarkStart w:id="135"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34">
        <w:r>
          <w:rPr>
            <w:rStyle w:val="Hyperlink"/>
          </w:rPr>
          <w:t xml:space="preserve">10.1093/bjsw/bcp022</w:t>
        </w:r>
      </w:hyperlink>
      <w:r>
        <w:t xml:space="preserve">.</w:t>
      </w:r>
    </w:p>
    <w:bookmarkEnd w:id="135"/>
    <w:bookmarkStart w:id="137"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36">
        <w:r>
          <w:rPr>
            <w:rStyle w:val="Hyperlink"/>
          </w:rPr>
          <w:t xml:space="preserve">10.1093/bjsw/bcm048</w:t>
        </w:r>
      </w:hyperlink>
      <w:r>
        <w:t xml:space="preserve">.</w:t>
      </w:r>
    </w:p>
    <w:bookmarkEnd w:id="137"/>
    <w:bookmarkStart w:id="139" w:name="ref-white2010"/>
    <w:p>
      <w:pPr>
        <w:pStyle w:val="Bibliography"/>
      </w:pPr>
      <w:r>
        <w:t xml:space="preserve">White, S.</w:t>
      </w:r>
      <w:r>
        <w:t xml:space="preserve"> </w:t>
      </w:r>
      <w:r>
        <w:rPr>
          <w:iCs/>
          <w:i/>
        </w:rPr>
        <w:t xml:space="preserve">et al.</w:t>
      </w:r>
      <w:r>
        <w:t xml:space="preserve"> </w:t>
      </w:r>
      <w:r>
        <w:t xml:space="preserve">(2010)</w:t>
      </w:r>
      <w:r>
        <w:t xml:space="preserve"> </w:t>
      </w:r>
      <w:r>
        <w:t xml:space="preserve">‘When policy o’erleaps itself: The</w:t>
      </w:r>
      <w:r>
        <w:t xml:space="preserve"> </w:t>
      </w:r>
      <w:r>
        <w:t xml:space="preserve">“tragic tale”</w:t>
      </w:r>
      <w:r>
        <w:t xml:space="preserve"> </w:t>
      </w:r>
      <w:r>
        <w:t xml:space="preserve">of the integrated children’s system’</w:t>
      </w:r>
      <w:r>
        <w:t xml:space="preserve">,</w:t>
      </w:r>
      <w:r>
        <w:t xml:space="preserve"> </w:t>
      </w:r>
      <w:r>
        <w:rPr>
          <w:iCs/>
          <w:i/>
        </w:rPr>
        <w:t xml:space="preserve">Critical Social Policy</w:t>
      </w:r>
      <w:r>
        <w:t xml:space="preserve">, 30(3), pp. 405–429. doi:</w:t>
      </w:r>
      <w:r>
        <w:t xml:space="preserve"> </w:t>
      </w:r>
      <w:hyperlink r:id="rId138">
        <w:r>
          <w:rPr>
            <w:rStyle w:val="Hyperlink"/>
          </w:rPr>
          <w:t xml:space="preserve">10.1177/0261018310367675</w:t>
        </w:r>
      </w:hyperlink>
      <w:r>
        <w:t xml:space="preserve">.</w:t>
      </w:r>
    </w:p>
    <w:bookmarkEnd w:id="139"/>
    <w:bookmarkStart w:id="141"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0">
        <w:r>
          <w:rPr>
            <w:rStyle w:val="Hyperlink"/>
          </w:rPr>
          <w:t xml:space="preserve">10.2196/medinform.3525</w:t>
        </w:r>
      </w:hyperlink>
      <w:r>
        <w:t xml:space="preserve">.</w:t>
      </w:r>
    </w:p>
    <w:bookmarkEnd w:id="141"/>
    <w:bookmarkStart w:id="143"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2">
        <w:r>
          <w:rPr>
            <w:rStyle w:val="Hyperlink"/>
          </w:rPr>
          <w:t xml:space="preserve">https://www.greatnorthcarerecord.org.uk</w:t>
        </w:r>
      </w:hyperlink>
      <w:r>
        <w:t xml:space="preserve">.</w:t>
      </w:r>
    </w:p>
    <w:bookmarkEnd w:id="143"/>
    <w:bookmarkStart w:id="145"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44">
        <w:r>
          <w:rPr>
            <w:rStyle w:val="Hyperlink"/>
          </w:rPr>
          <w:t xml:space="preserve">10.1017/s1474746411000108</w:t>
        </w:r>
      </w:hyperlink>
      <w:r>
        <w:t xml:space="preserve">.</w:t>
      </w:r>
    </w:p>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t xml:space="preserve">‘</w:t>
      </w:r>
      <w:r>
        <w:t xml:space="preserve">Troubled Families</w:t>
      </w:r>
      <w: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35">
    <w:p>
      <w:pPr>
        <w:pStyle w:val="FootnoteText"/>
      </w:pPr>
      <w:r>
        <w:rPr>
          <w:rStyle w:val="FootnoteReference"/>
        </w:rPr>
        <w:footnoteRef/>
      </w:r>
      <w:r>
        <w:t xml:space="preserve"> </w:t>
      </w:r>
      <w:r>
        <w:t xml:space="preserve">As judged at the time of the workshops—Summer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hyperlink" Id="rId88" Target="http://www.cs.ucl.ac.uk/research/researchnotes/documents/RN_06_11.pdf" TargetMode="External" /><Relationship Type="http://schemas.openxmlformats.org/officeDocument/2006/relationships/hyperlink" Id="rId125" Target="https://blog.okfn.org/2011/03/31/building-the-open-data-ecosystem/"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3" Target="https://doi.org/10.1002/poi3.141" TargetMode="External" /><Relationship Type="http://schemas.openxmlformats.org/officeDocument/2006/relationships/hyperlink" Id="rId130" Target="https://doi.org/10.1016/b978-1-55860-092-8.50006-x" TargetMode="External" /><Relationship Type="http://schemas.openxmlformats.org/officeDocument/2006/relationships/hyperlink" Id="rId107" Target="https://doi.org/10.1016/j.childyouth.2015.07.003" TargetMode="External" /><Relationship Type="http://schemas.openxmlformats.org/officeDocument/2006/relationships/hyperlink" Id="rId95" Target="https://doi.org/10.1016/j.pec.2010.10.011" TargetMode="External" /><Relationship Type="http://schemas.openxmlformats.org/officeDocument/2006/relationships/hyperlink" Id="rId72" Target="https://doi.org/10.1017/S1474746416000476" TargetMode="External" /><Relationship Type="http://schemas.openxmlformats.org/officeDocument/2006/relationships/hyperlink" Id="rId144" Target="https://doi.org/10.1017/s1474746411000108" TargetMode="External" /><Relationship Type="http://schemas.openxmlformats.org/officeDocument/2006/relationships/hyperlink" Id="rId128" Target="https://doi.org/10.1037/0033-2909.91.3.482" TargetMode="External" /><Relationship Type="http://schemas.openxmlformats.org/officeDocument/2006/relationships/hyperlink" Id="rId99" Target="https://doi.org/10.1038/ejhg.2014.71" TargetMode="External" /><Relationship Type="http://schemas.openxmlformats.org/officeDocument/2006/relationships/hyperlink" Id="rId74" Target="https://doi.org/10.1080/13561820020003919" TargetMode="External" /><Relationship Type="http://schemas.openxmlformats.org/officeDocument/2006/relationships/hyperlink" Id="rId62" Target="https://doi.org/10.1080/2373566x.2016.1237858" TargetMode="External" /><Relationship Type="http://schemas.openxmlformats.org/officeDocument/2006/relationships/hyperlink" Id="rId119" Target="https://doi.org/10.1089/big.2013.0029" TargetMode="External" /><Relationship Type="http://schemas.openxmlformats.org/officeDocument/2006/relationships/hyperlink" Id="rId136" Target="https://doi.org/10.1093/bjsw/bcm048" TargetMode="External" /><Relationship Type="http://schemas.openxmlformats.org/officeDocument/2006/relationships/hyperlink" Id="rId134" Target="https://doi.org/10.1093/bjsw/bcp022" TargetMode="External" /><Relationship Type="http://schemas.openxmlformats.org/officeDocument/2006/relationships/hyperlink" Id="rId90" Target="https://doi.org/10.1109/ISTAFRICA.2016.7530615" TargetMode="External" /><Relationship Type="http://schemas.openxmlformats.org/officeDocument/2006/relationships/hyperlink" Id="rId60" Target="https://doi.org/10.1145/1011870.1011885" TargetMode="External" /><Relationship Type="http://schemas.openxmlformats.org/officeDocument/2006/relationships/hyperlink" Id="rId111" Target="https://doi.org/10.1145/2493432.2493446" TargetMode="External" /><Relationship Type="http://schemas.openxmlformats.org/officeDocument/2006/relationships/hyperlink" Id="rId50" Target="https://doi.org/10.1145/2670528" TargetMode="External" /><Relationship Type="http://schemas.openxmlformats.org/officeDocument/2006/relationships/hyperlink" Id="rId56" Target="https://doi.org/10.1145/3173574.3173710" TargetMode="External" /><Relationship Type="http://schemas.openxmlformats.org/officeDocument/2006/relationships/hyperlink" Id="rId58" Target="https://doi.org/10.1145/3290607.3312998" TargetMode="External" /><Relationship Type="http://schemas.openxmlformats.org/officeDocument/2006/relationships/hyperlink" Id="rId132" Target="https://doi.org/10.1177/0162243910377624" TargetMode="External" /><Relationship Type="http://schemas.openxmlformats.org/officeDocument/2006/relationships/hyperlink" Id="rId138" Target="https://doi.org/10.1177/0261018310367675" TargetMode="External" /><Relationship Type="http://schemas.openxmlformats.org/officeDocument/2006/relationships/hyperlink" Id="rId66" Target="https://doi.org/10.1332/030557312X645838" TargetMode="External" /><Relationship Type="http://schemas.openxmlformats.org/officeDocument/2006/relationships/hyperlink" Id="rId117" Target="https://doi.org/10.2139/ssrn.2508051" TargetMode="External" /><Relationship Type="http://schemas.openxmlformats.org/officeDocument/2006/relationships/hyperlink" Id="rId69"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77" Target="https://doi.org/10.24908/ss.v12i2.4776" TargetMode="External" /><Relationship Type="http://schemas.openxmlformats.org/officeDocument/2006/relationships/hyperlink" Id="rId103" Target="https://doi.org/10.3389/fpubh.2015.00134" TargetMode="External" /><Relationship Type="http://schemas.openxmlformats.org/officeDocument/2006/relationships/hyperlink" Id="rId97" Target="https://doi.org/10.4018/978-1-59140-575-7.ch032" TargetMode="External" /><Relationship Type="http://schemas.openxmlformats.org/officeDocument/2006/relationships/hyperlink" Id="rId86" Target="https://doi.org/10.5210/fm.v16i2.3316" TargetMode="External" /><Relationship Type="http://schemas.openxmlformats.org/officeDocument/2006/relationships/hyperlink" Id="rId84" Target="https://mitpress.mit.edu/books/raw-data-oxymoron" TargetMode="External" /><Relationship Type="http://schemas.openxmlformats.org/officeDocument/2006/relationships/hyperlink" Id="rId82" Target="https://researchbriefings.files.parliament.uk/documents/SN05171/SN05171.pdf" TargetMode="External" /><Relationship Type="http://schemas.openxmlformats.org/officeDocument/2006/relationships/hyperlink" Id="rId142" Target="https://www.greatnorthcarerecord.org.uk" TargetMode="External" /><Relationship Type="http://schemas.openxmlformats.org/officeDocument/2006/relationships/hyperlink" Id="rId101" Target="https://www.jstor.org/stable/pdf/2352107.pdf?refreqid=excelsior%3A24bde6bf7de0eccf42c6ea11f8446d38" TargetMode="External" /><Relationship Type="http://schemas.openxmlformats.org/officeDocument/2006/relationships/hyperlink" Id="rId105" Target="https://www.socwork.net/sws/article/view/503/1007" TargetMode="External" /><Relationship Type="http://schemas.openxmlformats.org/officeDocument/2006/relationships/hyperlink" Id="rId80" Target="www.frankfield.co.uk http://www.inspiredbybabies.org.uk/Page2NationalrelevantDocsresources/Frank Field Preventing poor children becoming poor adults 2011.pdf" TargetMode="External" /><Relationship Type="http://schemas.openxmlformats.org/officeDocument/2006/relationships/hyperlink" Id="rId121" Target="www.ofsted.gov.uk https://www.gov.uk/government/uploads/system/uploads/attachment_data/file/410378/Early_help_whose_responsibility.pdf" TargetMode="External" /><Relationship Type="http://schemas.openxmlformats.org/officeDocument/2006/relationships/hyperlink" Id="rId64"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88" Target="http://www.cs.ucl.ac.uk/research/researchnotes/documents/RN_06_11.pdf" TargetMode="External" /><Relationship Type="http://schemas.openxmlformats.org/officeDocument/2006/relationships/hyperlink" Id="rId125" Target="https://blog.okfn.org/2011/03/31/building-the-open-data-ecosystem/"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3" Target="https://doi.org/10.1002/poi3.141" TargetMode="External" /><Relationship Type="http://schemas.openxmlformats.org/officeDocument/2006/relationships/hyperlink" Id="rId130" Target="https://doi.org/10.1016/b978-1-55860-092-8.50006-x" TargetMode="External" /><Relationship Type="http://schemas.openxmlformats.org/officeDocument/2006/relationships/hyperlink" Id="rId107" Target="https://doi.org/10.1016/j.childyouth.2015.07.003" TargetMode="External" /><Relationship Type="http://schemas.openxmlformats.org/officeDocument/2006/relationships/hyperlink" Id="rId95" Target="https://doi.org/10.1016/j.pec.2010.10.011" TargetMode="External" /><Relationship Type="http://schemas.openxmlformats.org/officeDocument/2006/relationships/hyperlink" Id="rId72" Target="https://doi.org/10.1017/S1474746416000476" TargetMode="External" /><Relationship Type="http://schemas.openxmlformats.org/officeDocument/2006/relationships/hyperlink" Id="rId144" Target="https://doi.org/10.1017/s1474746411000108" TargetMode="External" /><Relationship Type="http://schemas.openxmlformats.org/officeDocument/2006/relationships/hyperlink" Id="rId128" Target="https://doi.org/10.1037/0033-2909.91.3.482" TargetMode="External" /><Relationship Type="http://schemas.openxmlformats.org/officeDocument/2006/relationships/hyperlink" Id="rId99" Target="https://doi.org/10.1038/ejhg.2014.71" TargetMode="External" /><Relationship Type="http://schemas.openxmlformats.org/officeDocument/2006/relationships/hyperlink" Id="rId74" Target="https://doi.org/10.1080/13561820020003919" TargetMode="External" /><Relationship Type="http://schemas.openxmlformats.org/officeDocument/2006/relationships/hyperlink" Id="rId62" Target="https://doi.org/10.1080/2373566x.2016.1237858" TargetMode="External" /><Relationship Type="http://schemas.openxmlformats.org/officeDocument/2006/relationships/hyperlink" Id="rId119" Target="https://doi.org/10.1089/big.2013.0029" TargetMode="External" /><Relationship Type="http://schemas.openxmlformats.org/officeDocument/2006/relationships/hyperlink" Id="rId136" Target="https://doi.org/10.1093/bjsw/bcm048" TargetMode="External" /><Relationship Type="http://schemas.openxmlformats.org/officeDocument/2006/relationships/hyperlink" Id="rId134" Target="https://doi.org/10.1093/bjsw/bcp022" TargetMode="External" /><Relationship Type="http://schemas.openxmlformats.org/officeDocument/2006/relationships/hyperlink" Id="rId90" Target="https://doi.org/10.1109/ISTAFRICA.2016.7530615" TargetMode="External" /><Relationship Type="http://schemas.openxmlformats.org/officeDocument/2006/relationships/hyperlink" Id="rId60" Target="https://doi.org/10.1145/1011870.1011885" TargetMode="External" /><Relationship Type="http://schemas.openxmlformats.org/officeDocument/2006/relationships/hyperlink" Id="rId111" Target="https://doi.org/10.1145/2493432.2493446" TargetMode="External" /><Relationship Type="http://schemas.openxmlformats.org/officeDocument/2006/relationships/hyperlink" Id="rId50" Target="https://doi.org/10.1145/2670528" TargetMode="External" /><Relationship Type="http://schemas.openxmlformats.org/officeDocument/2006/relationships/hyperlink" Id="rId56" Target="https://doi.org/10.1145/3173574.3173710" TargetMode="External" /><Relationship Type="http://schemas.openxmlformats.org/officeDocument/2006/relationships/hyperlink" Id="rId58" Target="https://doi.org/10.1145/3290607.3312998" TargetMode="External" /><Relationship Type="http://schemas.openxmlformats.org/officeDocument/2006/relationships/hyperlink" Id="rId132" Target="https://doi.org/10.1177/0162243910377624" TargetMode="External" /><Relationship Type="http://schemas.openxmlformats.org/officeDocument/2006/relationships/hyperlink" Id="rId138" Target="https://doi.org/10.1177/0261018310367675" TargetMode="External" /><Relationship Type="http://schemas.openxmlformats.org/officeDocument/2006/relationships/hyperlink" Id="rId66" Target="https://doi.org/10.1332/030557312X645838" TargetMode="External" /><Relationship Type="http://schemas.openxmlformats.org/officeDocument/2006/relationships/hyperlink" Id="rId117" Target="https://doi.org/10.2139/ssrn.2508051" TargetMode="External" /><Relationship Type="http://schemas.openxmlformats.org/officeDocument/2006/relationships/hyperlink" Id="rId69"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77" Target="https://doi.org/10.24908/ss.v12i2.4776" TargetMode="External" /><Relationship Type="http://schemas.openxmlformats.org/officeDocument/2006/relationships/hyperlink" Id="rId103" Target="https://doi.org/10.3389/fpubh.2015.00134" TargetMode="External" /><Relationship Type="http://schemas.openxmlformats.org/officeDocument/2006/relationships/hyperlink" Id="rId97" Target="https://doi.org/10.4018/978-1-59140-575-7.ch032" TargetMode="External" /><Relationship Type="http://schemas.openxmlformats.org/officeDocument/2006/relationships/hyperlink" Id="rId86" Target="https://doi.org/10.5210/fm.v16i2.3316" TargetMode="External" /><Relationship Type="http://schemas.openxmlformats.org/officeDocument/2006/relationships/hyperlink" Id="rId84" Target="https://mitpress.mit.edu/books/raw-data-oxymoron" TargetMode="External" /><Relationship Type="http://schemas.openxmlformats.org/officeDocument/2006/relationships/hyperlink" Id="rId82" Target="https://researchbriefings.files.parliament.uk/documents/SN05171/SN05171.pdf" TargetMode="External" /><Relationship Type="http://schemas.openxmlformats.org/officeDocument/2006/relationships/hyperlink" Id="rId142" Target="https://www.greatnorthcarerecord.org.uk" TargetMode="External" /><Relationship Type="http://schemas.openxmlformats.org/officeDocument/2006/relationships/hyperlink" Id="rId101" Target="https://www.jstor.org/stable/pdf/2352107.pdf?refreqid=excelsior%3A24bde6bf7de0eccf42c6ea11f8446d38" TargetMode="External" /><Relationship Type="http://schemas.openxmlformats.org/officeDocument/2006/relationships/hyperlink" Id="rId105" Target="https://www.socwork.net/sws/article/view/503/1007" TargetMode="External" /><Relationship Type="http://schemas.openxmlformats.org/officeDocument/2006/relationships/hyperlink" Id="rId80" Target="www.frankfield.co.uk http://www.inspiredbybabies.org.uk/Page2NationalrelevantDocsresources/Frank Field Preventing poor children becoming poor adults 2011.pdf" TargetMode="External" /><Relationship Type="http://schemas.openxmlformats.org/officeDocument/2006/relationships/hyperlink" Id="rId121" Target="www.ofsted.gov.uk https://www.gov.uk/government/uploads/system/uploads/attachment_data/file/410378/Early_help_whose_responsibility.pdf" TargetMode="External" /><Relationship Type="http://schemas.openxmlformats.org/officeDocument/2006/relationships/hyperlink" Id="rId64"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2022-08-22T00:26:43Z</dcterms:created>
  <dcterms:modified xsi:type="dcterms:W3CDTF">2022-08-22T00:26:43Z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