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39.png" ContentType="image/png"/>
  <Override PartName="/word/media/rId40.png" ContentType="image/png"/>
  <Override PartName="/word/media/rId41.png" ContentType="image/png"/>
  <Override PartName="/word/media/rId35.png" ContentType="image/png"/>
  <Override PartName="/word/media/rId36.png" ContentType="image/png"/>
  <Override PartName="/word/media/rId37.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Designing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5"/>
    <w:p>
      <w:pPr>
        <w:pStyle w:val="Heading1"/>
      </w:pPr>
      <w:r>
        <w:rPr>
          <w:rStyle w:val="SectionNumber"/>
        </w:rPr>
        <w:t xml:space="preserve">1</w:t>
      </w:r>
      <w:r>
        <w:tab/>
      </w:r>
      <w:r>
        <w:t xml:space="preserve">Case Study Two: The Human Experience of GDPR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(Information Commissioner’s Office,</w:t>
      </w:r>
      <w:r>
        <w:t xml:space="preserve"> </w:t>
      </w:r>
      <w:hyperlink w:anchor="ref-ico2018">
        <w:r>
          <w:rPr>
            <w:rStyle w:val="Hyperlink"/>
          </w:rPr>
          <w:t xml:space="preserve">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(Gellman,</w:t>
      </w:r>
      <w:r>
        <w:t xml:space="preserve"> </w:t>
      </w:r>
      <w:hyperlink w:anchor="ref-gellman2013">
        <w:r>
          <w:rPr>
            <w:rStyle w:val="Hyperlink"/>
          </w:rPr>
          <w:t xml:space="preserve">2013</w:t>
        </w:r>
      </w:hyperlink>
      <w:r>
        <w:t xml:space="preserve">)</w:t>
      </w:r>
      <w:r>
        <w:t xml:space="preserve">, and have become even more important following the Cambridge Analytica scandal in 2018</w:t>
      </w:r>
      <w:r>
        <w:t xml:space="preserve"> </w:t>
      </w:r>
      <w:r>
        <w:t xml:space="preserve">(‘Facebook–Cambridge Analytica Data Scandal’,</w:t>
      </w:r>
      <w:r>
        <w:t xml:space="preserve"> </w:t>
      </w:r>
      <w:hyperlink w:anchor="ref-wikipedia2018cambAna">
        <w:r>
          <w:rPr>
            <w:rStyle w:val="Hyperlink"/>
          </w:rPr>
          <w:t xml:space="preserve">2014</w:t>
        </w:r>
      </w:hyperlink>
      <w:r>
        <w:t xml:space="preserve">; Chang,</w:t>
      </w:r>
      <w:r>
        <w:t xml:space="preserve"> </w:t>
      </w:r>
      <w:hyperlink w:anchor="ref-chang2018">
        <w:r>
          <w:rPr>
            <w:rStyle w:val="Hyperlink"/>
          </w:rPr>
          <w:t xml:space="preserve">2018</w:t>
        </w:r>
      </w:hyperlink>
      <w:r>
        <w:t xml:space="preserve">)</w:t>
      </w:r>
      <w:r>
        <w:t xml:space="preserve">, which may have resulted in manipulation of voting outcomes through personal data use, and the COVID-19 pandemic in 2021</w:t>
      </w:r>
      <w:r>
        <w:t xml:space="preserve"> </w:t>
      </w:r>
      <w:r>
        <w:t xml:space="preserve">(O’Donnell,</w:t>
      </w:r>
      <w:r>
        <w:t xml:space="preserve"> </w:t>
      </w:r>
      <w:hyperlink w:anchor="ref-odonnell2020">
        <w:r>
          <w:rPr>
            <w:rStyle w:val="Hyperlink"/>
          </w:rPr>
          <w:t xml:space="preserve">2020</w:t>
        </w:r>
      </w:hyperlink>
      <w:r>
        <w:t xml:space="preserve">; 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 can learn how their personal data is handled or access data download portals to easily download copies of it</w:t>
      </w:r>
      <w:r>
        <w:t xml:space="preserve"> </w:t>
      </w:r>
      <w:r>
        <w:t xml:space="preserve">(‘Privacy - Apple (UK)’,</w:t>
      </w:r>
      <w:r>
        <w:t xml:space="preserve"> </w:t>
      </w:r>
      <w:hyperlink w:anchor="ref-apple2021priv">
        <w:r>
          <w:rPr>
            <w:rStyle w:val="Hyperlink"/>
          </w:rPr>
          <w:t xml:space="preserve">no date</w:t>
        </w:r>
      </w:hyperlink>
      <w:r>
        <w:t xml:space="preserve">; ‘Privacy &amp; Terms – Google’,</w:t>
      </w:r>
      <w:r>
        <w:t xml:space="preserve"> </w:t>
      </w:r>
      <w:hyperlink w:anchor="ref-google2021priv">
        <w:r>
          <w:rPr>
            <w:rStyle w:val="Hyperlink"/>
          </w:rPr>
          <w:t xml:space="preserve">no date</w:t>
        </w:r>
      </w:hyperlink>
      <w:r>
        <w:t xml:space="preserve">; ‘Privacy’,</w:t>
      </w:r>
      <w:r>
        <w:t xml:space="preserve"> </w:t>
      </w:r>
      <w:hyperlink w:anchor="ref-linkedin2021priv">
        <w:r>
          <w:rPr>
            <w:rStyle w:val="Hyperlink"/>
          </w:rPr>
          <w:t xml:space="preserve">no date</w:t>
        </w:r>
      </w:hyperlink>
      <w:r>
        <w:t xml:space="preserve">; ‘Facebook - Data Policy’,</w:t>
      </w:r>
      <w:r>
        <w:t xml:space="preserve"> </w:t>
      </w:r>
      <w:hyperlink w:anchor="ref-facebook2021priv">
        <w:r>
          <w:rPr>
            <w:rStyle w:val="Hyperlink"/>
          </w:rPr>
          <w:t xml:space="preserve">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(Council of the European Union,</w:t>
      </w:r>
      <w:r>
        <w:t xml:space="preserve"> </w:t>
      </w:r>
      <w:hyperlink w:anchor="ref-EUCouncil2015gdpr">
        <w:r>
          <w:rPr>
            <w:rStyle w:val="Hyperlink"/>
          </w:rPr>
          <w:t xml:space="preserve">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(The European Parliament and the Council of the European Union,</w:t>
      </w:r>
      <w:r>
        <w:t xml:space="preserve"> </w:t>
      </w:r>
      <w:hyperlink w:anchor="ref-EUParl2016gpdr">
        <w:r>
          <w:rPr>
            <w:rStyle w:val="Hyperlink"/>
          </w:rPr>
          <w:t xml:space="preserve">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(Comandè and Schneider,</w:t>
      </w:r>
      <w:r>
        <w:t xml:space="preserve"> </w:t>
      </w:r>
      <w:hyperlink w:anchor="ref-comande2021">
        <w:r>
          <w:rPr>
            <w:rStyle w:val="Hyperlink"/>
          </w:rPr>
          <w:t xml:space="preserve">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(Savage and Hyde,</w:t>
      </w:r>
      <w:r>
        <w:t xml:space="preserve"> </w:t>
      </w:r>
      <w:hyperlink w:anchor="ref-savage2014">
        <w:r>
          <w:rPr>
            <w:rStyle w:val="Hyperlink"/>
          </w:rPr>
          <w:t xml:space="preserve">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(Ausloos,</w:t>
      </w:r>
      <w:r>
        <w:t xml:space="preserve"> </w:t>
      </w:r>
      <w:hyperlink w:anchor="ref-ausloos2019">
        <w:r>
          <w:rPr>
            <w:rStyle w:val="Hyperlink"/>
          </w:rPr>
          <w:t xml:space="preserve">2019</w:t>
        </w:r>
      </w:hyperlink>
      <w:r>
        <w:t xml:space="preserve">; Ausloos and Veale,</w:t>
      </w:r>
      <w:r>
        <w:t xml:space="preserve"> </w:t>
      </w:r>
      <w:hyperlink w:anchor="ref-ausloos2020">
        <w:r>
          <w:rPr>
            <w:rStyle w:val="Hyperlink"/>
          </w:rPr>
          <w:t xml:space="preserve">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(Ausloos and Dewitte,</w:t>
      </w:r>
      <w:r>
        <w:t xml:space="preserve"> </w:t>
      </w:r>
      <w:hyperlink w:anchor="ref-ausloos2018">
        <w:r>
          <w:rPr>
            <w:rStyle w:val="Hyperlink"/>
          </w:rPr>
          <w:t xml:space="preserve">2018</w:t>
        </w:r>
      </w:hyperlink>
      <w:r>
        <w:t xml:space="preserve">; Arfelt, Basin and Debois,</w:t>
      </w:r>
      <w:r>
        <w:t xml:space="preserve"> </w:t>
      </w:r>
      <w:hyperlink w:anchor="ref-arfelt2019">
        <w:r>
          <w:rPr>
            <w:rStyle w:val="Hyperlink"/>
          </w:rPr>
          <w:t xml:space="preserve">2019</w:t>
        </w:r>
      </w:hyperlink>
      <w:r>
        <w:t xml:space="preserve">)</w:t>
      </w:r>
      <w:r>
        <w:t xml:space="preserve">; to evaluate data portability</w:t>
      </w:r>
      <w:r>
        <w:t xml:space="preserve"> </w:t>
      </w:r>
      <w:r>
        <w:t xml:space="preserve">(Wong and Henderson,</w:t>
      </w:r>
      <w:r>
        <w:t xml:space="preserve"> </w:t>
      </w:r>
      <w:hyperlink w:anchor="ref-wong2018">
        <w:r>
          <w:rPr>
            <w:rStyle w:val="Hyperlink"/>
          </w:rPr>
          <w:t xml:space="preserve">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(Waldman,</w:t>
      </w:r>
      <w:r>
        <w:t xml:space="preserve"> </w:t>
      </w:r>
      <w:hyperlink w:anchor="ref-waldman2020">
        <w:r>
          <w:rPr>
            <w:rStyle w:val="Hyperlink"/>
          </w:rPr>
          <w:t xml:space="preserve">2020</w:t>
        </w:r>
      </w:hyperlink>
      <w:r>
        <w:t xml:space="preserve">)</w:t>
      </w:r>
      <w:r>
        <w:t xml:space="preserve">; to compare its effectiveness in public/private sector contexts</w:t>
      </w:r>
      <w:r>
        <w:t xml:space="preserve"> </w:t>
      </w:r>
      <w:r>
        <w:t xml:space="preserve">(Quinn,</w:t>
      </w:r>
      <w:r>
        <w:t xml:space="preserve"> </w:t>
      </w:r>
      <w:hyperlink w:anchor="ref-quinn2021">
        <w:r>
          <w:rPr>
            <w:rStyle w:val="Hyperlink"/>
          </w:rPr>
          <w:t xml:space="preserve">2021</w:t>
        </w:r>
      </w:hyperlink>
      <w:r>
        <w:t xml:space="preserve">)</w:t>
      </w:r>
      <w:r>
        <w:t xml:space="preserve"> </w:t>
      </w:r>
      <w:r>
        <w:t xml:space="preserve">or in improving explainability</w:t>
      </w:r>
      <w:r>
        <w:t xml:space="preserve"> </w:t>
      </w:r>
      <w:r>
        <w:t xml:space="preserve">(Hamon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fairness</w:t>
      </w:r>
      <w:r>
        <w:t xml:space="preserve"> </w:t>
      </w:r>
      <w:r>
        <w:t xml:space="preserve">(Kasirzadeh and Clifford,</w:t>
      </w:r>
      <w:r>
        <w:t xml:space="preserve"> </w:t>
      </w:r>
      <w:hyperlink w:anchor="ref-kasirzadeh2021">
        <w:r>
          <w:rPr>
            <w:rStyle w:val="Hyperlink"/>
          </w:rPr>
          <w:t xml:space="preserve">2021</w:t>
        </w:r>
      </w:hyperlink>
      <w:r>
        <w:t xml:space="preserve">)</w:t>
      </w:r>
      <w:r>
        <w:t xml:space="preserve">, consent</w:t>
      </w:r>
      <w:r>
        <w:t xml:space="preserve"> </w:t>
      </w:r>
      <w:r>
        <w:t xml:space="preserve">(Human and Cech,</w:t>
      </w:r>
      <w:r>
        <w:t xml:space="preserve"> </w:t>
      </w:r>
      <w:hyperlink w:anchor="ref-human2021">
        <w:r>
          <w:rPr>
            <w:rStyle w:val="Hyperlink"/>
          </w:rPr>
          <w:t xml:space="preserve">2021</w:t>
        </w:r>
      </w:hyperlink>
      <w:r>
        <w:t xml:space="preserve">)</w:t>
      </w:r>
      <w:r>
        <w:t xml:space="preserve">, transparency</w:t>
      </w:r>
      <w:r>
        <w:t xml:space="preserve"> </w:t>
      </w:r>
      <w:r>
        <w:t xml:space="preserve">(Spagnuelo, Ferreira and Lenzini,</w:t>
      </w:r>
      <w:r>
        <w:t xml:space="preserve"> </w:t>
      </w:r>
      <w:hyperlink w:anchor="ref-spagnuelo2019">
        <w:r>
          <w:rPr>
            <w:rStyle w:val="Hyperlink"/>
          </w:rPr>
          <w:t xml:space="preserve">2019</w:t>
        </w:r>
      </w:hyperlink>
      <w:r>
        <w:t xml:space="preserve">)</w:t>
      </w:r>
      <w:r>
        <w:t xml:space="preserve"> </w:t>
      </w:r>
      <w:r>
        <w:t xml:space="preserve">and the reduction of data breach risks</w:t>
      </w:r>
      <w:r>
        <w:t xml:space="preserve"> </w:t>
      </w:r>
      <w:r>
        <w:t xml:space="preserve">(Gonscherowski and Bieker,</w:t>
      </w:r>
      <w:r>
        <w:t xml:space="preserve"> </w:t>
      </w:r>
      <w:hyperlink w:anchor="ref-gonscherowski2018">
        <w:r>
          <w:rPr>
            <w:rStyle w:val="Hyperlink"/>
          </w:rPr>
          <w:t xml:space="preserve">2018</w:t>
        </w:r>
      </w:hyperlink>
      <w:r>
        <w:t xml:space="preserve">)</w:t>
      </w:r>
      <w:r>
        <w:t xml:space="preserve">. Potential negative impacts have also been considered; the GDPR could be seen as a threat to privacy</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w:t>
      </w:r>
      <w:r>
        <w:t xml:space="preserve"> </w:t>
      </w:r>
      <w:r>
        <w:t xml:space="preserve">or as an impediment to health research</w:t>
      </w:r>
      <w:r>
        <w:t xml:space="preserve"> </w:t>
      </w:r>
      <w:r>
        <w:t xml:space="preserve">(Clarke</w:t>
      </w:r>
      <w:r>
        <w:t xml:space="preserve"> </w:t>
      </w:r>
      <w:r>
        <w:rPr>
          <w:i/>
        </w:rPr>
        <w:t xml:space="preserve">et al.</w:t>
      </w:r>
      <w:r>
        <w:t xml:space="preserve">,</w:t>
      </w:r>
      <w:r>
        <w:t xml:space="preserve"> </w:t>
      </w:r>
      <w:hyperlink w:anchor="ref-clarke2019">
        <w:r>
          <w:rPr>
            <w:rStyle w:val="Hyperlink"/>
          </w:rPr>
          <w:t xml:space="preserve">2019</w:t>
        </w:r>
      </w:hyperlink>
      <w:r>
        <w:t xml:space="preserve">)</w:t>
      </w:r>
      <w:r>
        <w:t xml:space="preserve">.</w:t>
      </w:r>
    </w:p>
    <w:p>
      <w:pPr>
        <w:pStyle w:val="BodyText"/>
      </w:pPr>
      <w:r>
        <w:t xml:space="preserve">Clearly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(Alizadeh</w:t>
      </w:r>
      <w:r>
        <w:t xml:space="preserve"> </w:t>
      </w:r>
      <w:r>
        <w:rPr>
          <w:i/>
        </w:rPr>
        <w:t xml:space="preserve">et al.</w:t>
      </w:r>
      <w:r>
        <w:t xml:space="preserve">,</w:t>
      </w:r>
      <w:r>
        <w:t xml:space="preserve"> </w:t>
      </w:r>
      <w:hyperlink w:anchor="ref-alizadeh2019">
        <w:r>
          <w:rPr>
            <w:rStyle w:val="Hyperlink"/>
          </w:rPr>
          <w:t xml:space="preserve">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 Glavic</w:t>
      </w:r>
      <w:r>
        <w:t xml:space="preserve"> </w:t>
      </w:r>
      <w:r>
        <w:rPr>
          <w:i/>
        </w:rPr>
        <w:t xml:space="preserve">et al.</w:t>
      </w:r>
      <w:r>
        <w:t xml:space="preserve">,</w:t>
      </w:r>
      <w:r>
        <w:t xml:space="preserve"> </w:t>
      </w:r>
      <w:hyperlink w:anchor="ref-glavic2021">
        <w:r>
          <w:rPr>
            <w:rStyle w:val="Hyperlink"/>
          </w:rPr>
          <w:t xml:space="preserve">2021</w:t>
        </w:r>
      </w:hyperlink>
      <w:r>
        <w:t xml:space="preserve">; Zuckerman,</w:t>
      </w:r>
      <w:r>
        <w:t xml:space="preserve"> </w:t>
      </w:r>
      <w:hyperlink w:anchor="ref-zuckerman2021">
        <w:r>
          <w:rPr>
            <w:rStyle w:val="Hyperlink"/>
          </w:rPr>
          <w:t xml:space="preserve">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
        </w:rPr>
        <w:t xml:space="preserve">experience</w:t>
      </w:r>
      <w:r>
        <w:t xml:space="preserve"> </w:t>
      </w:r>
      <w:r>
        <w:t xml:space="preserve">people have when using the GDPR; companies’ GDPR processes have been designed to comply with litigation rather than by focusing on individual needs or desires</w:t>
      </w:r>
      <w:r>
        <w:t xml:space="preserve"> </w:t>
      </w:r>
      <w:r>
        <w:t xml:space="preserve">(Abowd and Mynatt,</w:t>
      </w:r>
      <w:r>
        <w:t xml:space="preserve"> </w:t>
      </w:r>
      <w:hyperlink w:anchor="ref-abowd2000">
        <w:r>
          <w:rPr>
            <w:rStyle w:val="Hyperlink"/>
          </w:rPr>
          <w:t xml:space="preserve">2000</w:t>
        </w:r>
      </w:hyperlink>
      <w:r>
        <w:t xml:space="preserve">; McCarthy and Wright,</w:t>
      </w:r>
      <w:r>
        <w:t xml:space="preserve"> </w:t>
      </w:r>
      <w:hyperlink w:anchor="ref-mccarthy2004">
        <w:r>
          <w:rPr>
            <w:rStyle w:val="Hyperlink"/>
          </w:rPr>
          <w:t xml:space="preserve">2004</w:t>
        </w:r>
      </w:hyperlink>
      <w:r>
        <w:t xml:space="preserve">; Wright and McCarthy,</w:t>
      </w:r>
      <w:r>
        <w:t xml:space="preserve"> </w:t>
      </w:r>
      <w:hyperlink w:anchor="ref-wright2008">
        <w:r>
          <w:rPr>
            <w:rStyle w:val="Hyperlink"/>
          </w:rPr>
          <w:t xml:space="preserve">2008</w:t>
        </w:r>
      </w:hyperlink>
      <w:r>
        <w:t xml:space="preserve">)</w:t>
      </w:r>
      <w:r>
        <w:t xml:space="preserve"> </w:t>
      </w:r>
      <w:r>
        <w:t xml:space="preserve">(for more details on experience-centred design refer to section 3.2). It is highly likely that some of these will have been overlooked. Such experiential understanding could inform the design of improvements to companies’ GDPR mechanisms,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(Weiser,</w:t>
      </w:r>
      <w:r>
        <w:t xml:space="preserve"> </w:t>
      </w:r>
      <w:hyperlink w:anchor="ref-weiser1991">
        <w:r>
          <w:rPr>
            <w:rStyle w:val="Hyperlink"/>
          </w:rPr>
          <w:t xml:space="preserve">1991</w:t>
        </w:r>
      </w:hyperlink>
      <w:r>
        <w:t xml:space="preserve">; Mydex CIC,</w:t>
      </w:r>
      <w:r>
        <w:t xml:space="preserve"> </w:t>
      </w:r>
      <w:hyperlink w:anchor="ref-mydex2010">
        <w:r>
          <w:rPr>
            <w:rStyle w:val="Hyperlink"/>
          </w:rPr>
          <w:t xml:space="preserve">2010</w:t>
        </w:r>
      </w:hyperlink>
      <w:r>
        <w:t xml:space="preserve">; Abowd,</w:t>
      </w:r>
      <w:r>
        <w:t xml:space="preserve"> </w:t>
      </w:r>
      <w:hyperlink w:anchor="ref-abowd2012">
        <w:r>
          <w:rPr>
            <w:rStyle w:val="Hyperlink"/>
          </w:rPr>
          <w:t xml:space="preserve">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(Mydex CIC,</w:t>
      </w:r>
      <w:r>
        <w:t xml:space="preserve"> </w:t>
      </w:r>
      <w:hyperlink w:anchor="ref-mydex2010">
        <w:r>
          <w:rPr>
            <w:rStyle w:val="Hyperlink"/>
          </w:rPr>
          <w:t xml:space="preserve">2010</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w:t>
      </w:r>
      <w:r>
        <w:t xml:space="preserve">. This is an emergent space of much activity and research</w:t>
      </w:r>
      <w:r>
        <w:t xml:space="preserve"> </w:t>
      </w:r>
      <w:r>
        <w:t xml:space="preserve">(‘Human Data Interaction Project at the Data to AI Lab, MIT’,</w:t>
      </w:r>
      <w:r>
        <w:t xml:space="preserve"> </w:t>
      </w:r>
      <w:hyperlink w:anchor="ref-mit2015">
        <w:r>
          <w:rPr>
            <w:rStyle w:val="Hyperlink"/>
          </w:rPr>
          <w:t xml:space="preserve">2015</w:t>
        </w:r>
      </w:hyperlink>
      <w:r>
        <w:t xml:space="preserve">; ‘HDI Network Plus, University of Glasgow’,</w:t>
      </w:r>
      <w:r>
        <w:t xml:space="preserve"> </w:t>
      </w:r>
      <w:hyperlink w:anchor="ref-hdiplus2018">
        <w:r>
          <w:rPr>
            <w:rStyle w:val="Hyperlink"/>
          </w:rPr>
          <w:t xml:space="preserve">2018</w:t>
        </w:r>
      </w:hyperlink>
      <w:r>
        <w:t xml:space="preserve">; ‘HDI Lab, Heerlen’,</w:t>
      </w:r>
      <w:r>
        <w:t xml:space="preserve"> </w:t>
      </w:r>
      <w:hyperlink w:anchor="ref-hdilab2020">
        <w:r>
          <w:rPr>
            <w:rStyle w:val="Hyperlink"/>
          </w:rPr>
          <w:t xml:space="preserve">2020</w:t>
        </w:r>
      </w:hyperlink>
      <w:r>
        <w:t xml:space="preserve">; BBC R&amp;D,</w:t>
      </w:r>
      <w:r>
        <w:t xml:space="preserve"> </w:t>
      </w:r>
      <w:hyperlink w:anchor="ref-bbcrd2017">
        <w:r>
          <w:rPr>
            <w:rStyle w:val="Hyperlink"/>
          </w:rPr>
          <w:t xml:space="preserve">2017</w:t>
        </w:r>
      </w:hyperlink>
      <w:r>
        <w:t xml:space="preserve">; MyData,</w:t>
      </w:r>
      <w:r>
        <w:t xml:space="preserve"> </w:t>
      </w:r>
      <w:hyperlink w:anchor="ref-mydata2017declaration">
        <w:r>
          <w:rPr>
            <w:rStyle w:val="Hyperlink"/>
          </w:rPr>
          <w:t xml:space="preserve">2017</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 MyData.org,</w:t>
      </w:r>
      <w:r>
        <w:t xml:space="preserve"> </w:t>
      </w:r>
      <w:hyperlink w:anchor="ref-mydata2018">
        <w:r>
          <w:rPr>
            <w:rStyle w:val="Hyperlink"/>
          </w:rPr>
          <w:t xml:space="preserve">2018</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(Woolgar,</w:t>
      </w:r>
      <w:r>
        <w:t xml:space="preserve"> </w:t>
      </w:r>
      <w:hyperlink w:anchor="ref-woolgar2014">
        <w:r>
          <w:rPr>
            <w:rStyle w:val="Hyperlink"/>
          </w:rPr>
          <w:t xml:space="preserve">2014</w:t>
        </w:r>
      </w:hyperlink>
      <w:r>
        <w:t xml:space="preserve">; Crabtree and Mortier,</w:t>
      </w:r>
      <w:r>
        <w:t xml:space="preserve"> </w:t>
      </w:r>
      <w:hyperlink w:anchor="ref-crabtree2016">
        <w:r>
          <w:rPr>
            <w:rStyle w:val="Hyperlink"/>
          </w:rPr>
          <w:t xml:space="preserve">2016</w:t>
        </w:r>
      </w:hyperlink>
      <w:r>
        <w:t xml:space="preserve">)</w:t>
      </w:r>
      <w:r>
        <w:t xml:space="preserve">, do the GDPR’s access rights, as implemented by service providers, provide the effective access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 is to uncover problems and identify possible solutions that could address them.</w:t>
      </w:r>
    </w:p>
    <w:bookmarkEnd w:id="25"/>
    <w:bookmarkEnd w:id="26"/>
    <w:bookmarkStart w:id="29"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1" name="Picture"/>
            <a:graphic>
              <a:graphicData uri="http://schemas.openxmlformats.org/drawingml/2006/picture">
                <pic:pic>
                  <pic:nvPicPr>
                    <pic:cNvPr descr="./src/figs/fig23-gdpr-interview-flow.png" id="0"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(Hwang,</w:t>
      </w:r>
      <w:r>
        <w:t xml:space="preserve"> </w:t>
      </w:r>
      <w:hyperlink w:anchor="ref-hwang2021">
        <w:r>
          <w:rPr>
            <w:rStyle w:val="Hyperlink"/>
          </w:rPr>
          <w:t xml:space="preserve">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explore with GDPR requests.</w:t>
      </w:r>
    </w:p>
    <w:p>
      <w:pPr>
        <w:numPr>
          <w:ilvl w:val="0"/>
          <w:numId w:val="1001"/>
        </w:numPr>
      </w:pPr>
      <w:r>
        <w:rPr>
          <w:b/>
        </w:rPr>
        <w:t xml:space="preserve">Interview 2: Privacy Policy Reviewing, Goal Setting and GDPR Request</w:t>
      </w:r>
      <w:r>
        <w:t xml:space="preserve"> </w:t>
      </w:r>
      <w:r>
        <w:t xml:space="preserve">Initiation [1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(Wiki.personaldata.io,</w:t>
      </w:r>
      <w:r>
        <w:t xml:space="preserve"> </w:t>
      </w:r>
      <w:hyperlink w:anchor="ref-personaldataio2021wiki">
        <w:r>
          <w:rPr>
            <w:rStyle w:val="Hyperlink"/>
          </w:rPr>
          <w:t xml:space="preserve">no date</w:t>
        </w:r>
      </w:hyperlink>
      <w:r>
        <w:t xml:space="preserve">)</w:t>
      </w:r>
      <w:r>
        <w:t xml:space="preserve">. Interview 2 took place in person, except for P10 &amp; P11 whose interviews took place over Zoom due to the COVID-19 pandemic.</w:t>
      </w:r>
    </w:p>
    <w:p>
      <w:pPr>
        <w:numPr>
          <w:ilvl w:val="0"/>
          <w:numId w:val="1001"/>
        </w:numPr>
      </w:pPr>
      <w:r>
        <w:rPr>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 team, only described verbally; screen sharing was used to show excerpts to the researcher where the participant wished to do so. Participants were asked a structured set of questions about the completeness and value of any data returned, as well as new evaluations of trust and power, whether their hopes had been met, and any general feelings about the experience. Answers were recorded in a screen-shared spreadsheet, which was also used to structure the discussion (for a sample see Ap).</w:t>
      </w:r>
    </w:p>
    <w:p>
      <w:pPr>
        <w:pStyle w:val="CaptionedFigure"/>
      </w:pPr>
      <w:r>
        <w:drawing>
          <wp:inline>
            <wp:extent cx="5334000" cy="3422794"/>
            <wp:effectExtent b="0" l="0" r="0" t="0"/>
            <wp:docPr descr="Figure 24: An Example Life Sketch from Interview 1, with Data Handling Companies in Red, Data Types in Blue, and Feelings in Green" title="" id="1" name="Picture"/>
            <a:graphic>
              <a:graphicData uri="http://schemas.openxmlformats.org/drawingml/2006/picture">
                <pic:pic>
                  <pic:nvPicPr>
                    <pic:cNvPr descr="./src/figs/fig10-sketch-interview.png" id="0" name="Picture"/>
                    <pic:cNvPicPr>
                      <a:picLocks noChangeArrowheads="1" noChangeAspect="1"/>
                    </pic:cNvPicPr>
                  </pic:nvPicPr>
                  <pic:blipFill>
                    <a:blip r:embed="rId28"/>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by topic and analysed through reductive coding cycles to produce thematic findings (see 5.4). Quantitative data from interview spreadsheets was summarised and analysed (see 5.5). Sketches, recordings, screenshots and field notes aided interpretation of the transcripts.</w:t>
      </w:r>
    </w:p>
    <w:bookmarkEnd w:id="29"/>
    <w:bookmarkStart w:id="43" w:name="gdpr-request-outcomes"/>
    <w:p>
      <w:pPr>
        <w:pStyle w:val="Heading2"/>
      </w:pPr>
      <w:r>
        <w:rPr>
          <w:rStyle w:val="SectionNumber"/>
        </w:rPr>
        <w:t xml:space="preserve">1.3</w:t>
      </w:r>
      <w:r>
        <w:tab/>
      </w:r>
      <w:r>
        <w:t xml:space="preserve">GDPR Request Outcomes</w:t>
      </w:r>
    </w:p>
    <w:bookmarkStart w:id="32"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1" name="Picture"/>
            <a:graphic>
              <a:graphicData uri="http://schemas.openxmlformats.org/drawingml/2006/picture">
                <pic:pic>
                  <pic:nvPicPr>
                    <pic:cNvPr descr="./src/figs/table8-targets.png" id="0" name="Picture"/>
                    <pic:cNvPicPr>
                      <a:picLocks noChangeArrowheads="1" noChangeAspect="1"/>
                    </pic:cNvPicPr>
                  </pic:nvPicPr>
                  <pic:blipFill>
                    <a:blip r:embed="rId30"/>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to the identified Data Protection Officer, requesting both a subject access request</w:t>
      </w:r>
      <w:r>
        <w:t xml:space="preserve"> </w:t>
      </w:r>
      <w:r>
        <w:t xml:space="preserve">(Information Commissioner’s Office,</w:t>
      </w:r>
      <w:r>
        <w:t xml:space="preserve"> </w:t>
      </w:r>
      <w:hyperlink w:anchor="ref-ico2021sar">
        <w:r>
          <w:rPr>
            <w:rStyle w:val="Hyperlink"/>
          </w:rPr>
          <w:t xml:space="preserve">2021</w:t>
        </w:r>
      </w:hyperlink>
      <w:hyperlink w:anchor="ref-ico2021sar">
        <w:r>
          <w:rPr>
            <w:rStyle w:val="Hyperlink"/>
          </w:rPr>
          <w:t xml:space="preserve">a</w:t>
        </w:r>
      </w:hyperlink>
      <w:r>
        <w:t xml:space="preserve">)</w:t>
      </w:r>
      <w:r>
        <w:t xml:space="preserve"> </w:t>
      </w:r>
      <w:r>
        <w:t xml:space="preserve">and a data portability request</w:t>
      </w:r>
      <w:r>
        <w:t xml:space="preserve"> </w:t>
      </w:r>
      <w:r>
        <w:t xml:space="preserve">(Information Commissioner’s Office,</w:t>
      </w:r>
      <w:r>
        <w:t xml:space="preserve"> </w:t>
      </w:r>
      <w:hyperlink w:anchor="ref-ico2021dp">
        <w:r>
          <w:rPr>
            <w:rStyle w:val="Hyperlink"/>
          </w:rPr>
          <w:t xml:space="preserve">2021</w:t>
        </w:r>
      </w:hyperlink>
      <w:hyperlink w:anchor="ref-ico2021dp">
        <w:r>
          <w:rPr>
            <w:rStyle w:val="Hyperlink"/>
          </w:rPr>
          <w:t xml:space="preserve">b</w:t>
        </w:r>
      </w:hyperlink>
      <w:r>
        <w:t xml:space="preserve">)</w:t>
      </w:r>
      <w:r>
        <w:t xml:space="preserve"> </w:t>
      </w:r>
      <w:r>
        <w:t xml:space="preserve">be initiated, and specifically enumerating and asking for those datapoints that the company stated in its privacy policy, as well as those which the GDPR entitles individuals to obtain. To identify these datapoints, company privacy policies were analysed and the necessary information was compiled in personaldata.io’s semantic wiki</w:t>
      </w:r>
      <w:r>
        <w:t xml:space="preserve"> </w:t>
      </w:r>
      <w:r>
        <w:t xml:space="preserve">(‘List of target companies for GDPR requests’,</w:t>
      </w:r>
      <w:r>
        <w:t xml:space="preserve"> </w:t>
      </w:r>
      <w:hyperlink w:anchor="ref-personaldataio2021list">
        <w:r>
          <w:rPr>
            <w:rStyle w:val="Hyperlink"/>
          </w:rPr>
          <w:t xml:space="preserve">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1" name="Picture"/>
            <a:graphic>
              <a:graphicData uri="http://schemas.openxmlformats.org/drawingml/2006/picture">
                <pic:pic>
                  <pic:nvPicPr>
                    <pic:cNvPr descr="./src/figs/table9-data-types.png" id="0" name="Picture"/>
                    <pic:cNvPicPr>
                      <a:picLocks noChangeArrowheads="1" noChangeAspect="1"/>
                    </pic:cNvPicPr>
                  </pic:nvPicPr>
                  <pic:blipFill>
                    <a:blip r:embed="rId31"/>
                    <a:stretch>
                      <a:fillRect/>
                    </a:stretch>
                  </pic:blipFill>
                  <pic:spPr bwMode="auto">
                    <a:xfrm>
                      <a:off x="0" y="0"/>
                      <a:ext cx="5334000" cy="3216866"/>
                    </a:xfrm>
                    <a:prstGeom prst="rect">
                      <a:avLst/>
                    </a:prstGeom>
                    <a:noFill/>
                    <a:ln w="9525">
                      <a:noFill/>
                      <a:headEnd/>
                      <a:tailEnd/>
                    </a:ln>
                  </pic:spPr>
                </pic:pic>
              </a:graphicData>
            </a:graphic>
          </wp:inline>
        </w:drawing>
      </w:r>
    </w:p>
    <w:bookmarkEnd w:id="32"/>
    <w:bookmarkStart w:id="3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These most commonly related to seeing the breadth and depth of data collection by companies, understanding what was being inferred and how personal data was used, and to use such information to better assess trustworthiness of those companies. Other motivators included the desire to reflect on one’s own past data to gain self-insight, and to take control of or delete held data. Minor motivators included learning, creativity, fun, nostalgia, curiosity and the desire to shed light on specific incidents or answer specific questions.</w:t>
      </w:r>
    </w:p>
    <w:p>
      <w:pPr>
        <w:pStyle w:val="CaptionedFigure"/>
      </w:pPr>
      <w:r>
        <w:drawing>
          <wp:inline>
            <wp:extent cx="5334000" cy="2024792"/>
            <wp:effectExtent b="0" l="0" r="0" t="0"/>
            <wp:docPr descr="Figure 25: A Sankey diagram giving an overview of the GDPR requests undertaken by participants (P)" title="" id="1" name="Picture"/>
            <a:graphic>
              <a:graphicData uri="http://schemas.openxmlformats.org/drawingml/2006/picture">
                <pic:pic>
                  <pic:nvPicPr>
                    <pic:cNvPr descr="./src/figs/fig25-gdpr-sankey.png" id="0" name="Picture"/>
                    <pic:cNvPicPr>
                      <a:picLocks noChangeArrowheads="1" noChangeAspect="1"/>
                    </pic:cNvPicPr>
                  </pic:nvPicPr>
                  <pic:blipFill>
                    <a:blip r:embed="rId33"/>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34"/>
    <w:bookmarkStart w:id="38"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1" name="Picture"/>
            <a:graphic>
              <a:graphicData uri="http://schemas.openxmlformats.org/drawingml/2006/picture">
                <pic:pic>
                  <pic:nvPicPr>
                    <pic:cNvPr descr="./src/figs/table10-data-quality.png" id="0" name="Picture"/>
                    <pic:cNvPicPr>
                      <a:picLocks noChangeArrowheads="1" noChangeAspect="1"/>
                    </pic:cNvPicPr>
                  </pic:nvPicPr>
                  <pic:blipFill>
                    <a:blip r:embed="rId35"/>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Across all data types, data was only judged to be complete in 22% of cases, and in 62% of cases personal data specified in privacy policies to be collected was not returned, despite the legal obligation.</w:t>
      </w:r>
    </w:p>
    <w:p>
      <w:pPr>
        <w:pStyle w:val="BodyText"/>
      </w:pPr>
      <w:r>
        <w:t xml:space="preserve">The above quality and coverage datapoints also allowed us to extract some information about which service providers were strongest or weakest in each category, and overall.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As a caveat, it should be noted that Sainsbury’s and Huawei</w:t>
      </w:r>
      <w:r>
        <w:t xml:space="preserve"> </w:t>
      </w:r>
      <w:r>
        <w:rPr>
          <w:i/>
        </w:rPr>
        <w:t xml:space="preserve">did</w:t>
      </w:r>
      <w:r>
        <w:t xml:space="preserve"> </w:t>
      </w:r>
      <w:r>
        <w:t xml:space="preserve">respond, claiming to hold no data for the requesting participant.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55999"/>
            <wp:effectExtent b="0" l="0" r="0" t="0"/>
            <wp:docPr descr="" title="" id="1" name="Picture"/>
            <a:graphic>
              <a:graphicData uri="http://schemas.openxmlformats.org/drawingml/2006/picture">
                <pic:pic>
                  <pic:nvPicPr>
                    <pic:cNvPr descr="./src/figs/table11-best-worst-companies.png" id="0" name="Picture"/>
                    <pic:cNvPicPr>
                      <a:picLocks noChangeArrowheads="1" noChangeAspect="1"/>
                    </pic:cNvPicPr>
                  </pic:nvPicPr>
                  <pic:blipFill>
                    <a:blip r:embed="rId36"/>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525120"/>
            <wp:effectExtent b="0" l="0" r="0" t="0"/>
            <wp:docPr descr="" title="" id="1" name="Picture"/>
            <a:graphic>
              <a:graphicData uri="http://schemas.openxmlformats.org/drawingml/2006/picture">
                <pic:pic>
                  <pic:nvPicPr>
                    <pic:cNvPr descr="./src/figs/table12-hopes-and-goals.png" id="0" name="Picture"/>
                    <pic:cNvPicPr>
                      <a:picLocks noChangeArrowheads="1" noChangeAspect="1"/>
                    </pic:cNvPicPr>
                  </pic:nvPicPr>
                  <pic:blipFill>
                    <a:blip r:embed="rId37"/>
                    <a:stretch>
                      <a:fillRect/>
                    </a:stretch>
                  </pic:blipFill>
                  <pic:spPr bwMode="auto">
                    <a:xfrm>
                      <a:off x="0" y="0"/>
                      <a:ext cx="5334000" cy="5525120"/>
                    </a:xfrm>
                    <a:prstGeom prst="rect">
                      <a:avLst/>
                    </a:prstGeom>
                    <a:noFill/>
                    <a:ln w="9525">
                      <a:noFill/>
                      <a:headEnd/>
                      <a:tailEnd/>
                    </a:ln>
                  </pic:spPr>
                </pic:pic>
              </a:graphicData>
            </a:graphic>
          </wp:inline>
        </w:drawing>
      </w:r>
    </w:p>
    <w:bookmarkEnd w:id="38"/>
    <w:bookmarkStart w:id="42" w:name="perceived-power-and-trust"/>
    <w:p>
      <w:pPr>
        <w:pStyle w:val="Heading3"/>
      </w:pPr>
      <w:r>
        <w:rPr>
          <w:rStyle w:val="SectionNumber"/>
        </w:rPr>
        <w:t xml:space="preserve">1.3.4</w:t>
      </w:r>
      <w:r>
        <w:tab/>
      </w:r>
      <w:r>
        <w:t xml:space="preserve">Perceived Power and Trust</w:t>
      </w:r>
    </w:p>
    <w:p>
      <w:pPr>
        <w:pStyle w:val="FirstParagraph"/>
      </w:pPr>
      <w:r>
        <w:t xml:space="preserve">The research team examined how participants’ feelings towards the data holders changed throughout the process. Participants were asked to assess trust from 0 (total distrust) to 10 (total trust). They were asked to assess their perceived power on a scale of -5 (total provider power) through 0 (balanced power) to +5 (total individual power). Participants were invited to explain their reasoning for initial ratings and for any changes. By repeating the same question at different times, longitudinal comparisons could be made. Changes in attitude were observed; these changes are summarized in Figure 26. Many participants’ attitudes did change as a result of the experience,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1" name="Picture"/>
            <a:graphic>
              <a:graphicData uri="http://schemas.openxmlformats.org/drawingml/2006/picture">
                <pic:pic>
                  <pic:nvPicPr>
                    <pic:cNvPr descr="./src/figs/fig26-power-and-trust-distribution.png" id="0" name="Picture"/>
                    <pic:cNvPicPr>
                      <a:picLocks noChangeArrowheads="1" noChangeAspect="1"/>
                    </pic:cNvPicPr>
                  </pic:nvPicPr>
                  <pic:blipFill>
                    <a:blip r:embed="rId39"/>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Google’s privacy hub with its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1" name="Picture"/>
            <a:graphic>
              <a:graphicData uri="http://schemas.openxmlformats.org/drawingml/2006/picture">
                <pic:pic>
                  <pic:nvPicPr>
                    <pic:cNvPr descr="./src/figs/fig27-power-balance-by-stage.png" id="0" name="Picture"/>
                    <pic:cNvPicPr>
                      <a:picLocks noChangeArrowheads="1" noChangeAspect="1"/>
                    </pic:cNvPicPr>
                  </pic:nvPicPr>
                  <pic:blipFill>
                    <a:blip r:embed="rId40"/>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t xml:space="preserve">“</w:t>
      </w:r>
      <w:r>
        <w:t xml:space="preserve">hassle</w:t>
      </w:r>
      <w: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1" name="Picture"/>
            <a:graphic>
              <a:graphicData uri="http://schemas.openxmlformats.org/drawingml/2006/picture">
                <pic:pic>
                  <pic:nvPicPr>
                    <pic:cNvPr descr="./src/figs/fig28-trust-by-stage.png" id="0" name="Picture"/>
                    <pic:cNvPicPr>
                      <a:picLocks noChangeArrowheads="1" noChangeAspect="1"/>
                    </pic:cNvPicPr>
                  </pic:nvPicPr>
                  <pic:blipFill>
                    <a:blip r:embed="rId4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42"/>
    <w:bookmarkEnd w:id="43"/>
    <w:bookmarkStart w:id="57" w:name="thematic-findings"/>
    <w:p>
      <w:pPr>
        <w:pStyle w:val="Heading2"/>
      </w:pPr>
      <w:r>
        <w:rPr>
          <w:rStyle w:val="SectionNumber"/>
        </w:rPr>
        <w:t xml:space="preserve">1.4</w:t>
      </w:r>
      <w:r>
        <w:tab/>
      </w:r>
      <w:r>
        <w:t xml:space="preserve">Thematic Findings</w:t>
      </w:r>
    </w:p>
    <w:p>
      <w:pPr>
        <w:pStyle w:val="FirstParagraph"/>
      </w:pPr>
      <w:r>
        <w:t xml:space="preserve">[description like in c4 plus include some of following]</w:t>
      </w:r>
      <w:r>
        <w:t xml:space="preserve"> </w:t>
      </w:r>
      <w:r>
        <w:t xml:space="preserve">Here I present outcomes from a deeper analysis of the participant experiences summarized above, derived through over 200 person-hours of iterative data analysis [76] of the interview transcripts. The three key thematic findings are:</w:t>
      </w:r>
    </w:p>
    <w:bookmarkStart w:id="44" w:name="themes-subthemes"/>
    <w:p>
      <w:pPr>
        <w:pStyle w:val="Heading3"/>
      </w:pPr>
      <w:r>
        <w:rPr>
          <w:rStyle w:val="SectionNumber"/>
        </w:rPr>
        <w:t xml:space="preserve">1.4.1</w:t>
      </w:r>
      <w:r>
        <w:tab/>
      </w:r>
      <w:r>
        <w:t xml:space="preserve">Themes &amp; Subthemes</w:t>
      </w:r>
    </w:p>
    <w:p>
      <w:pPr>
        <w:pStyle w:val="FirstParagraph"/>
      </w:pPr>
      <w:r>
        <w:t xml:space="preserve">[convert this to prose]</w:t>
      </w:r>
    </w:p>
    <w:p>
      <w:pPr>
        <w:numPr>
          <w:ilvl w:val="0"/>
          <w:numId w:val="1002"/>
        </w:numPr>
        <w:pStyle w:val="Compact"/>
      </w:pPr>
      <w:r>
        <w:rPr>
          <w:b/>
        </w:rPr>
        <w:t xml:space="preserve">Insufficient Transparency</w:t>
      </w:r>
      <w:r>
        <w:t xml:space="preserve"> </w:t>
      </w:r>
      <w:r>
        <w:t xml:space="preserve">(Theme 1):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02"/>
        </w:numPr>
        <w:pStyle w:val="Compact"/>
      </w:pPr>
      <w:r>
        <w:rPr>
          <w:b/>
        </w:rPr>
        <w:t xml:space="preserve">Confusing &amp; Unusable Data</w:t>
      </w:r>
      <w:r>
        <w:t xml:space="preserve"> </w:t>
      </w:r>
      <w:r>
        <w:t xml:space="preserve">(Theme 2): When presented with their data, people struggle to understand it and relate it to their lives and are not able to make use of it.</w:t>
      </w:r>
    </w:p>
    <w:p>
      <w:pPr>
        <w:numPr>
          <w:ilvl w:val="0"/>
          <w:numId w:val="1002"/>
        </w:numPr>
        <w:pStyle w:val="Compact"/>
      </w:pPr>
      <w:r>
        <w:rPr>
          <w:b/>
        </w:rPr>
        <w:t xml:space="preserve">Fragile Relationships</w:t>
      </w:r>
      <w:r>
        <w:t xml:space="preserve"> </w:t>
      </w:r>
      <w:r>
        <w:t xml:space="preserve">(Theme 3): Companies’ data practices, and in particular their privacy policies and GDPR response handling, can be impactful to customer relationships, carrying a risk of damaging trust but also the potential to improve relations.</w:t>
      </w:r>
      <w:r>
        <w:t xml:space="preserve"> </w:t>
      </w:r>
      <w:r>
        <w:t xml:space="preserve">These themes are detailed in 5.1, 5.2 and 5.3 respectively.</w:t>
      </w:r>
    </w:p>
    <w:p>
      <w:pPr>
        <w:pStyle w:val="FirstParagraph"/>
      </w:pPr>
      <w:r>
        <w:t xml:space="preserve">[insert Table for each of the three themes]</w:t>
      </w:r>
    </w:p>
    <w:p>
      <w:pPr>
        <w:pStyle w:val="TableCaption"/>
      </w:pPr>
      <w:r>
        <w:t xml:space="preserve">Table 12.</w:t>
      </w:r>
      <w:r>
        <w:t xml:space="preserve"> </w:t>
      </w:r>
      <w:r>
        <w:rPr>
          <w:b/>
        </w:rPr>
        <w:t xml:space="preserve">Theme 1 - Insufficient Transparency</w:t>
      </w:r>
      <w:r>
        <w:t xml:space="preserve">. Subthemes &amp; Participant Quotes.</w:t>
      </w:r>
    </w:p>
    <w:tbl>
      <w:tblPr>
        <w:tblStyle w:val="Table"/>
        <w:tblW w:type="pct" w:w="5000.0"/>
        <w:tblLook w:firstRow="1" w:lastRow="0" w:firstColumn="0" w:lastColumn="0" w:noHBand="0" w:noVBand="0"/>
        <w:tblCaption w:val="Table 12. Theme 1 - Insufficient Transparency.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A Desire for Awareness and Understanding</w:t>
            </w:r>
          </w:p>
        </w:tc>
        <w:tc>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p>
            <w:pPr>
              <w:pStyle w:val="Compact"/>
              <w:jc w:val="left"/>
            </w:pPr>
            <w:r>
              <w:rPr>
                <w:i/>
              </w:rPr>
              <w:t xml:space="preserve">“</w:t>
            </w:r>
            <w:r>
              <w:rPr>
                <w:i/>
              </w:rPr>
              <w:t xml:space="preserve">[Companies have more power] because they’re making decisions about things and you don’t know how they’re making those decisions.</w:t>
            </w:r>
            <w:r>
              <w:rPr>
                <w:i/>
              </w:rPr>
              <w:t xml:space="preserve">”</w:t>
            </w:r>
            <w:r>
              <w:t xml:space="preserve"> </w:t>
            </w:r>
            <w:r>
              <w:t xml:space="preserve">[P5]</w:t>
            </w:r>
          </w:p>
        </w:tc>
      </w:tr>
      <w:tr>
        <w:tc>
          <w:p>
            <w:pPr>
              <w:pStyle w:val="Compact"/>
              <w:jc w:val="left"/>
            </w:pPr>
            <w:r>
              <w:t xml:space="preserve">Non-Compliance Without Consequence</w:t>
            </w:r>
          </w:p>
        </w:tc>
        <w:tc>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p>
            <w:pPr>
              <w:pStyle w:val="Compact"/>
              <w:jc w:val="left"/>
            </w:pPr>
            <w:r>
              <w:rPr>
                <w:i/>
              </w:rPr>
              <w:t xml:space="preserve">“</w:t>
            </w:r>
            <w:r>
              <w:rPr>
                <w:i/>
              </w:rPr>
              <w:t xml:space="preserve">I am surprised at Google’s unwillingness to provide me with all of the data … they haven’t provided me with all of my data. And that’s not legal.</w:t>
            </w:r>
            <w:r>
              <w:rPr>
                <w:i/>
              </w:rPr>
              <w:t xml:space="preserve">”</w:t>
            </w:r>
            <w:r>
              <w:t xml:space="preserve"> </w:t>
            </w:r>
            <w:r>
              <w:t xml:space="preserve">[P7]</w:t>
            </w:r>
          </w:p>
        </w:tc>
      </w:tr>
      <w:tr>
        <w:tc>
          <w:p>
            <w:pPr>
              <w:pStyle w:val="Compact"/>
              <w:jc w:val="left"/>
            </w:pPr>
            <w:r>
              <w:t xml:space="preserve">Inadequate Data Responses</w:t>
            </w:r>
          </w:p>
        </w:tc>
        <w:tc>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
              </w:rPr>
              <w:t xml:space="preserve">“</w:t>
            </w:r>
            <w:r>
              <w:rPr>
                <w:i/>
              </w:rPr>
              <w:t xml:space="preserve">in the dark</w:t>
            </w:r>
            <w:r>
              <w:rPr>
                <w:i/>
              </w:rPr>
              <w:t xml:space="preserve">”</w:t>
            </w:r>
            <w:r>
              <w:t xml:space="preserve">. There was widespread disappointment and a view that GDPR did not confer any power to the individual.</w:t>
            </w:r>
          </w:p>
        </w:tc>
        <w:tc>
          <w:p>
            <w:pPr>
              <w:pStyle w:val="Compact"/>
              <w:jc w:val="lef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r>
              <w:t xml:space="preserve"> </w:t>
            </w:r>
            <w:r>
              <w:t xml:space="preserve">[P1]</w:t>
            </w:r>
          </w:p>
        </w:tc>
      </w:tr>
    </w:tbl>
    <w:p>
      <w:pPr>
        <w:pStyle w:val="TableCaption"/>
      </w:pPr>
      <w:r>
        <w:t xml:space="preserve">Table 13.</w:t>
      </w:r>
      <w:r>
        <w:t xml:space="preserve"> </w:t>
      </w:r>
      <w:r>
        <w:rPr>
          <w:b/>
        </w:rPr>
        <w:t xml:space="preserve">Theme 2 - Confusing &amp; Unusable Data</w:t>
      </w:r>
      <w:r>
        <w:t xml:space="preserve">. Subthemes &amp; Participant Quotes. [TO UPDATE]</w:t>
      </w:r>
    </w:p>
    <w:tbl>
      <w:tblPr>
        <w:tblStyle w:val="Table"/>
        <w:tblW w:type="pct" w:w="5000.0"/>
        <w:tblLook w:firstRow="1" w:lastRow="0" w:firstColumn="0" w:lastColumn="0" w:noHBand="0" w:noVBand="0"/>
        <w:tblCaption w:val="Table 13. Theme 2 - Confusing &amp; Unusable Data. Subthemes &amp; Participant Quotes. [TO UPDATE]"/>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Data Formats and Usability</w:t>
            </w:r>
          </w:p>
        </w:tc>
        <w:tc>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In some cases</w:t>
            </w:r>
          </w:p>
        </w:tc>
        <w:tc>
          <w:p>
            <w:pPr>
              <w:pStyle w:val="Compact"/>
              <w:jc w:val="lef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 </w:t>
            </w:r>
            <w:r>
              <w:t xml:space="preserve">[P5]</w:t>
            </w:r>
          </w:p>
        </w:tc>
      </w:tr>
      <w:tr>
        <w:tc>
          <w:p>
            <w:pPr>
              <w:pStyle w:val="Compact"/>
              <w:jc w:val="left"/>
            </w:pPr>
            <w:r>
              <w:t xml:space="preserve">The Search for Meaning and Value in Data</w:t>
            </w:r>
          </w:p>
        </w:tc>
        <w:tc>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p>
            <w:pPr>
              <w:pStyle w:val="Compact"/>
              <w:jc w:val="left"/>
            </w:pPr>
            <w:r>
              <w:rPr>
                <w:i/>
              </w:rPr>
              <w:t xml:space="preserve">“</w:t>
            </w:r>
            <w:r>
              <w:rPr>
                <w:i/>
              </w:rPr>
              <w:t xml:space="preserve">[It’s] almost too much […] for a normal person to be able to process and understand […] It could do with a document detailing, like,</w:t>
            </w:r>
            <w:r>
              <w:rPr>
                <w:i/>
              </w:rPr>
              <w:t xml:space="preserve"> </w:t>
            </w:r>
            <w:r>
              <w:rPr>
                <w:i/>
              </w:rPr>
              <w:t xml:space="preserve">‘</w:t>
            </w:r>
            <w:r>
              <w:rPr>
                <w:i/>
              </w:rPr>
              <w:t xml:space="preserve">this is what is in here</w:t>
            </w:r>
            <w:r>
              <w:rPr>
                <w:i/>
              </w:rPr>
              <w:t xml:space="preserve">’</w:t>
            </w:r>
            <w:r>
              <w:rPr>
                <w:i/>
              </w:rPr>
              <w:t xml:space="preserve">.</w:t>
            </w:r>
            <w:r>
              <w:rPr>
                <w:i/>
              </w:rPr>
              <w:t xml:space="preserve">”</w:t>
            </w:r>
            <w:r>
              <w:t xml:space="preserve"> </w:t>
            </w:r>
            <w:r>
              <w:t xml:space="preserve">[P1]</w:t>
            </w:r>
          </w:p>
        </w:tc>
      </w:tr>
      <w:tr>
        <w:tc>
          <w:p>
            <w:pPr>
              <w:pStyle w:val="Compact"/>
              <w:jc w:val="left"/>
            </w:pPr>
            <w:r>
              <w:t xml:space="preserve">The Practicality of Using-or Deleting–Your Data</w:t>
            </w:r>
          </w:p>
        </w:tc>
        <w:tc>
          <w:p>
            <w:pPr>
              <w:pStyle w:val="Compact"/>
              <w:jc w:val="left"/>
            </w:pPr>
            <w:r>
              <w:t xml:space="preserve">Participants wanted to use returned data to better understand themselves, but given that returned data lacked visualisations and interpretations, they were unable to practically use data in this way. There was also a strong desire to delete held data, or restrict its use, though participants did not see a clear path to achieving this.</w:t>
            </w:r>
          </w:p>
        </w:tc>
        <w:tc>
          <w:p>
            <w:pPr>
              <w:pStyle w:val="Compact"/>
              <w:jc w:val="left"/>
            </w:pPr>
            <w:r>
              <w:rPr>
                <w:i/>
              </w:rPr>
              <w:t xml:space="preserve">“</w:t>
            </w:r>
            <w:r>
              <w:rPr>
                <w:i/>
              </w:rPr>
              <w:t xml:space="preserve">[Companies did not] tell me what they are doing with [my data].. And sometimes I think my willingness to give a company data might be quite intrinsically linked with what they’re gonna do with it.</w:t>
            </w:r>
            <w:r>
              <w:rPr>
                <w:i/>
              </w:rPr>
              <w:t xml:space="preserve">”</w:t>
            </w:r>
            <w:r>
              <w:t xml:space="preserve"> </w:t>
            </w:r>
            <w:r>
              <w:t xml:space="preserve">[P7]</w:t>
            </w:r>
          </w:p>
        </w:tc>
      </w:tr>
    </w:tbl>
    <w:p>
      <w:pPr>
        <w:pStyle w:val="TableCaption"/>
      </w:pPr>
      <w:r>
        <w:t xml:space="preserve">Table 14.</w:t>
      </w:r>
      <w:r>
        <w:t xml:space="preserve"> </w:t>
      </w:r>
      <w:r>
        <w:rPr>
          <w:b/>
        </w:rPr>
        <w:t xml:space="preserve">Theme 3 - Fragile Relationships</w:t>
      </w:r>
      <w:r>
        <w:t xml:space="preserve">. Subthemes &amp; Participant Quotes.</w:t>
      </w:r>
    </w:p>
    <w:tbl>
      <w:tblPr>
        <w:tblStyle w:val="Table"/>
        <w:tblW w:type="pct" w:w="5000.0"/>
        <w:tblLook w:firstRow="1" w:lastRow="0" w:firstColumn="0" w:lastColumn="0" w:noHBand="0" w:noVBand="0"/>
        <w:tblCaption w:val="Table 14. Theme 3 - Fragile Relationships.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Power and Enforced Trust Through Data Holding</w:t>
            </w:r>
          </w:p>
        </w:tc>
        <w:tc>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p>
            <w:pPr>
              <w:pStyle w:val="Compact"/>
              <w:jc w:val="left"/>
            </w:pP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r>
              <w:t xml:space="preserve"> </w:t>
            </w:r>
            <w:r>
              <w:t xml:space="preserve">[P8]</w:t>
            </w:r>
          </w:p>
        </w:tc>
      </w:tr>
      <w:tr>
        <w:tc>
          <w:p>
            <w:pPr>
              <w:pStyle w:val="Compact"/>
              <w:jc w:val="left"/>
            </w:pPr>
            <w:r>
              <w:t xml:space="preserve">Accountability and Perceptions of Data Holders</w:t>
            </w:r>
          </w:p>
        </w:tc>
        <w:tc>
          <w:p>
            <w:pPr>
              <w:pStyle w:val="Compact"/>
              <w:jc w:val="left"/>
            </w:pPr>
            <w:r>
              <w:t xml:space="preserve">Participants entered the study with varying impressions of providers, and wanted to assess data practices in order to hold them to account. Participants’ various observations reveal a strong link between their perceptions of providers’ data handling practices and the trust they hold in those same providers.</w:t>
            </w:r>
          </w:p>
        </w:tc>
        <w:tc>
          <w:p>
            <w:pPr>
              <w:pStyle w:val="Compact"/>
              <w:jc w:val="left"/>
            </w:pPr>
            <w:r>
              <w:rPr>
                <w:i/>
              </w:rPr>
              <w:t xml:space="preserve">“</w:t>
            </w:r>
            <w:r>
              <w:rPr>
                <w:i/>
              </w:rPr>
              <w:t xml:space="preserve">When I like the company already, I’m more willing to give them my data.</w:t>
            </w:r>
            <w:r>
              <w:rPr>
                <w:i/>
              </w:rPr>
              <w:t xml:space="preserve">”</w:t>
            </w:r>
            <w:r>
              <w:t xml:space="preserve"> </w:t>
            </w:r>
            <w:r>
              <w:t xml:space="preserve">[P2]</w:t>
            </w:r>
          </w:p>
        </w:tc>
      </w:tr>
      <w:tr>
        <w:tc>
          <w:p>
            <w:pPr>
              <w:pStyle w:val="Compact"/>
              <w:jc w:val="left"/>
            </w:pPr>
            <w:r>
              <w:t xml:space="preserve">Changed Perspectives Through Scrutiny</w:t>
            </w:r>
          </w:p>
        </w:tc>
        <w:tc>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p>
            <w:pPr>
              <w:pStyle w:val="Compact"/>
              <w:jc w:val="left"/>
            </w:pPr>
            <w:r>
              <w:rPr>
                <w:i/>
              </w:rPr>
              <w:t xml:space="preserve">“</w:t>
            </w:r>
            <w:r>
              <w:rPr>
                <w:i/>
              </w:rPr>
              <w:t xml:space="preserve">If someone’s not completely open with you, then you’re like,</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 </w:t>
            </w:r>
            <w:r>
              <w:t xml:space="preserve">[P4]</w:t>
            </w:r>
          </w:p>
        </w:tc>
      </w:tr>
    </w:tbl>
    <w:bookmarkEnd w:id="44"/>
    <w:bookmarkStart w:id="48"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45"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
        </w:rPr>
        <w:t xml:space="preserve">“</w:t>
      </w:r>
      <w:r>
        <w:rPr>
          <w:i/>
        </w:rPr>
        <w:t xml:space="preserve">I’d be interested to understand what data they have […] Is it just the patterns of my spending on trains, or is it a bunch of other stuff that they’re using for advertising to me?</w:t>
      </w:r>
      <w:r>
        <w:rPr>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
        </w:rPr>
        <w:t xml:space="preserve">“</w:t>
      </w:r>
      <w:r>
        <w:rPr>
          <w:i/>
        </w:rPr>
        <w:t xml:space="preserve">The bit that concerns me is where I don’t know what data is being taken by companies. If I’m registering for a library or something, I know [what] data I’m giving to them, but what I don’t know is all the other stuff that they’re recording</w:t>
      </w:r>
      <w:r>
        <w:rPr>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
        </w:rPr>
        <w:t xml:space="preserve">“</w:t>
      </w:r>
      <w:r>
        <w:rPr>
          <w:i/>
        </w:rPr>
        <w:t xml:space="preserve">they’re making decisions about things and you don’t know how they’re making those decisions</w:t>
      </w:r>
      <w:r>
        <w:rPr>
          <w:i/>
        </w:rPr>
        <w:t xml:space="preserve">”</w:t>
      </w:r>
      <w:r>
        <w:t xml:space="preserve">. Sharing of personal data is also insufficiently visible to participants; two participants (P3,P4) targeted GDPR requests to credit-check websites (Credit Karma,CheckMyFile) - P4 wanted to get</w:t>
      </w:r>
      <w:r>
        <w:t xml:space="preserve"> </w:t>
      </w:r>
      <w:r>
        <w:rPr>
          <w:i/>
        </w:rPr>
        <w:t xml:space="preserve">“</w:t>
      </w:r>
      <w:r>
        <w:rPr>
          <w:i/>
        </w:rPr>
        <w:t xml:space="preserve">a picture of what other companies can currently expose</w:t>
      </w:r>
      <w:r>
        <w:rPr>
          <w:i/>
        </w:rPr>
        <w:t xml:space="preserve">”</w:t>
      </w:r>
      <w:r>
        <w:t xml:space="preserve">.</w:t>
      </w:r>
    </w:p>
    <w:bookmarkEnd w:id="45"/>
    <w:bookmarkStart w:id="46"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 [90], most were already aware), and so several participants saw this apparent non-compliance relative to their understanding of their rights as a poor quality of response, for example:</w:t>
      </w:r>
    </w:p>
    <w:p>
      <w:pPr>
        <w:pStyle w:val="BodyText"/>
      </w:pPr>
      <w:r>
        <w:rPr>
          <w:i/>
        </w:rPr>
        <w:t xml:space="preserve">“</w:t>
      </w:r>
      <w:r>
        <w:rPr>
          <w:i/>
        </w:rPr>
        <w:t xml:space="preserve">I feel more concerned now, […] what they’ve given me seemed reasonable. But then comparing against what we asked them for, what I’m legally [entitled to], it’s a fraction.</w:t>
      </w:r>
      <w:r>
        <w:rPr>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
        </w:rPr>
        <w:t xml:space="preserve">“</w:t>
      </w:r>
      <w:r>
        <w:rPr>
          <w:i/>
        </w:rPr>
        <w:t xml:space="preserve">alarmingly unsurprising</w:t>
      </w:r>
      <w:r>
        <w:rPr>
          <w:i/>
        </w:rPr>
        <w:t xml:space="preserve">”</w:t>
      </w:r>
      <w:r>
        <w:t xml:space="preserve">. Others had expected compliance:</w:t>
      </w:r>
    </w:p>
    <w:p>
      <w:pPr>
        <w:pStyle w:val="BodyText"/>
      </w:pPr>
      <w:r>
        <w:rPr>
          <w:i/>
        </w:rPr>
        <w:t xml:space="preserve">“</w:t>
      </w:r>
      <w:r>
        <w:rPr>
          <w:i/>
        </w:rPr>
        <w:t xml:space="preserve">I am surprised at Google’s unwillingness to provide me with all of the data… they haven’t provided me with all of my data. And that’s not legal.</w:t>
      </w:r>
      <w:r>
        <w:rPr>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t xml:space="preserve">“</w:t>
      </w:r>
      <w:r>
        <w:t xml:space="preserve">there needs to be more enforcement</w:t>
      </w:r>
      <w:r>
        <w:t xml:space="preserve">”</w:t>
      </w:r>
      <w:r>
        <w:t xml:space="preserve"> </w:t>
      </w:r>
      <w:r>
        <w:t xml:space="preserve">(P11). P6 revised his view of Facebook’s power versus his own because he felt that after review he now could clearly see</w:t>
      </w:r>
      <w:r>
        <w:t xml:space="preserve"> </w:t>
      </w:r>
      <w:r>
        <w:rPr>
          <w:i/>
        </w:rPr>
        <w:t xml:space="preserve">“</w:t>
      </w:r>
      <w:r>
        <w:rPr>
          <w:i/>
        </w:rPr>
        <w:t xml:space="preserve">which [data] they are prepared to share and which they aren’t</w:t>
      </w:r>
      <w:r>
        <w:rPr>
          <w:i/>
        </w:rPr>
        <w:t xml:space="preserve">”</w:t>
      </w:r>
      <w:r>
        <w:t xml:space="preserve">. P11 also framed the selectivity of responses as an exertion of power:</w:t>
      </w:r>
    </w:p>
    <w:p>
      <w:pPr>
        <w:pStyle w:val="BodyText"/>
      </w:pPr>
      <w:r>
        <w:rPr>
          <w:i/>
        </w:rPr>
        <w:t xml:space="preserve">“</w:t>
      </w:r>
      <w:r>
        <w:rPr>
          <w:i/>
        </w:rPr>
        <w:t xml:space="preserve">It seems like there’s a lot of derived data about things like purchases and stuff [that I would expect] that just isn’t there. So they’re free to not give me the data. That, to me, suggests [that despite GDPR] they retain an awful lot of power.</w:t>
      </w:r>
      <w:r>
        <w:rPr>
          <w:i/>
        </w:rPr>
        <w:t xml:space="preserve">”</w:t>
      </w:r>
      <w:r>
        <w:t xml:space="preserve">-—P11</w:t>
      </w:r>
    </w:p>
    <w:bookmarkEnd w:id="46"/>
    <w:bookmarkStart w:id="47"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
        </w:rPr>
        <w:t xml:space="preserve">“</w:t>
      </w:r>
      <w:r>
        <w:rPr>
          <w:i/>
        </w:rPr>
        <w:t xml:space="preserve">give you that kind of descriptive boring data which is mainly all publicly available anyway</w:t>
      </w:r>
      <w:r>
        <w:rPr>
          <w:i/>
        </w:rPr>
        <w:t xml:space="preserve">”</w:t>
      </w:r>
      <w:r>
        <w:t xml:space="preserve"> </w:t>
      </w:r>
      <w:r>
        <w:t xml:space="preserve">and had omitted</w:t>
      </w:r>
      <w:r>
        <w:t xml:space="preserve"> </w:t>
      </w:r>
      <w:r>
        <w:rPr>
          <w:i/>
        </w:rPr>
        <w:t xml:space="preserve">“</w:t>
      </w:r>
      <w:r>
        <w:rPr>
          <w:i/>
        </w:rPr>
        <w:t xml:space="preserve">the stuff that I would consider valuable to them</w:t>
      </w:r>
      <w:r>
        <w:rPr>
          <w:i/>
        </w:rPr>
        <w:t xml:space="preserve">”</w:t>
      </w:r>
      <w:r>
        <w:t xml:space="preserve">.</w:t>
      </w:r>
    </w:p>
    <w:p>
      <w:pPr>
        <w:pStyle w:val="BodyText"/>
      </w:pPr>
      <w:r>
        <w:t xml:space="preserve">In general, the data responses did not provide the answers participants sought. Many reported</w:t>
      </w:r>
      <w:r>
        <w:t xml:space="preserve"> </w:t>
      </w:r>
      <w:r>
        <w:rPr>
          <w:i/>
        </w:rPr>
        <w:t xml:space="preserve">“</w:t>
      </w:r>
      <w:r>
        <w:rPr>
          <w:i/>
        </w:rPr>
        <w:t xml:space="preserve">still</w:t>
      </w:r>
      <w:r>
        <w:rPr>
          <w:i/>
        </w:rPr>
        <w:t xml:space="preserve">”</w:t>
      </w:r>
      <w:r>
        <w:t xml:space="preserve"> </w:t>
      </w:r>
      <w:r>
        <w:t xml:space="preserve">not knowing what they wanted to find out. P4 said he remained</w:t>
      </w:r>
      <w:r>
        <w:t xml:space="preserve"> </w:t>
      </w:r>
      <w:r>
        <w:rPr>
          <w:i/>
        </w:rPr>
        <w:t xml:space="preserve">“</w:t>
      </w:r>
      <w:r>
        <w:rPr>
          <w:i/>
        </w:rPr>
        <w:t xml:space="preserve">in the dark</w:t>
      </w:r>
      <w:r>
        <w:rPr>
          <w:i/>
        </w:rPr>
        <w:t xml:space="preserve">”</w:t>
      </w:r>
      <w:r>
        <w:t xml:space="preserve">. P7 stated that</w:t>
      </w:r>
      <w:r>
        <w:t xml:space="preserve"> </w:t>
      </w:r>
      <w:r>
        <w:rPr>
          <w:i/>
        </w:rPr>
        <w:t xml:space="preserve">“</w:t>
      </w:r>
      <w:r>
        <w:rPr>
          <w:i/>
        </w:rPr>
        <w:t xml:space="preserve">even though I did the process correctly, I still didn’t get that much back</w:t>
      </w:r>
      <w:r>
        <w:rPr>
          <w:i/>
        </w:rPr>
        <w:t xml:space="preserve">”</w:t>
      </w:r>
      <w:r>
        <w:t xml:space="preserve">. Concerns held by participants from the outset remained unaddressed, as in P11’s case:</w:t>
      </w:r>
    </w:p>
    <w:p>
      <w:pPr>
        <w:pStyle w:val="BodyText"/>
      </w:pPr>
      <w:r>
        <w:rPr>
          <w:i/>
        </w:rPr>
        <w:t xml:space="preserve">“</w:t>
      </w:r>
      <w:r>
        <w:rPr>
          <w:i/>
        </w:rPr>
        <w:t xml:space="preserve">I still am quite concerned about how much data organisations have, particularly how they link that other data and how data is bought and sold, and I haven’t really got any answers on that.</w:t>
      </w:r>
      <w:r>
        <w:rPr>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
        </w:rPr>
        <w:t xml:space="preserve">“</w:t>
      </w:r>
      <w:r>
        <w:rPr>
          <w:i/>
        </w:rPr>
        <w:t xml:space="preserve">Jumping through hoops</w:t>
      </w:r>
      <w:r>
        <w:rPr>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
        </w:rPr>
        <w:t xml:space="preserve">“</w:t>
      </w:r>
      <w:r>
        <w:rPr>
          <w:i/>
        </w:rPr>
        <w:t xml:space="preserve">I feel like they give you a response that [makes it so] you cannot proceed intentionally</w:t>
      </w:r>
      <w:r>
        <w:rPr>
          <w:i/>
        </w:rPr>
        <w:t xml:space="preserve">”</w:t>
      </w:r>
      <w:r>
        <w:t xml:space="preserve">–P10</w:t>
      </w:r>
    </w:p>
    <w:p>
      <w:pPr>
        <w:pStyle w:val="BodyText"/>
      </w:pPr>
      <w:r>
        <w:t xml:space="preserve">Participants recognised that they had received help and coaching, and that the processes were so tedious that others may not have persisted. P1 suggested that without the provided template, it would be</w:t>
      </w:r>
      <w:r>
        <w:t xml:space="preserve"> </w:t>
      </w:r>
      <w:r>
        <w:rPr>
          <w:i/>
        </w:rPr>
        <w:t xml:space="preserve">“</w:t>
      </w:r>
      <w:r>
        <w:rPr>
          <w:i/>
        </w:rPr>
        <w:t xml:space="preserve">a lot harder to get meaningful data out</w:t>
      </w:r>
      <w:r>
        <w:rPr>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
        </w:rPr>
        <w:t xml:space="preserve">“</w:t>
      </w:r>
      <w:r>
        <w:rPr>
          <w:i/>
        </w:rPr>
        <w:t xml:space="preserve">how difficult it was just to get my data, and the fact that I had to ask them about six different times</w:t>
      </w:r>
      <w:r>
        <w:rPr>
          <w:i/>
        </w:rPr>
        <w:t xml:space="preserve">”</w:t>
      </w:r>
      <w:r>
        <w:t xml:space="preserve">.</w:t>
      </w:r>
    </w:p>
    <w:p>
      <w:pPr>
        <w:pStyle w:val="BodyText"/>
      </w:pPr>
      <w:r>
        <w:t xml:space="preserve">Not all requests were this painful, some were handled smoothly. As P11 put it,</w:t>
      </w:r>
      <w:r>
        <w:t xml:space="preserve"> </w:t>
      </w:r>
      <w:r>
        <w:rPr>
          <w:i/>
        </w:rPr>
        <w:t xml:space="preserve">“</w:t>
      </w:r>
      <w:r>
        <w:rPr>
          <w:i/>
        </w:rPr>
        <w:t xml:space="preserve">Some companies make it dead easy to get, but then the data is not massively useful.[…] Other companies make it a pain in the neck to get it.</w:t>
      </w:r>
      <w:r>
        <w:rPr>
          <w:i/>
        </w:rPr>
        <w:t xml:space="preserve">”</w:t>
      </w:r>
      <w:r>
        <w:t xml:space="preserve"> </w:t>
      </w:r>
      <w:r>
        <w:t xml:space="preserve">Overall the view of GDPR data access was one of disappointment. Participants found GDPR ineffective: P10 said</w:t>
      </w:r>
      <w:r>
        <w:t xml:space="preserve"> </w:t>
      </w:r>
      <w:r>
        <w:rPr>
          <w:i/>
        </w:rPr>
        <w:t xml:space="preserve">“</w:t>
      </w:r>
      <w:r>
        <w:rPr>
          <w:i/>
        </w:rPr>
        <w:t xml:space="preserve">Frankly, [GDPR] doesn’t have as much influence as I expected</w:t>
      </w:r>
      <w:r>
        <w:rPr>
          <w:i/>
        </w:rPr>
        <w:t xml:space="preserve">”</w:t>
      </w:r>
      <w:r>
        <w:t xml:space="preserve"> </w:t>
      </w:r>
      <w:r>
        <w:t xml:space="preserve">and P1 commented that:</w:t>
      </w:r>
    </w:p>
    <w:p>
      <w:pPr>
        <w:pStyle w:val="BodyTex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p>
    <w:bookmarkEnd w:id="47"/>
    <w:bookmarkEnd w:id="48"/>
    <w:bookmarkStart w:id="52" w:name="X7ff0d56760b11cc21d41f0bb6148d899bb8a60d"/>
    <w:p>
      <w:pPr>
        <w:pStyle w:val="Heading3"/>
      </w:pPr>
      <w:r>
        <w:rPr>
          <w:rStyle w:val="SectionNumber"/>
        </w:rPr>
        <w:t xml:space="preserve">1.4.3</w:t>
      </w:r>
      <w:r>
        <w:tab/>
      </w:r>
      <w:r>
        <w:t xml:space="preserve">Theme 2: People Struggle to Understand, Use and Control to Their Data</w:t>
      </w:r>
    </w:p>
    <w:bookmarkStart w:id="49"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The Search for Meaningful (Personal) information in Data</w:t>
      </w:r>
    </w:p>
    <w:p>
      <w:pPr>
        <w:numPr>
          <w:ilvl w:val="0"/>
          <w:numId w:val="1003"/>
        </w:numPr>
        <w:pStyle w:val="Compact"/>
      </w:pPr>
      <w:r>
        <w:t xml:space="preserve">looking for insight from the data, but notnderstandable, presentation formats don’t aid understanding</w:t>
      </w:r>
    </w:p>
    <w:p>
      <w:pPr>
        <w:numPr>
          <w:ilvl w:val="1"/>
          <w:numId w:val="1004"/>
        </w:numPr>
        <w:pStyle w:val="Compact"/>
      </w:pPr>
      <w:r>
        <w:t xml:space="preserve">Consistent with personal informatics literature [70], participants anticipated reflecting on and seeking insights in personal data,</w:t>
      </w:r>
    </w:p>
    <w:p>
      <w:pPr>
        <w:numPr>
          <w:ilvl w:val="1"/>
          <w:numId w:val="1004"/>
        </w:numPr>
        <w:pStyle w:val="Compact"/>
      </w:pPr>
      <w:r>
        <w:t xml:space="preserve">not understandable</w:t>
      </w:r>
    </w:p>
    <w:p>
      <w:pPr>
        <w:numPr>
          <w:ilvl w:val="2"/>
          <w:numId w:val="1005"/>
        </w:numPr>
        <w:pStyle w:val="Compact"/>
      </w:pPr>
      <w:r>
        <w:t xml:space="preserve">In some cases, participants found that returned data was extensive, but excluded context that would give it meaning. P5 received data from a car insurance company that utilises a mobile app for the purpose of generating a driving score and reflected:</w:t>
      </w:r>
      <w:r>
        <w:t xml:space="preserve"> </w:t>
      </w:r>
      <w:r>
        <w:t xml:space="preserve">“</w:t>
      </w:r>
      <w:r>
        <w:t xml:space="preserve">I could see the data – it was the score that was weird for me. Like, it doesn’t tell you how it’s calculated.</w:t>
      </w:r>
      <w:r>
        <w:t xml:space="preserve">”</w:t>
      </w:r>
    </w:p>
    <w:p>
      <w:pPr>
        <w:numPr>
          <w:ilvl w:val="1"/>
          <w:numId w:val="1004"/>
        </w:numPr>
        <w:pStyle w:val="Compact"/>
      </w:pPr>
      <w:r>
        <w:t xml:space="preserve">Some participants argued that the data received was often not understandable or useable without tools that are designed to simplify or visualise that data</w:t>
      </w:r>
      <w:r>
        <w:t xml:space="preserve"> </w:t>
      </w:r>
      <w:r>
        <w:t xml:space="preserve">“</w:t>
      </w:r>
      <w:r>
        <w:t xml:space="preserve">for a non-techie person</w:t>
      </w:r>
      <w:r>
        <w:t xml:space="preserve">”</w:t>
      </w:r>
      <w:r>
        <w:t xml:space="preserve"> </w:t>
      </w:r>
      <w:r>
        <w:t xml:space="preserve">(P11).</w:t>
      </w:r>
    </w:p>
    <w:p>
      <w:pPr>
        <w:numPr>
          <w:ilvl w:val="1"/>
          <w:numId w:val="1004"/>
        </w:numPr>
        <w:pStyle w:val="Compact"/>
      </w:pPr>
      <w:r>
        <w:t xml:space="preserve">For example, P7 found some of her JSON data more understandable once it had been interpreted via jsonlint.com, an online formatter suggested by the researcher. P2 reasoned that data holders are using certain tools to understand and analyse data</w:t>
      </w:r>
      <w:r>
        <w:t xml:space="preserve"> </w:t>
      </w:r>
      <w:r>
        <w:t xml:space="preserve">“</w:t>
      </w:r>
      <w:r>
        <w:t xml:space="preserve">and they’re not just looking at a JSON file, so I would like to have the same visualisation [as them]</w:t>
      </w:r>
      <w:r>
        <w:t xml:space="preserve">”</w:t>
      </w:r>
      <w:r>
        <w:t xml:space="preserve">.</w:t>
      </w:r>
    </w:p>
    <w:p>
      <w:pPr>
        <w:numPr>
          <w:ilvl w:val="0"/>
          <w:numId w:val="1003"/>
        </w:numPr>
        <w:pStyle w:val="Compact"/>
      </w:pPr>
      <w:r>
        <w:t xml:space="preserve">need summaries</w:t>
      </w:r>
    </w:p>
    <w:p>
      <w:pPr>
        <w:numPr>
          <w:ilvl w:val="1"/>
          <w:numId w:val="1006"/>
        </w:numPr>
        <w:pStyle w:val="Compact"/>
      </w:pPr>
      <w:r>
        <w:t xml:space="preserve">Problems understanding and extracting value from data were exacerbated when large quantities of data were delivered. P1 compared the variation in quantities across responses as</w:t>
      </w:r>
      <w:r>
        <w:t xml:space="preserve"> </w:t>
      </w:r>
      <w:r>
        <w:t xml:space="preserve">“</w:t>
      </w:r>
      <w:r>
        <w:t xml:space="preserve">either like death by thirst or death by drowning – in this case it would be better to drown, but still not ideal</w:t>
      </w:r>
      <w:r>
        <w:t xml:space="preserve">”</w:t>
      </w:r>
      <w:r>
        <w:t xml:space="preserve">. Large quantities of data were harder to digest when presented using obscure formatting and proprietary codes. For P4, when examining data from Philips Hue, there was</w:t>
      </w:r>
      <w:r>
        <w:t xml:space="preserve"> </w:t>
      </w:r>
      <w:r>
        <w:t xml:space="preserve">“</w:t>
      </w:r>
      <w:r>
        <w:t xml:space="preserve">just so much of it that it’s impossible to know … you’d have to spend a few hours going through this and being like,</w:t>
      </w:r>
      <w:r>
        <w:t xml:space="preserve"> </w:t>
      </w:r>
      <w:r>
        <w:t xml:space="preserve">‘</w:t>
      </w:r>
      <w:r>
        <w:t xml:space="preserve">OK, what does that line mean, and that symbol, and that code?</w:t>
      </w:r>
      <w:r>
        <w:t xml:space="preserve">’</w:t>
      </w:r>
      <w:r>
        <w:t xml:space="preserve">”</w:t>
      </w:r>
      <w:r>
        <w:t xml:space="preserve">. Participants identified a need for summaries of their data and breakdowns of the data that had been returned. P1, for example, found that one data response was</w:t>
      </w:r>
      <w:r>
        <w:t xml:space="preserve"> </w:t>
      </w:r>
      <w:r>
        <w:t xml:space="preserve">“</w:t>
      </w:r>
      <w:r>
        <w:t xml:space="preserve">almost too much […] for a normal person to be able to process and understand what’s in there. It could do with a document detailing, like,</w:t>
      </w:r>
      <w:r>
        <w:t xml:space="preserve"> </w:t>
      </w:r>
      <w:r>
        <w:t xml:space="preserve">‘</w:t>
      </w:r>
      <w:r>
        <w:t xml:space="preserve">this is what is in here</w:t>
      </w:r>
      <w:r>
        <w:t xml:space="preserve">’</w:t>
      </w:r>
      <w:r>
        <w:t xml:space="preserve">.</w:t>
      </w:r>
      <w:r>
        <w:t xml:space="preserve">”</w:t>
      </w:r>
      <w:r>
        <w:t xml:space="preserve"> </w:t>
      </w:r>
      <w:r>
        <w:t xml:space="preserve">Similarly, P4 reflected that some of the received data</w:t>
      </w:r>
      <w:r>
        <w:t xml:space="preserve"> </w:t>
      </w:r>
      <w:r>
        <w:t xml:space="preserve">“</w:t>
      </w:r>
      <w:r>
        <w:t xml:space="preserve">could be valuable if you knew what the hell [was] in there</w:t>
      </w:r>
      <w:r>
        <w:t xml:space="preserve">”</w:t>
      </w:r>
      <w:r>
        <w:t xml:space="preserve">.</w:t>
      </w:r>
    </w:p>
    <w:p>
      <w:pPr>
        <w:numPr>
          <w:ilvl w:val="1"/>
          <w:numId w:val="1006"/>
        </w:numPr>
        <w:pStyle w:val="Compact"/>
      </w:pPr>
      <w:r>
        <w:t xml:space="preserve">as was the degree to which the data was accompanied by explanations, keys or summaries. The inconsistency in responses was noticed by P1, who expressed that</w:t>
      </w:r>
      <w:r>
        <w:t xml:space="preserve"> </w:t>
      </w:r>
      <w:r>
        <w:t xml:space="preserve">“</w:t>
      </w:r>
      <w:r>
        <w:t xml:space="preserve">it would be nice if these companies had a standardised model of how this information is presented to people, so it can be easily understood.</w:t>
      </w:r>
      <w:r>
        <w:t xml:space="preserve">”</w:t>
      </w:r>
    </w:p>
    <w:p>
      <w:pPr>
        <w:numPr>
          <w:ilvl w:val="0"/>
          <w:numId w:val="1003"/>
        </w:numPr>
        <w:pStyle w:val="Compact"/>
      </w:pPr>
      <w:r>
        <w:t xml:space="preserve">The value of data (period of time)</w:t>
      </w:r>
    </w:p>
    <w:p>
      <w:pPr>
        <w:numPr>
          <w:ilvl w:val="1"/>
          <w:numId w:val="1007"/>
        </w:numPr>
        <w:pStyle w:val="Compact"/>
      </w:pPr>
      <w:r>
        <w:t xml:space="preserve">Many of the other hopes, uses and plans identified by participants prior to the data requests related to the value that might be found within the data itself (see Table 5).</w:t>
      </w:r>
    </w:p>
    <w:p>
      <w:pPr>
        <w:numPr>
          <w:ilvl w:val="1"/>
          <w:numId w:val="1007"/>
        </w:numPr>
        <w:pStyle w:val="Compact"/>
      </w:pPr>
      <w:r>
        <w:t xml:space="preserve">Several participants intended to use data collected over time to better understand themselves and their habits. For example, P2 hoped that his data response would contain, or allow the production of, breakdowns and charts that would help him to learn about his food shopping habits. P10 was able to access details of the accumulation of her spending on micro-transactions on the mobile game Pokémon Go that had not been available to her through the interface of the app itself. P11 had hoped to be able to use train-ticket purchase data to see what he could derive about his journeys in terms of geography, cost, journey length, etc.</w:t>
      </w:r>
    </w:p>
    <w:p>
      <w:pPr>
        <w:numPr>
          <w:ilvl w:val="1"/>
          <w:numId w:val="1007"/>
        </w:numPr>
        <w:pStyle w:val="Compact"/>
      </w:pPr>
      <w:r>
        <w:t xml:space="preserve">Some participants did identify parts of their data that were meaningful, useful or otherwise significant. Data that spanned a period of time was considered particularly meaningful. Such historical data was particularly sought after as a means of remembering, with data potentially serving as a</w:t>
      </w:r>
      <w:r>
        <w:t xml:space="preserve"> </w:t>
      </w:r>
      <w:r>
        <w:t xml:space="preserve">“</w:t>
      </w:r>
      <w:r>
        <w:t xml:space="preserve">window into your past</w:t>
      </w:r>
      <w:r>
        <w:t xml:space="preserve">”</w:t>
      </w:r>
      <w:r>
        <w:t xml:space="preserve"> </w:t>
      </w:r>
      <w:r>
        <w:t xml:space="preserve">(P11). P5 saw value in perusing music-listening data</w:t>
      </w:r>
      <w:r>
        <w:t xml:space="preserve"> </w:t>
      </w:r>
      <w:r>
        <w:t xml:space="preserve">“</w:t>
      </w:r>
      <w:r>
        <w:t xml:space="preserve">just because it’s cool to look back on stuff that you’ve done and you don’t necessarily distinctly remember it</w:t>
      </w:r>
      <w:r>
        <w:t xml:space="preserve">”</w:t>
      </w:r>
      <w:r>
        <w:t xml:space="preserve">. P6 reflected on some of his data as</w:t>
      </w:r>
      <w:r>
        <w:t xml:space="preserve"> </w:t>
      </w:r>
      <w:r>
        <w:t xml:space="preserve">“</w:t>
      </w:r>
      <w:r>
        <w:t xml:space="preserve">a kind of personal history that has been quantified and sort of datafied</w:t>
      </w:r>
      <w:r>
        <w:t xml:space="preserve">”</w:t>
      </w:r>
      <w:r>
        <w:t xml:space="preserve">. For him, the value around such data is in the small details that form part of the context of certain life events:</w:t>
      </w:r>
    </w:p>
    <w:p>
      <w:pPr>
        <w:numPr>
          <w:ilvl w:val="1"/>
          <w:numId w:val="1007"/>
        </w:numPr>
        <w:pStyle w:val="Compact"/>
      </w:pPr>
      <w:r>
        <w:t xml:space="preserve">“</w:t>
      </w:r>
      <w:r>
        <w:t xml:space="preserve">I would like to […] build a picture, not just like,</w:t>
      </w:r>
      <w:r>
        <w:t xml:space="preserve"> </w:t>
      </w:r>
      <w:r>
        <w:t xml:space="preserve">‘</w:t>
      </w:r>
      <w:r>
        <w:t xml:space="preserve">I remember going to Reykjavik</w:t>
      </w:r>
      <w:r>
        <w:t xml:space="preserve">’</w:t>
      </w:r>
      <w:r>
        <w:t xml:space="preserve">, but if there’s other data around that time [I could] sort of paint a biography of myself</w:t>
      </w:r>
      <w:r>
        <w:t xml:space="preserve">”</w:t>
      </w:r>
      <w:r>
        <w:t xml:space="preserve"> </w:t>
      </w:r>
      <w:r>
        <w:t xml:space="preserve">– P6</w:t>
      </w:r>
    </w:p>
    <w:p>
      <w:pPr>
        <w:numPr>
          <w:ilvl w:val="1"/>
          <w:numId w:val="1007"/>
        </w:numPr>
        <w:pStyle w:val="Compact"/>
      </w:pPr>
      <w:r>
        <w:t xml:space="preserve">The length of time covered by a dataset also affords individuals with additional capabilities, such as the ability to capture trends and changes over time. The increased value of data covering a larger proportion of one’s lifetime was recognised by P11 when selecting organisations to request data from:</w:t>
      </w:r>
    </w:p>
    <w:p>
      <w:pPr>
        <w:numPr>
          <w:ilvl w:val="1"/>
          <w:numId w:val="1007"/>
        </w:numPr>
        <w:pStyle w:val="Compact"/>
      </w:pPr>
      <w:r>
        <w:t xml:space="preserve">“</w:t>
      </w:r>
      <w:r>
        <w:t xml:space="preserve">I would actually be interested in last.fm, partly because the data goes back to 2008 … Spotify only goes back about four or five years and not everything I listen to is on Spotify</w:t>
      </w:r>
      <w:r>
        <w:t xml:space="preserve">”</w:t>
      </w:r>
      <w:r>
        <w:t xml:space="preserve"> </w:t>
      </w:r>
      <w:r>
        <w:t xml:space="preserve">– P11</w:t>
      </w:r>
    </w:p>
    <w:bookmarkEnd w:id="49"/>
    <w:bookmarkStart w:id="50" w:name="unusable-data-formats"/>
    <w:p>
      <w:pPr>
        <w:pStyle w:val="Heading4"/>
      </w:pPr>
      <w:r>
        <w:rPr>
          <w:rStyle w:val="SectionNumber"/>
        </w:rPr>
        <w:t xml:space="preserve">1.4.3.2</w:t>
      </w:r>
      <w:r>
        <w:tab/>
      </w:r>
      <w:r>
        <w:t xml:space="preserve">Unusable Data Formats</w:t>
      </w:r>
    </w:p>
    <w:p>
      <w:pPr>
        <w:pStyle w:val="FirstParagraph"/>
      </w:pPr>
      <w:r>
        <w:t xml:space="preserve">Unusable Data Formats</w:t>
      </w:r>
    </w:p>
    <w:p>
      <w:pPr>
        <w:numPr>
          <w:ilvl w:val="0"/>
          <w:numId w:val="1008"/>
        </w:numPr>
        <w:pStyle w:val="Compact"/>
      </w:pPr>
      <w:r>
        <w:t xml:space="preserve">potential uses</w:t>
      </w:r>
    </w:p>
    <w:p>
      <w:pPr>
        <w:numPr>
          <w:ilvl w:val="1"/>
          <w:numId w:val="1009"/>
        </w:numPr>
        <w:pStyle w:val="Compact"/>
      </w:pPr>
      <w:r>
        <w:t xml:space="preserve">[from understanding -&gt; use] as well as putting data to practical uses such as budgeting, using it as an aid for remembering and archiving, or using the data for creative or fun purposes. In some cases, potential uses were difficult to predict, as there was some uncertainty about what data would be returned and what level of detail there would be. For example, P5 imagined creatively combining different datasets, but that this would depend on the data format returned. P4 was optimistic about building visualisations of Google data in this way, but uncertain on the detail:</w:t>
      </w:r>
    </w:p>
    <w:p>
      <w:pPr>
        <w:numPr>
          <w:ilvl w:val="1"/>
          <w:numId w:val="1009"/>
        </w:numPr>
        <w:pStyle w:val="Compact"/>
      </w:pPr>
      <w:r>
        <w:t xml:space="preserve">“</w:t>
      </w:r>
      <w:r>
        <w:t xml:space="preserve">I think … you could do some interesting mashups, but I don’t really know what with until I’ve got the data. It depends on the data; I’m sure there could be some cool uses of it</w:t>
      </w:r>
      <w:r>
        <w:t xml:space="preserve">”</w:t>
      </w:r>
      <w:r>
        <w:t xml:space="preserve"> </w:t>
      </w:r>
      <w:r>
        <w:t xml:space="preserve">– P4</w:t>
      </w:r>
    </w:p>
    <w:p>
      <w:pPr>
        <w:numPr>
          <w:ilvl w:val="0"/>
          <w:numId w:val="1008"/>
        </w:numPr>
        <w:pStyle w:val="Compact"/>
      </w:pPr>
      <w:r>
        <w:t xml:space="preserve">using the data impractical</w:t>
      </w:r>
    </w:p>
    <w:p>
      <w:pPr>
        <w:numPr>
          <w:ilvl w:val="1"/>
          <w:numId w:val="1010"/>
        </w:numPr>
        <w:pStyle w:val="Compact"/>
      </w:pPr>
      <w:r>
        <w:t xml:space="preserve">Participants also commented on the absence of machine-readable data, as in the case of P4, whose response from his Internet Service Provider included a Microsoft Word document with pasted images from an internal portal. In evaluating its usability and usefulness, he identified that</w:t>
      </w:r>
      <w:r>
        <w:t xml:space="preserve"> </w:t>
      </w:r>
      <w:r>
        <w:t xml:space="preserve">“</w:t>
      </w:r>
      <w:r>
        <w:t xml:space="preserve">it depends on what you want to get out of it, really. If you want to view the data they have about you, it’s quite usable. If you want to do something automated, then it’s not.</w:t>
      </w:r>
      <w:r>
        <w:t xml:space="preserve">”</w:t>
      </w:r>
    </w:p>
    <w:p>
      <w:pPr>
        <w:numPr>
          <w:ilvl w:val="1"/>
          <w:numId w:val="1010"/>
        </w:numPr>
        <w:pStyle w:val="Compact"/>
      </w:pPr>
      <w:r>
        <w:t xml:space="preserve">In some cases, data was considered to be usable, but the lack of explanation or guidance required in order to identify and access the value in their data was problematic. In the words of P5:</w:t>
      </w:r>
    </w:p>
    <w:p>
      <w:pPr>
        <w:numPr>
          <w:ilvl w:val="1"/>
          <w:numId w:val="1010"/>
        </w:numPr>
        <w:pStyle w:val="Compact"/>
      </w:pPr>
      <w:r>
        <w:t xml:space="preserve">“</w:t>
      </w:r>
      <w:r>
        <w:t xml:space="preserve">They did give me the data, but not how it fitted together. It’s like being given the bricks to a house, and then they’re like</w:t>
      </w:r>
      <w:r>
        <w:t xml:space="preserve"> </w:t>
      </w:r>
      <w:r>
        <w:t xml:space="preserve">‘</w:t>
      </w:r>
      <w:r>
        <w:t xml:space="preserve">Here’s your house</w:t>
      </w:r>
      <w:r>
        <w:t xml:space="preserve">’</w:t>
      </w:r>
      <w:r>
        <w:t xml:space="preserve">. It doesn’t really mean anything when it’s just bricks, if you don’t know how to put it together.</w:t>
      </w:r>
      <w:r>
        <w:t xml:space="preserve">”</w:t>
      </w:r>
      <w:r>
        <w:t xml:space="preserve"> </w:t>
      </w:r>
      <w:r>
        <w:t xml:space="preserve">– P5</w:t>
      </w:r>
    </w:p>
    <w:p>
      <w:pPr>
        <w:numPr>
          <w:ilvl w:val="0"/>
          <w:numId w:val="1008"/>
        </w:numPr>
        <w:pStyle w:val="Compact"/>
      </w:pPr>
      <w:r>
        <w:t xml:space="preserve">varied formats, not understandable or useful</w:t>
      </w:r>
    </w:p>
    <w:p>
      <w:pPr>
        <w:numPr>
          <w:ilvl w:val="1"/>
          <w:numId w:val="1011"/>
        </w:numPr>
        <w:pStyle w:val="Compact"/>
      </w:pPr>
      <w:r>
        <w:t xml:space="preserve">Once data was received, participants struggled to interpret and understand it to a sufficient extent to be able to identify the useful data or meaningful information they had hoped for. Returned data formats and response structure were extremely varied,</w:t>
      </w:r>
    </w:p>
    <w:p>
      <w:pPr>
        <w:numPr>
          <w:ilvl w:val="1"/>
          <w:numId w:val="1011"/>
        </w:numPr>
        <w:pStyle w:val="Compact"/>
      </w:pPr>
      <w:r>
        <w:t xml:space="preserve">However, different recipients with different goals and technical proficiency would need data in different structures and formats:</w:t>
      </w:r>
    </w:p>
    <w:p>
      <w:pPr>
        <w:numPr>
          <w:ilvl w:val="1"/>
          <w:numId w:val="1011"/>
        </w:numPr>
        <w:pStyle w:val="Compact"/>
      </w:pPr>
      <w:r>
        <w:t xml:space="preserve">“</w:t>
      </w:r>
      <w:r>
        <w:t xml:space="preserve">They have provided it in formats where I can see that, if I were a developer, I could do things with it, […] but if I was not that sort of person, it might be quite difficult to understand</w:t>
      </w:r>
      <w:r>
        <w:t xml:space="preserve">”</w:t>
      </w:r>
      <w:r>
        <w:t xml:space="preserve"> </w:t>
      </w:r>
      <w:r>
        <w:t xml:space="preserve">– P7</w:t>
      </w:r>
    </w:p>
    <w:p>
      <w:pPr>
        <w:numPr>
          <w:ilvl w:val="1"/>
          <w:numId w:val="1011"/>
        </w:numPr>
        <w:pStyle w:val="Compact"/>
      </w:pPr>
      <w:r>
        <w:t xml:space="preserve">P10, who received a response in JSON format, was critical of this, because</w:t>
      </w:r>
      <w:r>
        <w:t xml:space="preserve"> </w:t>
      </w:r>
      <w:r>
        <w:t xml:space="preserve">“</w:t>
      </w:r>
      <w:r>
        <w:t xml:space="preserve">for normal people who don’t understand programming, I feel it’s just, there’s no use at all</w:t>
      </w:r>
      <w:r>
        <w:t xml:space="preserve">”</w:t>
      </w:r>
      <w:r>
        <w:t xml:space="preserve">. A further barrier was the inclusion of information that is meaningful to the data holder but requires further explanation, such as the inclusion of a screenshot of an internal system in one of P11’s responses that was</w:t>
      </w:r>
      <w:r>
        <w:t xml:space="preserve"> </w:t>
      </w:r>
      <w:r>
        <w:t xml:space="preserve">“</w:t>
      </w:r>
      <w:r>
        <w:t xml:space="preserve">completely non-understandable</w:t>
      </w:r>
      <w:r>
        <w:t xml:space="preserve">”</w:t>
      </w:r>
      <w:r>
        <w:t xml:space="preserve">. He went on to question what it can and should mean for data to be usable, as</w:t>
      </w:r>
      <w:r>
        <w:t xml:space="preserve"> </w:t>
      </w:r>
      <w:r>
        <w:t xml:space="preserve">“</w:t>
      </w:r>
      <w:r>
        <w:t xml:space="preserve">for me, as a technical person, having a CSV of data is quite useful, potentially, but actually what can I do with that if it’s Tesco’s internal systems data?</w:t>
      </w:r>
      <w:r>
        <w:t xml:space="preserve">”</w:t>
      </w:r>
      <w:r>
        <w:t xml:space="preserve">.</w:t>
      </w:r>
    </w:p>
    <w:bookmarkEnd w:id="50"/>
    <w:bookmarkStart w:id="51"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Liability, Uncontrolled Data</w:t>
      </w:r>
    </w:p>
    <w:p>
      <w:pPr>
        <w:numPr>
          <w:ilvl w:val="0"/>
          <w:numId w:val="1012"/>
        </w:numPr>
        <w:pStyle w:val="Compact"/>
      </w:pPr>
      <w:r>
        <w:t xml:space="preserve">want to delete</w:t>
      </w:r>
    </w:p>
    <w:p>
      <w:pPr>
        <w:numPr>
          <w:ilvl w:val="1"/>
          <w:numId w:val="1013"/>
        </w:numPr>
        <w:pStyle w:val="Compact"/>
      </w:pPr>
      <w:r>
        <w:t xml:space="preserve">Others wanted to examine the nature of retention and deletion of data, such as P10, talking about dating app Bumble:</w:t>
      </w:r>
    </w:p>
    <w:p>
      <w:pPr>
        <w:numPr>
          <w:ilvl w:val="1"/>
          <w:numId w:val="1013"/>
        </w:numPr>
        <w:pStyle w:val="Compact"/>
      </w:pPr>
      <w:r>
        <w:t xml:space="preserve">“</w:t>
      </w:r>
      <w:r>
        <w:t xml:space="preserve">Since I found my partner […] I deleted my account and I’ve been wondering,</w:t>
      </w:r>
      <w:r>
        <w:t xml:space="preserve"> </w:t>
      </w:r>
      <w:r>
        <w:t xml:space="preserve">‘</w:t>
      </w:r>
      <w:r>
        <w:t xml:space="preserve">Are they still keeping my data at the back?</w:t>
      </w:r>
      <w:r>
        <w:t xml:space="preserve">’</w:t>
      </w:r>
      <w:r>
        <w:t xml:space="preserve">”</w:t>
      </w:r>
      <w:r>
        <w:t xml:space="preserve"> </w:t>
      </w:r>
      <w:r>
        <w:t xml:space="preserve">–P10</w:t>
      </w:r>
    </w:p>
    <w:p>
      <w:pPr>
        <w:numPr>
          <w:ilvl w:val="1"/>
          <w:numId w:val="1013"/>
        </w:numPr>
        <w:pStyle w:val="Compact"/>
      </w:pPr>
      <w:r>
        <w:t xml:space="preserve">In some cases, participants indicated their existing intention to have data deleted, with GDPR expected to play a role in the enforcement or verification of that deletion – particularly in the case of P10, who wished to ensure the permanent deletion of her Bumble and Instagram accounts. In others, deletion was seen as an important option, especially when the holding of sensitive data was considered a liability that was tolerated only in return for an actively-used service:</w:t>
      </w:r>
    </w:p>
    <w:p>
      <w:pPr>
        <w:numPr>
          <w:ilvl w:val="1"/>
          <w:numId w:val="1013"/>
        </w:numPr>
        <w:pStyle w:val="Compact"/>
      </w:pPr>
      <w:r>
        <w:t xml:space="preserve">“</w:t>
      </w:r>
      <w:r>
        <w:t xml:space="preserve">I now use a different one, but I used, for about a year, an app to track my menstrual cycle. [It was my] main contraception method, so that’s things that this company probably has. Now that I’m not using it any more, I don’t know if they delete the things or not</w:t>
      </w:r>
      <w:r>
        <w:t xml:space="preserve">”</w:t>
      </w:r>
      <w:r>
        <w:t xml:space="preserve"> </w:t>
      </w:r>
      <w:r>
        <w:t xml:space="preserve">– P8</w:t>
      </w:r>
    </w:p>
    <w:p>
      <w:pPr>
        <w:numPr>
          <w:ilvl w:val="0"/>
          <w:numId w:val="1012"/>
        </w:numPr>
        <w:pStyle w:val="Compact"/>
      </w:pPr>
      <w:r>
        <w:t xml:space="preserve">liability/can’t control</w:t>
      </w:r>
    </w:p>
    <w:p>
      <w:pPr>
        <w:numPr>
          <w:ilvl w:val="1"/>
          <w:numId w:val="1014"/>
        </w:numPr>
        <w:pStyle w:val="Compact"/>
      </w:pPr>
      <w:r>
        <w:t xml:space="preserve">Participants also considered the increased value of historical data from the perspective of the data holder. For example, P11 saw mundane data collected over a long period as a liability:</w:t>
      </w:r>
      <w:r>
        <w:t xml:space="preserve"> </w:t>
      </w:r>
      <w:r>
        <w:t xml:space="preserve">“</w:t>
      </w:r>
      <w:r>
        <w:t xml:space="preserve">10 years of worth of shopping records … how much would that be worth to a health insurance company, and would they succumb to the temptation to sell that on?</w:t>
      </w:r>
      <w:r>
        <w:t xml:space="preserve">”</w:t>
      </w:r>
      <w:r>
        <w:t xml:space="preserve">. P10, a Chinese citizen, preferred that data not be retained for long periods, as</w:t>
      </w:r>
      <w:r>
        <w:t xml:space="preserve"> </w:t>
      </w:r>
      <w:r>
        <w:t xml:space="preserve">“</w:t>
      </w:r>
      <w:r>
        <w:t xml:space="preserve">in China, [there is a trend] that as soon as someone becomes famous, people begin digging [through] all their past experiences.</w:t>
      </w:r>
      <w:r>
        <w:t xml:space="preserve">”</w:t>
      </w:r>
    </w:p>
    <w:p>
      <w:pPr>
        <w:numPr>
          <w:ilvl w:val="1"/>
          <w:numId w:val="1014"/>
        </w:numPr>
        <w:pStyle w:val="Compact"/>
      </w:pPr>
      <w:r>
        <w:t xml:space="preserve">Preference for short data retention appeared as a recurring notion. With data holders collecting and retaining data for specified purposes relating to the delivery of services, participants questioned data keeping practices. For example P11 identified that</w:t>
      </w:r>
      <w:r>
        <w:t xml:space="preserve"> </w:t>
      </w:r>
      <w:r>
        <w:t xml:space="preserve">“</w:t>
      </w:r>
      <w:r>
        <w:t xml:space="preserve">the thing that kind of concerns me about that is that I haven’t used Tesco online for years, like at least four or five years I think, so why are they hanging on to my IP address from five years ago?</w:t>
      </w:r>
      <w:r>
        <w:t xml:space="preserve">”</w:t>
      </w:r>
      <w:r>
        <w:t xml:space="preserve">. Most participants described the ability to delete or enforce the deletion of their data as having control over it.</w:t>
      </w:r>
    </w:p>
    <w:p>
      <w:pPr>
        <w:numPr>
          <w:ilvl w:val="0"/>
          <w:numId w:val="1012"/>
        </w:numPr>
        <w:pStyle w:val="Compact"/>
      </w:pPr>
      <w:r>
        <w:t xml:space="preserve">data checking for control</w:t>
      </w:r>
    </w:p>
    <w:p>
      <w:pPr>
        <w:numPr>
          <w:ilvl w:val="1"/>
          <w:numId w:val="1015"/>
        </w:numPr>
        <w:pStyle w:val="Compact"/>
      </w:pPr>
      <w:r>
        <w:t xml:space="preserve">Participants foresaw potential uses of returned data to protect their data interests, including checking the accuracy, security and breadth of collected data to flag unforeseen concerns. Many participants hoped to make changes in data habits, privacy settings and choice of service provider following their anticipated learning from making a GDPR request, that might lead to an increased sense of individual safety and data control:</w:t>
      </w:r>
    </w:p>
    <w:p>
      <w:pPr>
        <w:numPr>
          <w:ilvl w:val="2"/>
          <w:numId w:val="1016"/>
        </w:numPr>
        <w:pStyle w:val="Compact"/>
      </w:pPr>
      <w:r>
        <w:t xml:space="preserve">“</w:t>
      </w:r>
      <w:r>
        <w:t xml:space="preserve">I want to understand how much they’re keeping. And what they’re doing with it. I’m hoping that by knowing that, I might change my behaviour about all the data I accidentally create.</w:t>
      </w:r>
      <w:r>
        <w:t xml:space="preserve">”</w:t>
      </w:r>
      <w:r>
        <w:t xml:space="preserve"> </w:t>
      </w:r>
      <w:r>
        <w:t xml:space="preserve">– P7</w:t>
      </w:r>
    </w:p>
    <w:p>
      <w:pPr>
        <w:numPr>
          <w:ilvl w:val="1"/>
          <w:numId w:val="1015"/>
        </w:numPr>
        <w:pStyle w:val="Compact"/>
      </w:pPr>
      <w:r>
        <w:t xml:space="preserve">However, without better data legibility and explanations, or clear pathways to deleting data, the ability to make such choices was hindered. E.g., P7 remarked:</w:t>
      </w:r>
    </w:p>
    <w:p>
      <w:pPr>
        <w:numPr>
          <w:ilvl w:val="2"/>
          <w:numId w:val="1017"/>
        </w:numPr>
        <w:pStyle w:val="Compact"/>
      </w:pPr>
      <w:r>
        <w:t xml:space="preserve">“</w:t>
      </w:r>
      <w:r>
        <w:t xml:space="preserve">I guess that’s one of …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t xml:space="preserve">”</w:t>
      </w:r>
      <w:r>
        <w:t xml:space="preserve"> </w:t>
      </w:r>
      <w:r>
        <w:t xml:space="preserve">– P7</w:t>
      </w:r>
    </w:p>
    <w:bookmarkEnd w:id="51"/>
    <w:bookmarkEnd w:id="52"/>
    <w:bookmarkStart w:id="56" w:name="Xb9286748a81516bb24ff530276e80e24f849419"/>
    <w:p>
      <w:pPr>
        <w:pStyle w:val="Heading3"/>
      </w:pPr>
      <w:r>
        <w:rPr>
          <w:rStyle w:val="SectionNumber"/>
        </w:rPr>
        <w:t xml:space="preserve">1.4.4</w:t>
      </w:r>
      <w:r>
        <w:tab/>
      </w:r>
      <w:r>
        <w:t xml:space="preserve">Theme 3: Poor GDPR Handling Can Damage the Fragile Trust Relationship</w:t>
      </w:r>
    </w:p>
    <w:bookmarkStart w:id="53"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Data Holders Enforce an Uneasy Trust</w:t>
      </w:r>
    </w:p>
    <w:p>
      <w:pPr>
        <w:numPr>
          <w:ilvl w:val="0"/>
          <w:numId w:val="1018"/>
        </w:numPr>
        <w:pStyle w:val="Compact"/>
      </w:pPr>
      <w:r>
        <w:t xml:space="preserve">Discomfort</w:t>
      </w:r>
    </w:p>
    <w:p>
      <w:pPr>
        <w:numPr>
          <w:ilvl w:val="1"/>
          <w:numId w:val="1019"/>
        </w:numPr>
        <w:pStyle w:val="Compact"/>
      </w:pPr>
      <w:r>
        <w:t xml:space="preserve">[lead in via wanting to control because of enforced trust]</w:t>
      </w:r>
    </w:p>
    <w:p>
      <w:pPr>
        <w:numPr>
          <w:ilvl w:val="1"/>
          <w:numId w:val="1019"/>
        </w:numPr>
        <w:pStyle w:val="Compact"/>
      </w:pPr>
      <w:r>
        <w:t xml:space="preserve">A significant proportion of discussions explored participants’ views on their relationships with providers. Participants were found to be uncomfortable about data collection, especially because of a sense (see section 5.1) of being in the dark about current data practices:</w:t>
      </w:r>
    </w:p>
    <w:p>
      <w:pPr>
        <w:numPr>
          <w:ilvl w:val="1"/>
          <w:numId w:val="1019"/>
        </w:numPr>
        <w:pStyle w:val="Compact"/>
      </w:pPr>
      <w:r>
        <w:t xml:space="preserve">“</w:t>
      </w:r>
      <w:r>
        <w:t xml:space="preserve">I’m curious… I wonder what they’ve got on me. […] If it’s anything other than the barest minimum that is necessary for them to do their job […] then I get creeped out by that.</w:t>
      </w:r>
      <w:r>
        <w:t xml:space="preserve">”</w:t>
      </w:r>
      <w:r>
        <w:t xml:space="preserve"> </w:t>
      </w:r>
      <w:r>
        <w:t xml:space="preserve">– P11</w:t>
      </w:r>
    </w:p>
    <w:p>
      <w:pPr>
        <w:numPr>
          <w:ilvl w:val="1"/>
          <w:numId w:val="1019"/>
        </w:numPr>
        <w:pStyle w:val="Compact"/>
      </w:pPr>
      <w:r>
        <w:t xml:space="preserve">Participants felt most uneasy about the amount of</w:t>
      </w:r>
      <w:r>
        <w:t xml:space="preserve"> </w:t>
      </w:r>
      <w:r>
        <w:t xml:space="preserve">“</w:t>
      </w:r>
      <w:r>
        <w:t xml:space="preserve">intimate</w:t>
      </w:r>
      <w:r>
        <w:t xml:space="preserve">”</w:t>
      </w:r>
      <w:r>
        <w:t xml:space="preserve"> </w:t>
      </w:r>
      <w:r>
        <w:t xml:space="preserve">(P1,P2) data that providers collect:</w:t>
      </w:r>
    </w:p>
    <w:p>
      <w:pPr>
        <w:numPr>
          <w:ilvl w:val="1"/>
          <w:numId w:val="1019"/>
        </w:numPr>
        <w:pStyle w:val="Compact"/>
      </w:pPr>
      <w:r>
        <w:t xml:space="preserve">“</w:t>
      </w:r>
      <w:r>
        <w:t xml:space="preserve">I don’t know how comfortable I am with Facebook having as much information as they do about my social circles.</w:t>
      </w:r>
      <w:r>
        <w:t xml:space="preserve">”</w:t>
      </w:r>
      <w:r>
        <w:t xml:space="preserve"> </w:t>
      </w:r>
      <w:r>
        <w:t xml:space="preserve">– P1</w:t>
      </w:r>
    </w:p>
    <w:p>
      <w:pPr>
        <w:numPr>
          <w:ilvl w:val="1"/>
          <w:numId w:val="1019"/>
        </w:numPr>
        <w:pStyle w:val="Compact"/>
      </w:pPr>
      <w:r>
        <w:t xml:space="preserve">P2 said he feels</w:t>
      </w:r>
      <w:r>
        <w:t xml:space="preserve"> </w:t>
      </w:r>
      <w:r>
        <w:t xml:space="preserve">“</w:t>
      </w:r>
      <w:r>
        <w:t xml:space="preserve">quite vulnerable</w:t>
      </w:r>
      <w:r>
        <w:t xml:space="preserve">”</w:t>
      </w:r>
      <w:r>
        <w:t xml:space="preserve"> </w:t>
      </w:r>
      <w:r>
        <w:t xml:space="preserve">that his Google search terms</w:t>
      </w:r>
      <w:r>
        <w:t xml:space="preserve"> </w:t>
      </w:r>
      <w:r>
        <w:t xml:space="preserve">“</w:t>
      </w:r>
      <w:r>
        <w:t xml:space="preserve">say pretty much everything you have done… the most intimate things you were thinking about</w:t>
      </w:r>
      <w:r>
        <w:t xml:space="preserve">”</w:t>
      </w:r>
      <w:r>
        <w:t xml:space="preserve">. It is clear that data sacrifice is only tolerable up to certain limits: P10 said of Niantic that</w:t>
      </w:r>
      <w:r>
        <w:t xml:space="preserve"> </w:t>
      </w:r>
      <w:r>
        <w:t xml:space="preserve">“</w:t>
      </w:r>
      <w:r>
        <w:t xml:space="preserve">as long as they don’t sell where I live or my daily routine, I’m fine</w:t>
      </w:r>
      <w:r>
        <w:t xml:space="preserve">”</w:t>
      </w:r>
      <w:r>
        <w:t xml:space="preserve"> </w:t>
      </w:r>
      <w:r>
        <w:t xml:space="preserve">and this motivated her to want to check how her data was being used.</w:t>
      </w:r>
    </w:p>
    <w:p>
      <w:pPr>
        <w:numPr>
          <w:ilvl w:val="1"/>
          <w:numId w:val="1019"/>
        </w:numPr>
        <w:pStyle w:val="Compact"/>
      </w:pPr>
      <w:r>
        <w:t xml:space="preserve">P11 singled out ISPs as having the potential to track everything their customers look at online, noting that</w:t>
      </w:r>
      <w:r>
        <w:t xml:space="preserve"> </w:t>
      </w:r>
      <w:r>
        <w:t xml:space="preserve">“</w:t>
      </w:r>
      <w:r>
        <w:t xml:space="preserve">I don’t think you’ve got much choice about that.</w:t>
      </w:r>
      <w:r>
        <w:t xml:space="preserve">”</w:t>
      </w:r>
    </w:p>
    <w:p>
      <w:pPr>
        <w:numPr>
          <w:ilvl w:val="0"/>
          <w:numId w:val="1018"/>
        </w:numPr>
        <w:pStyle w:val="Compact"/>
      </w:pPr>
      <w:r>
        <w:t xml:space="preserve">potential for abuse</w:t>
      </w:r>
    </w:p>
    <w:p>
      <w:pPr>
        <w:numPr>
          <w:ilvl w:val="1"/>
          <w:numId w:val="1020"/>
        </w:numPr>
        <w:pStyle w:val="Compact"/>
      </w:pPr>
      <w:r>
        <w:t xml:space="preserve">Surveillance and manipulation</w:t>
      </w:r>
    </w:p>
    <w:p>
      <w:pPr>
        <w:numPr>
          <w:ilvl w:val="1"/>
          <w:numId w:val="1020"/>
        </w:numPr>
        <w:pStyle w:val="Compact"/>
      </w:pPr>
      <w:r>
        <w:t xml:space="preserve">Participants identified a range of concerns relating to an association of mass data collection [with power]. P1 noted that companies that</w:t>
      </w:r>
      <w:r>
        <w:t xml:space="preserve"> </w:t>
      </w:r>
      <w:r>
        <w:t xml:space="preserve">“</w:t>
      </w:r>
      <w:r>
        <w:t xml:space="preserve">know a lot about everyone will inherently be able to have power either through persuasion or manipulation</w:t>
      </w:r>
      <w:r>
        <w:t xml:space="preserve">”</w:t>
      </w:r>
      <w:r>
        <w:t xml:space="preserve">. In P6’s view, Facebook used their knowledge of their users’ friendships and relationships to</w:t>
      </w:r>
      <w:r>
        <w:t xml:space="preserve"> </w:t>
      </w:r>
      <w:r>
        <w:t xml:space="preserve">“</w:t>
      </w:r>
      <w:r>
        <w:t xml:space="preserve">hook your attention</w:t>
      </w:r>
      <w:r>
        <w:t xml:space="preserve">”</w:t>
      </w:r>
      <w:r>
        <w:t xml:space="preserve"> </w:t>
      </w:r>
      <w:r>
        <w:t xml:space="preserve">and prevent users deactivating accounts in a manner that was</w:t>
      </w:r>
      <w:r>
        <w:t xml:space="preserve"> </w:t>
      </w:r>
      <w:r>
        <w:t xml:space="preserve">“</w:t>
      </w:r>
      <w:r>
        <w:t xml:space="preserve">disingenuous</w:t>
      </w:r>
      <w:r>
        <w:t xml:space="preserve">”</w:t>
      </w:r>
      <w:r>
        <w:t xml:space="preserve">. Participants also felt that some data holders held so much data that it had begun to resemble surveillance, such as in the case of P1, who used</w:t>
      </w:r>
      <w:r>
        <w:t xml:space="preserve"> </w:t>
      </w:r>
      <w:r>
        <w:t xml:space="preserve">“</w:t>
      </w:r>
      <w:r>
        <w:t xml:space="preserve">an absurd amount of [Google’s] services</w:t>
      </w:r>
      <w:r>
        <w:t xml:space="preserve">”</w:t>
      </w:r>
      <w:r>
        <w:t xml:space="preserve"> </w:t>
      </w:r>
      <w:r>
        <w:t xml:space="preserve">and reflected that</w:t>
      </w:r>
      <w:r>
        <w:t xml:space="preserve"> </w:t>
      </w:r>
      <w:r>
        <w:t xml:space="preserve">“</w:t>
      </w:r>
      <w:r>
        <w:t xml:space="preserve">if I’m driving somewhere, I’ve got Google Maps open, so they know exactly where I’m going, they know how fast I’m going, they know what I’m listening to while I’m driving</w:t>
      </w:r>
      <w:r>
        <w:t xml:space="preserve">”</w:t>
      </w:r>
      <w:r>
        <w:t xml:space="preserve">. Participants feared this kind of deep knowledge of individuals could be</w:t>
      </w:r>
      <w:r>
        <w:t xml:space="preserve"> </w:t>
      </w:r>
      <w:r>
        <w:t xml:space="preserve">“</w:t>
      </w:r>
      <w:r>
        <w:t xml:space="preserve">used against</w:t>
      </w:r>
      <w:r>
        <w:t xml:space="preserve">”</w:t>
      </w:r>
      <w:r>
        <w:t xml:space="preserve"> </w:t>
      </w:r>
      <w:r>
        <w:t xml:space="preserve">them (P2). P11 felt that Apple had enough data to</w:t>
      </w:r>
      <w:r>
        <w:t xml:space="preserve"> </w:t>
      </w:r>
      <w:r>
        <w:t xml:space="preserve">“</w:t>
      </w:r>
      <w:r>
        <w:t xml:space="preserve">screw me over</w:t>
      </w:r>
      <w:r>
        <w:t xml:space="preserve">”</w:t>
      </w:r>
      <w:r>
        <w:t xml:space="preserve">, and P5 considered her car insurer Direct Line to be able to use her data to</w:t>
      </w:r>
      <w:r>
        <w:t xml:space="preserve"> </w:t>
      </w:r>
      <w:r>
        <w:t xml:space="preserve">“</w:t>
      </w:r>
      <w:r>
        <w:t xml:space="preserve">judge</w:t>
      </w:r>
      <w:r>
        <w:t xml:space="preserve">”</w:t>
      </w:r>
      <w:r>
        <w:t xml:space="preserve"> </w:t>
      </w:r>
      <w:r>
        <w:t xml:space="preserve">her, and that</w:t>
      </w:r>
      <w:r>
        <w:t xml:space="preserve"> </w:t>
      </w:r>
      <w:r>
        <w:t xml:space="preserve">“</w:t>
      </w:r>
      <w:r>
        <w:t xml:space="preserve">it’s not like I can contest the data and say</w:t>
      </w:r>
      <w:r>
        <w:t xml:space="preserve"> </w:t>
      </w:r>
      <w:r>
        <w:t xml:space="preserve">‘</w:t>
      </w:r>
      <w:r>
        <w:t xml:space="preserve">Actually, no, I disagree</w:t>
      </w:r>
      <w:r>
        <w:t xml:space="preserve">’</w:t>
      </w:r>
      <w:r>
        <w:t xml:space="preserve">.</w:t>
      </w:r>
      <w:r>
        <w:t xml:space="preserve">”</w:t>
      </w:r>
      <w:r>
        <w:t xml:space="preserve">  In a more extreme illustration, P10 shared her fears that data collected by WeChat and Weibu (the Chinese equivalents of Facebook Messenger and Twitter) would be at risk of abuse by the Chinese government.</w:t>
      </w:r>
    </w:p>
    <w:p>
      <w:pPr>
        <w:numPr>
          <w:ilvl w:val="0"/>
          <w:numId w:val="1018"/>
        </w:numPr>
        <w:pStyle w:val="Compact"/>
      </w:pPr>
      <w:r>
        <w:t xml:space="preserve">Data Holding (and denying access) is Power</w:t>
      </w:r>
    </w:p>
    <w:p>
      <w:pPr>
        <w:numPr>
          <w:ilvl w:val="1"/>
          <w:numId w:val="1021"/>
        </w:numPr>
        <w:pStyle w:val="Compact"/>
      </w:pPr>
      <w:r>
        <w:t xml:space="preserve">[potential =&gt; power] Participants widely equated the holding of data as a source of power: P7 felt that to have control you need choice and said that</w:t>
      </w:r>
      <w:r>
        <w:t xml:space="preserve"> </w:t>
      </w:r>
      <w:r>
        <w:t xml:space="preserve">“</w:t>
      </w:r>
      <w:r>
        <w:t xml:space="preserve">when I think about other people having my data […] the control isn’t sitting with me.</w:t>
      </w:r>
      <w:r>
        <w:t xml:space="preserve">”</w:t>
      </w:r>
      <w:r>
        <w:t xml:space="preserve"> </w:t>
      </w:r>
      <w:r>
        <w:t xml:space="preserve">The ability of data holders to limit access to one’s data is also viewed as an indicator of their power: P1 said that</w:t>
      </w:r>
      <w:r>
        <w:t xml:space="preserve"> </w:t>
      </w:r>
      <w:r>
        <w:t xml:space="preserve">“</w:t>
      </w:r>
      <w:r>
        <w:t xml:space="preserve">If you’re not getting what you perceive to be yours back in completion then you’re not in control of your own data and you have fairly little power over it.</w:t>
      </w:r>
      <w:r>
        <w:t xml:space="preserve">”</w:t>
      </w:r>
      <w:r>
        <w:t xml:space="preserve"> </w:t>
      </w:r>
      <w:r>
        <w:t xml:space="preserve">When asked to define power in the context of data, P8’s comments echoed prior research describing data as a proxy for direct involvement [18]:</w:t>
      </w:r>
    </w:p>
    <w:p>
      <w:pPr>
        <w:numPr>
          <w:ilvl w:val="1"/>
          <w:numId w:val="1021"/>
        </w:numPr>
        <w:pStyle w:val="Compact"/>
      </w:pPr>
      <w:r>
        <w:t xml:space="preserve">“</w:t>
      </w:r>
      <w:r>
        <w:t xml:space="preserve">For me to have power over my data, I think is a fair and normal thing. But for a company to have power over [my] data means that it’s basically a proxy to have power over me.</w:t>
      </w:r>
      <w:r>
        <w:t xml:space="preserve">”</w:t>
      </w:r>
    </w:p>
    <w:p>
      <w:pPr>
        <w:numPr>
          <w:ilvl w:val="1"/>
          <w:numId w:val="1021"/>
        </w:numPr>
        <w:pStyle w:val="Compact"/>
      </w:pPr>
      <w:r>
        <w:t xml:space="preserve">The notion of power through data was reflected in participants’ evaluations of power balance: in 69% of relationships participants felt that the data holder had more power than them (rising to 74% after GDPR), whereas in only 17% of cases (unchanged by GDPR) did participants feel they had more power.</w:t>
      </w:r>
    </w:p>
    <w:p>
      <w:pPr>
        <w:numPr>
          <w:ilvl w:val="1"/>
          <w:numId w:val="1021"/>
        </w:numPr>
        <w:pStyle w:val="Compact"/>
      </w:pPr>
      <w:r>
        <w:t xml:space="preserve">However, P10 was critical of Niantic’s use of in-game benefits as leverage for continued access to users’ location data, as</w:t>
      </w:r>
      <w:r>
        <w:t xml:space="preserve"> </w:t>
      </w:r>
      <w:r>
        <w:t xml:space="preserve">“</w:t>
      </w:r>
      <w:r>
        <w:t xml:space="preserve">they pressure you into that [and] you don’t want to lose out</w:t>
      </w:r>
      <w:r>
        <w:t xml:space="preserve">”</w:t>
      </w:r>
      <w:r>
        <w:t xml:space="preserve">. Multiple participants spoke of such pressure to share data in order to access services or features, and the sense of having no choice.</w:t>
      </w:r>
    </w:p>
    <w:p>
      <w:pPr>
        <w:numPr>
          <w:ilvl w:val="0"/>
          <w:numId w:val="1018"/>
        </w:numPr>
        <w:pStyle w:val="Compact"/>
      </w:pPr>
      <w:r>
        <w:t xml:space="preserve">Sacrifice is required, there is no choice</w:t>
      </w:r>
    </w:p>
    <w:p>
      <w:pPr>
        <w:numPr>
          <w:ilvl w:val="1"/>
          <w:numId w:val="1022"/>
        </w:numPr>
        <w:pStyle w:val="Compact"/>
      </w:pPr>
      <w:r>
        <w:t xml:space="preserve">[no choice =&gt; sacrifice required] All 11 participants expressed the idea that the sacrifice of data is something that they have grown to tolerate in exchange for some benefit. P6 tolerates data collection by travel agents because</w:t>
      </w:r>
      <w:r>
        <w:t xml:space="preserve"> </w:t>
      </w:r>
      <w:r>
        <w:t xml:space="preserve">“</w:t>
      </w:r>
      <w:r>
        <w:t xml:space="preserve">they might help me pick a better deal next year.</w:t>
      </w:r>
      <w:r>
        <w:t xml:space="preserve">”</w:t>
      </w:r>
      <w:r>
        <w:t xml:space="preserve"> </w:t>
      </w:r>
      <w:r>
        <w:t xml:space="preserve">P11 said he was happy for Tesco to collect data in order to</w:t>
      </w:r>
      <w:r>
        <w:t xml:space="preserve"> </w:t>
      </w:r>
      <w:r>
        <w:t xml:space="preserve">“</w:t>
      </w:r>
      <w:r>
        <w:t xml:space="preserve">profile me to try to sell me more cheese, fine, whatever,</w:t>
      </w:r>
      <w:r>
        <w:t xml:space="preserve">”</w:t>
      </w:r>
      <w:r>
        <w:t xml:space="preserve"> </w:t>
      </w:r>
      <w:r>
        <w:t xml:space="preserve">though expressed caution that he doesn’t</w:t>
      </w:r>
      <w:r>
        <w:t xml:space="preserve"> </w:t>
      </w:r>
      <w:r>
        <w:t xml:space="preserve">“</w:t>
      </w:r>
      <w:r>
        <w:t xml:space="preserve">know what else they’re doing with it,</w:t>
      </w:r>
      <w:r>
        <w:t xml:space="preserve">”</w:t>
      </w:r>
      <w:r>
        <w:t xml:space="preserve"> </w:t>
      </w:r>
      <w:r>
        <w:t xml:space="preserve">and more generally was</w:t>
      </w:r>
      <w:r>
        <w:t xml:space="preserve"> </w:t>
      </w:r>
      <w:r>
        <w:t xml:space="preserve">“</w:t>
      </w:r>
      <w:r>
        <w:t xml:space="preserve">deeply concerned</w:t>
      </w:r>
      <w:r>
        <w:t xml:space="preserve">”</w:t>
      </w:r>
      <w:r>
        <w:t xml:space="preserve"> </w:t>
      </w:r>
      <w:r>
        <w:t xml:space="preserve">about unseen data trading. The benefit can be convenience too; P10 had logged into Pokémon Go with her Facebook account [implying data collection by Facebook]</w:t>
      </w:r>
      <w:r>
        <w:t xml:space="preserve"> </w:t>
      </w:r>
      <w:r>
        <w:t xml:space="preserve">“</w:t>
      </w:r>
      <w:r>
        <w:t xml:space="preserve">because it’s much easier</w:t>
      </w:r>
      <w:r>
        <w:t xml:space="preserve">”</w:t>
      </w:r>
      <w:r>
        <w:t xml:space="preserve">. This uneasy trade-off surfaced most often in the context of recommendations; generally, participants valued data-based suggestions provided they were</w:t>
      </w:r>
      <w:r>
        <w:t xml:space="preserve"> </w:t>
      </w:r>
      <w:r>
        <w:t xml:space="preserve">“</w:t>
      </w:r>
      <w:r>
        <w:t xml:space="preserve">relevant</w:t>
      </w:r>
      <w:r>
        <w:t xml:space="preserve">”</w:t>
      </w:r>
      <w:r>
        <w:t xml:space="preserve"> </w:t>
      </w:r>
      <w:r>
        <w:t xml:space="preserve">(P1, P8) and not too</w:t>
      </w:r>
      <w:r>
        <w:t xml:space="preserve"> </w:t>
      </w:r>
      <w:r>
        <w:t xml:space="preserve">“</w:t>
      </w:r>
      <w:r>
        <w:t xml:space="preserve">intrusive</w:t>
      </w:r>
      <w:r>
        <w:t xml:space="preserve">”</w:t>
      </w:r>
      <w:r>
        <w:t xml:space="preserve"> </w:t>
      </w:r>
      <w:r>
        <w:t xml:space="preserve">(P1, P6). P8 said that relevant music recommendations were</w:t>
      </w:r>
      <w:r>
        <w:t xml:space="preserve"> </w:t>
      </w:r>
      <w:r>
        <w:t xml:space="preserve">“</w:t>
      </w:r>
      <w:r>
        <w:t xml:space="preserve">very useful</w:t>
      </w:r>
      <w:r>
        <w:t xml:space="preserve">”</w:t>
      </w:r>
      <w:r>
        <w:t xml:space="preserve"> </w:t>
      </w:r>
      <w:r>
        <w:t xml:space="preserve">but found Amazon shopping recommendations</w:t>
      </w:r>
      <w:r>
        <w:t xml:space="preserve"> </w:t>
      </w:r>
      <w:r>
        <w:t xml:space="preserve">“</w:t>
      </w:r>
      <w:r>
        <w:t xml:space="preserve">very scary</w:t>
      </w:r>
      <w:r>
        <w:t xml:space="preserve">”</w:t>
      </w:r>
      <w:r>
        <w:t xml:space="preserve"> </w:t>
      </w:r>
      <w:r>
        <w:t xml:space="preserve">because</w:t>
      </w:r>
      <w:r>
        <w:t xml:space="preserve"> </w:t>
      </w:r>
      <w:r>
        <w:t xml:space="preserve">“</w:t>
      </w:r>
      <w:r>
        <w:t xml:space="preserve">I don’t want to see that I’m predictable</w:t>
      </w:r>
      <w:r>
        <w:t xml:space="preserve">”</w:t>
      </w:r>
      <w:r>
        <w:t xml:space="preserve"> </w:t>
      </w:r>
      <w:r>
        <w:t xml:space="preserve">and felt that</w:t>
      </w:r>
      <w:r>
        <w:t xml:space="preserve"> </w:t>
      </w:r>
      <w:r>
        <w:t xml:space="preserve">“</w:t>
      </w:r>
      <w:r>
        <w:t xml:space="preserve">if someone out there knows [what I want] before you [it’s] like taking agency away from me.</w:t>
      </w:r>
      <w:r>
        <w:t xml:space="preserve">”</w:t>
      </w:r>
    </w:p>
    <w:p>
      <w:pPr>
        <w:numPr>
          <w:ilvl w:val="1"/>
          <w:numId w:val="1022"/>
        </w:numPr>
        <w:pStyle w:val="Compact"/>
      </w:pPr>
      <w:r>
        <w:t xml:space="preserve">While data holders typically acquire permission for their collection and processing of data, P2 felt that giving permission for data collection is</w:t>
      </w:r>
      <w:r>
        <w:t xml:space="preserve"> </w:t>
      </w:r>
      <w:r>
        <w:t xml:space="preserve">“</w:t>
      </w:r>
      <w:r>
        <w:t xml:space="preserve">not granular enough</w:t>
      </w:r>
      <w:r>
        <w:t xml:space="preserve">”</w:t>
      </w:r>
      <w:r>
        <w:t xml:space="preserve">, and in P11’s view</w:t>
      </w:r>
      <w:r>
        <w:t xml:space="preserve"> </w:t>
      </w:r>
      <w:r>
        <w:t xml:space="preserve">“</w:t>
      </w:r>
      <w:r>
        <w:t xml:space="preserve">it’s not a negotiation at all, it’s all or nothing.</w:t>
      </w:r>
      <w:r>
        <w:t xml:space="preserve">”</w:t>
      </w:r>
      <w:r>
        <w:t xml:space="preserve">  Accordingly, participants reported feeling resigned about personal data collection:</w:t>
      </w:r>
    </w:p>
    <w:p>
      <w:pPr>
        <w:numPr>
          <w:ilvl w:val="1"/>
          <w:numId w:val="1022"/>
        </w:numPr>
        <w:pStyle w:val="Compact"/>
      </w:pPr>
      <w:r>
        <w:t xml:space="preserve">“</w:t>
      </w:r>
      <w:r>
        <w:t xml:space="preserve">I feel like it’s inevitable that if you want to access their services at all, in any normal kind of way, that you automatically have to give them your data.</w:t>
      </w:r>
      <w:r>
        <w:t xml:space="preserve">”</w:t>
      </w:r>
      <w:r>
        <w:t xml:space="preserve"> </w:t>
      </w:r>
      <w:r>
        <w:t xml:space="preserve">– P7</w:t>
      </w:r>
    </w:p>
    <w:p>
      <w:pPr>
        <w:numPr>
          <w:ilvl w:val="1"/>
          <w:numId w:val="1022"/>
        </w:numPr>
        <w:pStyle w:val="Compact"/>
      </w:pPr>
      <w:r>
        <w:t xml:space="preserve">Only choice is not to play</w:t>
      </w:r>
    </w:p>
    <w:p>
      <w:pPr>
        <w:numPr>
          <w:ilvl w:val="1"/>
          <w:numId w:val="1022"/>
        </w:numPr>
        <w:pStyle w:val="Compact"/>
      </w:pPr>
      <w:r>
        <w:t xml:space="preserve">Ultimately, participants felt that their data was</w:t>
      </w:r>
      <w:r>
        <w:t xml:space="preserve"> </w:t>
      </w:r>
      <w:r>
        <w:t xml:space="preserve">“</w:t>
      </w:r>
      <w:r>
        <w:t xml:space="preserve">revealing</w:t>
      </w:r>
      <w:r>
        <w:t xml:space="preserve">”</w:t>
      </w:r>
      <w:r>
        <w:t xml:space="preserve"> </w:t>
      </w:r>
      <w:r>
        <w:t xml:space="preserve">(P2,P3,P11) a lot of information about them, and so their only real option to maintain their privacy was to prevent data collection in the first place by not using that service at all (P1,P2,P3,P7,P10,P11).</w:t>
      </w:r>
    </w:p>
    <w:bookmarkEnd w:id="53"/>
    <w:bookmarkStart w:id="54" w:name="perceptions-of-data-holders"/>
    <w:p>
      <w:pPr>
        <w:pStyle w:val="Heading4"/>
      </w:pPr>
      <w:r>
        <w:rPr>
          <w:rStyle w:val="SectionNumber"/>
        </w:rPr>
        <w:t xml:space="preserve">1.4.4.2</w:t>
      </w:r>
      <w:r>
        <w:tab/>
      </w:r>
      <w:r>
        <w:t xml:space="preserve">Perceptions of Data Holders</w:t>
      </w:r>
    </w:p>
    <w:p>
      <w:pPr>
        <w:numPr>
          <w:ilvl w:val="0"/>
          <w:numId w:val="1023"/>
        </w:numPr>
        <w:pStyle w:val="Compact"/>
      </w:pPr>
      <w:r>
        <w:t xml:space="preserve">Perceived good data practices inform expectations and cause initial trust</w:t>
      </w:r>
    </w:p>
    <w:p>
      <w:pPr>
        <w:numPr>
          <w:ilvl w:val="1"/>
          <w:numId w:val="1024"/>
        </w:numPr>
        <w:pStyle w:val="Compact"/>
      </w:pPr>
      <w:r>
        <w:t xml:space="preserve">Participants said they sought knowledge on how their data is being collected, handled and used (as described in section 5.1) in order to better inform their choice of providers. In learning about how different companies operated with respect to their data, participants sought accountability and whether or not they should make more effort to better manage privacy settings or change behaviours in order to limit data collection. At the beginning of the study, participant opinions about data practices were often based on general factors such as reputation, size or business model. For example, participants who chose Apple as one of the organisations to request data from (P2, P10, P11) each reported firm pre-existing expectations. P2 described being</w:t>
      </w:r>
      <w:r>
        <w:t xml:space="preserve"> </w:t>
      </w:r>
      <w:r>
        <w:t xml:space="preserve">“</w:t>
      </w:r>
      <w:r>
        <w:t xml:space="preserve">more at ease</w:t>
      </w:r>
      <w:r>
        <w:t xml:space="preserve">”</w:t>
      </w:r>
      <w:r>
        <w:t xml:space="preserve"> </w:t>
      </w:r>
      <w:r>
        <w:t xml:space="preserve">with Apple, on the basis that their business model was focussed on hardware, than with Google, who were perceived as</w:t>
      </w:r>
      <w:r>
        <w:t xml:space="preserve"> </w:t>
      </w:r>
      <w:r>
        <w:t xml:space="preserve">“</w:t>
      </w:r>
      <w:r>
        <w:t xml:space="preserve">making money through data</w:t>
      </w:r>
      <w:r>
        <w:t xml:space="preserve">”</w:t>
      </w:r>
      <w:r>
        <w:t xml:space="preserve">. He also noted that they were</w:t>
      </w:r>
      <w:r>
        <w:t xml:space="preserve"> </w:t>
      </w:r>
      <w:r>
        <w:t xml:space="preserve">“</w:t>
      </w:r>
      <w:r>
        <w:t xml:space="preserve">positioning themselves as a defender of privacy rights</w:t>
      </w:r>
      <w:r>
        <w:t xml:space="preserve">”</w:t>
      </w:r>
      <w:r>
        <w:t xml:space="preserve">, a point echoed by P11, who was</w:t>
      </w:r>
      <w:r>
        <w:t xml:space="preserve"> </w:t>
      </w:r>
      <w:r>
        <w:t xml:space="preserve">“</w:t>
      </w:r>
      <w:r>
        <w:t xml:space="preserve">curious to find out if their marketing claims match their reality around privacy</w:t>
      </w:r>
      <w:r>
        <w:t xml:space="preserve">”</w:t>
      </w:r>
      <w:r>
        <w:t xml:space="preserve"> </w:t>
      </w:r>
      <w:r>
        <w:t xml:space="preserve">and wondered if the GDPR request might make him</w:t>
      </w:r>
      <w:r>
        <w:t xml:space="preserve"> </w:t>
      </w:r>
      <w:r>
        <w:t xml:space="preserve">“</w:t>
      </w:r>
      <w:r>
        <w:t xml:space="preserve">reassess certain choices</w:t>
      </w:r>
      <w:r>
        <w:t xml:space="preserve">”</w:t>
      </w:r>
      <w:r>
        <w:t xml:space="preserve">.</w:t>
      </w:r>
    </w:p>
    <w:p>
      <w:pPr>
        <w:numPr>
          <w:ilvl w:val="0"/>
          <w:numId w:val="1023"/>
        </w:numPr>
        <w:pStyle w:val="Compact"/>
      </w:pPr>
      <w:r>
        <w:t xml:space="preserve">Value and utility creates trust</w:t>
      </w:r>
    </w:p>
    <w:p>
      <w:pPr>
        <w:numPr>
          <w:ilvl w:val="1"/>
          <w:numId w:val="1025"/>
        </w:numPr>
        <w:pStyle w:val="Compact"/>
      </w:pPr>
      <w:r>
        <w:t xml:space="preserve">Participants also expected good data practices from companies that had made a positive impression on them in unrelated ways. P2 outlined that</w:t>
      </w:r>
      <w:r>
        <w:t xml:space="preserve"> </w:t>
      </w:r>
      <w:r>
        <w:t xml:space="preserve">“</w:t>
      </w:r>
      <w:r>
        <w:t xml:space="preserve">when I like the company already, I’m more willing to give them my data</w:t>
      </w:r>
      <w:r>
        <w:t xml:space="preserve">”</w:t>
      </w:r>
      <w:r>
        <w:t xml:space="preserve">. This was often influenced by the perceived quality of services and software. E.g. P1 found that</w:t>
      </w:r>
      <w:r>
        <w:t xml:space="preserve"> </w:t>
      </w:r>
      <w:r>
        <w:t xml:space="preserve">“</w:t>
      </w:r>
      <w:r>
        <w:t xml:space="preserve">in the same way that Amazon is quite janky, Google feels fairly polished and so I trust them more.</w:t>
      </w:r>
      <w:r>
        <w:t xml:space="preserve">”</w:t>
      </w:r>
      <w:r>
        <w:t xml:space="preserve"> </w:t>
      </w:r>
      <w:r>
        <w:t xml:space="preserve">Google appeared to benefit from the same effect with other participants, who felt that trust was earned through the provision of valuable services, as with P4, who summarised that</w:t>
      </w:r>
      <w:r>
        <w:t xml:space="preserve"> </w:t>
      </w:r>
      <w:r>
        <w:t xml:space="preserve">“</w:t>
      </w:r>
      <w:r>
        <w:t xml:space="preserve">the amount I trust [Google] is in line with the utility I get from them,</w:t>
      </w:r>
      <w:r>
        <w:t xml:space="preserve">”</w:t>
      </w:r>
      <w:r>
        <w:t xml:space="preserve">. P8, feeling comforted by Natural Cycles’ payment model, also felt encouraged by a sense of shared values:</w:t>
      </w:r>
    </w:p>
    <w:p>
      <w:pPr>
        <w:numPr>
          <w:ilvl w:val="1"/>
          <w:numId w:val="1025"/>
        </w:numPr>
        <w:pStyle w:val="Compact"/>
      </w:pPr>
      <w:r>
        <w:t xml:space="preserve">“</w:t>
      </w:r>
      <w:r>
        <w:t xml:space="preserve">This is woman-empowerment-orientated, so in that sense I think I do put my trust there as well.</w:t>
      </w:r>
      <w:r>
        <w:t xml:space="preserve">”</w:t>
      </w:r>
      <w:r>
        <w:t xml:space="preserve"> </w:t>
      </w:r>
      <w:r>
        <w:t xml:space="preserve">–P8</w:t>
      </w:r>
    </w:p>
    <w:p>
      <w:pPr>
        <w:numPr>
          <w:ilvl w:val="0"/>
          <w:numId w:val="1023"/>
        </w:numPr>
        <w:pStyle w:val="Compact"/>
      </w:pPr>
      <w:r>
        <w:t xml:space="preserve">Data-centric businesses and opaque businesses distrusted:</w:t>
      </w:r>
    </w:p>
    <w:p>
      <w:pPr>
        <w:numPr>
          <w:ilvl w:val="1"/>
          <w:numId w:val="1026"/>
        </w:numPr>
        <w:pStyle w:val="Compact"/>
      </w:pPr>
      <w:r>
        <w:t xml:space="preserve">P10 reported an extreme decrease in trust of Apple, not due to the GDPR request, but to a documentary that she had watched between interviews that had caused her to become suspicious of their control over her hardware. Here, GDPR represented an opportunity to compare data expectations with reality</w:t>
      </w:r>
    </w:p>
    <w:p>
      <w:pPr>
        <w:numPr>
          <w:ilvl w:val="1"/>
          <w:numId w:val="1026"/>
        </w:numPr>
        <w:pStyle w:val="Compact"/>
      </w:pPr>
      <w:r>
        <w:t xml:space="preserve">While Apple seemed mainly to benefit from existing trust in relation to their data practices, participants had concerns about other organisations. P6 found that Facebook had</w:t>
      </w:r>
      <w:r>
        <w:t xml:space="preserve"> </w:t>
      </w:r>
      <w:r>
        <w:t xml:space="preserve">“</w:t>
      </w:r>
      <w:r>
        <w:t xml:space="preserve">in every shape or form, shown themselves not to be trusted</w:t>
      </w:r>
      <w:r>
        <w:t xml:space="preserve">”</w:t>
      </w:r>
      <w:r>
        <w:t xml:space="preserve">, an opinion that he supported by referencing</w:t>
      </w:r>
      <w:r>
        <w:t xml:space="preserve"> </w:t>
      </w:r>
      <w:r>
        <w:t xml:space="preserve">“</w:t>
      </w:r>
      <w:r>
        <w:t xml:space="preserve">high profile news stories where they have done unscrupulous things and are very willing to just hand over data</w:t>
      </w:r>
      <w:r>
        <w:t xml:space="preserve">”</w:t>
      </w:r>
      <w:r>
        <w:t xml:space="preserve">. Similarly, P9 reported feeling</w:t>
      </w:r>
      <w:r>
        <w:t xml:space="preserve"> </w:t>
      </w:r>
      <w:r>
        <w:t xml:space="preserve">“</w:t>
      </w:r>
      <w:r>
        <w:t xml:space="preserve">slightly dubious</w:t>
      </w:r>
      <w:r>
        <w:t xml:space="preserve">”</w:t>
      </w:r>
      <w:r>
        <w:t xml:space="preserve"> </w:t>
      </w:r>
      <w:r>
        <w:t xml:space="preserve">about Amazon due to things that she</w:t>
      </w:r>
      <w:r>
        <w:t xml:space="preserve"> </w:t>
      </w:r>
      <w:r>
        <w:t xml:space="preserve">“</w:t>
      </w:r>
      <w:r>
        <w:t xml:space="preserve">had read in the press and about their ethics that may or may not be true, and just the size of them … and just the level of data, as well</w:t>
      </w:r>
      <w:r>
        <w:t xml:space="preserve">”</w:t>
      </w:r>
      <w:r>
        <w:t xml:space="preserve">.  Participants were suspicious of businesses where there was a lack of clarity with respect to how they made money, while those companies that offered a paid service were considered more trustworthy. For example, P8 reported trusting Natural Cycles, stating that</w:t>
      </w:r>
      <w:r>
        <w:t xml:space="preserve"> </w:t>
      </w:r>
      <w:r>
        <w:t xml:space="preserve">“</w:t>
      </w:r>
      <w:r>
        <w:t xml:space="preserve">one of the main things was there [are] no ads. It’s a paid service, so there’s no, like,</w:t>
      </w:r>
      <w:r>
        <w:t xml:space="preserve"> </w:t>
      </w:r>
      <w:r>
        <w:t xml:space="preserve">‘</w:t>
      </w:r>
      <w:r>
        <w:t xml:space="preserve">you don’t have to pay but we use your data … to make money</w:t>
      </w:r>
      <w:r>
        <w:t xml:space="preserve">’</w:t>
      </w:r>
      <w:r>
        <w:t xml:space="preserve">”</w:t>
      </w:r>
      <w:r>
        <w:t xml:space="preserve">.</w:t>
      </w:r>
    </w:p>
    <w:bookmarkEnd w:id="54"/>
    <w:bookmarkStart w:id="55" w:name="Xe66bf6da078ac5cc4025357cf59a6b5d08f3c73"/>
    <w:p>
      <w:pPr>
        <w:pStyle w:val="Heading4"/>
      </w:pPr>
      <w:r>
        <w:rPr>
          <w:rStyle w:val="SectionNumber"/>
        </w:rPr>
        <w:t xml:space="preserve">1.4.4.3</w:t>
      </w:r>
      <w:r>
        <w:tab/>
      </w:r>
      <w:r>
        <w:t xml:space="preserve">Changed Perspectives Through Scrutiny and Transparency</w:t>
      </w:r>
    </w:p>
    <w:p>
      <w:pPr>
        <w:numPr>
          <w:ilvl w:val="0"/>
          <w:numId w:val="1027"/>
        </w:numPr>
        <w:pStyle w:val="Compact"/>
      </w:pPr>
      <w:r>
        <w:t xml:space="preserve">Paying Attention to Data Practice Reduces Trust</w:t>
      </w:r>
    </w:p>
    <w:p>
      <w:pPr>
        <w:numPr>
          <w:ilvl w:val="1"/>
          <w:numId w:val="1028"/>
        </w:numPr>
        <w:pStyle w:val="Compact"/>
      </w:pPr>
      <w:r>
        <w:t xml:space="preserve">Participants’ evaluations of trust in data holders showed a tendency to diminish over the course of the data request process, with some distrust arising following reviews of privacy policy and some following reviews of the data responses (see Figures 5 and 6). In some cases, this could be attributed to an increased awareness of data collection practices, as with P5’s decrease of trust in Spotify after examining their privacy policy</w:t>
      </w:r>
      <w:r>
        <w:t xml:space="preserve"> </w:t>
      </w:r>
      <w:r>
        <w:t xml:space="preserve">“</w:t>
      </w:r>
      <w:r>
        <w:t xml:space="preserve">because they shouldn’t need to know that much about me, they should just give me music</w:t>
      </w:r>
      <w:r>
        <w:t xml:space="preserve">”</w:t>
      </w:r>
      <w:r>
        <w:t xml:space="preserve">. However, it is notable that there does not appear to have been a corresponding reduction in perceived power:</w:t>
      </w:r>
    </w:p>
    <w:p>
      <w:pPr>
        <w:numPr>
          <w:ilvl w:val="1"/>
          <w:numId w:val="1028"/>
        </w:numPr>
        <w:pStyle w:val="Compact"/>
      </w:pPr>
      <w:r>
        <w:t xml:space="preserve">“</w:t>
      </w:r>
      <w:r>
        <w:t xml:space="preserve">They’ve not given me everything back that I thought they’d be collecting, which makes me trust them less. So power-wise, I don’t think it’s changed, but trust, I think it has.</w:t>
      </w:r>
      <w:r>
        <w:t xml:space="preserve">”</w:t>
      </w:r>
      <w:r>
        <w:t xml:space="preserve"> </w:t>
      </w:r>
      <w:r>
        <w:t xml:space="preserve">– P1</w:t>
      </w:r>
    </w:p>
    <w:p>
      <w:pPr>
        <w:numPr>
          <w:ilvl w:val="0"/>
          <w:numId w:val="1027"/>
        </w:numPr>
        <w:pStyle w:val="Compact"/>
      </w:pPr>
      <w:r>
        <w:t xml:space="preserve">Poor GDPR Handling damages trust</w:t>
      </w:r>
    </w:p>
    <w:p>
      <w:pPr>
        <w:numPr>
          <w:ilvl w:val="1"/>
          <w:numId w:val="1029"/>
        </w:numPr>
        <w:pStyle w:val="Compact"/>
      </w:pPr>
      <w:r>
        <w:t xml:space="preserve">As identified by P1, the reasons associated with his lowering of trust scores related not to the data itself, but to the perceived partial or full non-compliance (see section 5.1). After receiving her data response from Spotify, P5 lowered her evaluation of trust further still</w:t>
      </w:r>
      <w:r>
        <w:t xml:space="preserve"> </w:t>
      </w:r>
      <w:r>
        <w:t xml:space="preserve">“</w:t>
      </w:r>
      <w:r>
        <w:t xml:space="preserve">because they didn’t say anything about what they’re doing with my data or where it’s going</w:t>
      </w:r>
      <w:r>
        <w:t xml:space="preserve">”</w:t>
      </w:r>
      <w:r>
        <w:t xml:space="preserve">. P2 reduced his trust score for AirBNB</w:t>
      </w:r>
      <w:r>
        <w:t xml:space="preserve"> </w:t>
      </w:r>
      <w:r>
        <w:t xml:space="preserve">“</w:t>
      </w:r>
      <w:r>
        <w:t xml:space="preserve">because of the way they’ve handled [the data request], and the way they’ve made it hard for me to read the data</w:t>
      </w:r>
      <w:r>
        <w:t xml:space="preserve">”</w:t>
      </w:r>
      <w:r>
        <w:t xml:space="preserve">.  Similarly, P7 downgraded her score for LinkedIn</w:t>
      </w:r>
      <w:r>
        <w:t xml:space="preserve"> </w:t>
      </w:r>
      <w:r>
        <w:t xml:space="preserve">“</w:t>
      </w:r>
      <w:r>
        <w:t xml:space="preserve">because I feel like they have my data and [they’ve] not bothered to find my data, and that makes me feel like I shouldn’t trust them quite as much</w:t>
      </w:r>
      <w:r>
        <w:t xml:space="preserve">”</w:t>
      </w:r>
      <w:r>
        <w:t xml:space="preserve">. P8 lowered her trust score for Natural Cycles</w:t>
      </w:r>
      <w:r>
        <w:t xml:space="preserve"> </w:t>
      </w:r>
      <w:r>
        <w:t xml:space="preserve">“</w:t>
      </w:r>
      <w:r>
        <w:t xml:space="preserve">because I think it’s hard to get any sensitive data, and it’s not really made clear what they’re using it for</w:t>
      </w:r>
      <w:r>
        <w:t xml:space="preserve">”</w:t>
      </w:r>
      <w:r>
        <w:t xml:space="preserve">. It appears that some companies have lost users’ trust through a lack of transparency when responding to data requests. In the words of P4,</w:t>
      </w:r>
      <w:r>
        <w:t xml:space="preserve"> </w:t>
      </w:r>
      <w:r>
        <w:t xml:space="preserve">“</w:t>
      </w:r>
      <w:r>
        <w:t xml:space="preserve">If someone’s not completely open with you, then you’re like, well</w:t>
      </w:r>
      <w:r>
        <w:t xml:space="preserve"> </w:t>
      </w:r>
      <w:r>
        <w:t xml:space="preserve">‘</w:t>
      </w:r>
      <w:r>
        <w:t xml:space="preserve">What are you hiding?</w:t>
      </w:r>
      <w:r>
        <w:t xml:space="preserve">’</w:t>
      </w:r>
      <w:r>
        <w:t xml:space="preserve">, which means you trust them less.</w:t>
      </w:r>
      <w:r>
        <w:t xml:space="preserve">”</w:t>
      </w:r>
    </w:p>
    <w:p>
      <w:pPr>
        <w:numPr>
          <w:ilvl w:val="1"/>
          <w:numId w:val="1029"/>
        </w:numPr>
        <w:pStyle w:val="Compact"/>
      </w:pPr>
      <w:r>
        <w:t xml:space="preserve">“</w:t>
      </w:r>
      <w:r>
        <w:t xml:space="preserve">I think the lack of transparency in a lot of these processes has not helped, you know, if Tesco had […] plain English processes for getting the data and you’ve got the data in a plain English way, that would do a lot to bolster trust.</w:t>
      </w:r>
      <w:r>
        <w:t xml:space="preserve">”</w:t>
      </w:r>
      <w:r>
        <w:t xml:space="preserve"> </w:t>
      </w:r>
      <w:r>
        <w:t xml:space="preserve">—P11</w:t>
      </w:r>
    </w:p>
    <w:p>
      <w:pPr>
        <w:numPr>
          <w:ilvl w:val="0"/>
          <w:numId w:val="1027"/>
        </w:numPr>
        <w:pStyle w:val="Compact"/>
      </w:pPr>
      <w:r>
        <w:t xml:space="preserve">GDPR increases awareness and learning</w:t>
      </w:r>
    </w:p>
    <w:p>
      <w:pPr>
        <w:numPr>
          <w:ilvl w:val="1"/>
          <w:numId w:val="1030"/>
        </w:numPr>
        <w:pStyle w:val="Compact"/>
      </w:pPr>
      <w:r>
        <w:t xml:space="preserve">increased awareness, learning is possible,</w:t>
      </w:r>
    </w:p>
    <w:p>
      <w:pPr>
        <w:numPr>
          <w:ilvl w:val="1"/>
          <w:numId w:val="1030"/>
        </w:numPr>
        <w:pStyle w:val="Compact"/>
      </w:pPr>
      <w:r>
        <w:t xml:space="preserve">Despite misgivings and feeling XXX</w:t>
      </w:r>
      <w:r>
        <w:t xml:space="preserve">“</w:t>
      </w:r>
      <w:r>
        <w:t xml:space="preserve">in the dark</w:t>
      </w:r>
      <w:r>
        <w:t xml:space="preserve">”</w:t>
      </w:r>
      <w:r>
        <w:t xml:space="preserve"> </w:t>
      </w:r>
      <w:r>
        <w:t xml:space="preserve">(P4), several participants found the process thought-provoking and report feeling more aware about their data sharing practices and settings. In some cases, this led to intentions to continue with further data requests, such as P4, who found that the process</w:t>
      </w:r>
      <w:r>
        <w:t xml:space="preserve"> </w:t>
      </w:r>
      <w:r>
        <w:t xml:space="preserve">“</w:t>
      </w:r>
      <w:r>
        <w:t xml:space="preserve">got me thinking about, like what other things could I try, and what other sources of personal data are there</w:t>
      </w:r>
      <w:r>
        <w:t xml:space="preserve">”</w:t>
      </w:r>
      <w:r>
        <w:t xml:space="preserve">. P8 reflected that</w:t>
      </w:r>
      <w:r>
        <w:t xml:space="preserve"> </w:t>
      </w:r>
      <w:r>
        <w:t xml:space="preserve">“</w:t>
      </w:r>
      <w:r>
        <w:t xml:space="preserve">it’s a skill and a kind of knowledge that I think everyone should [have]. I don’t think it’s normal that I felt so clueless</w:t>
      </w:r>
      <w:r>
        <w:t xml:space="preserve">”</w:t>
      </w:r>
      <w:r>
        <w:t xml:space="preserve">. Others commented more directly on the value of understanding GDPR itself, such as P7, who reported gaining</w:t>
      </w:r>
      <w:r>
        <w:t xml:space="preserve"> </w:t>
      </w:r>
      <w:r>
        <w:t xml:space="preserve">“</w:t>
      </w:r>
      <w:r>
        <w:t xml:space="preserve">insights into how big companies are actually handling these requests</w:t>
      </w:r>
      <w:r>
        <w:t xml:space="preserve">”</w:t>
      </w:r>
      <w:r>
        <w:t xml:space="preserve">. In the case of P2, this new perspective on GDPR is framed primarily as a lowered expectation of what it can achieve:</w:t>
      </w:r>
    </w:p>
    <w:p>
      <w:pPr>
        <w:numPr>
          <w:ilvl w:val="2"/>
          <w:numId w:val="1031"/>
        </w:numPr>
        <w:pStyle w:val="Compact"/>
      </w:pPr>
      <w:r>
        <w:t xml:space="preserve">“</w:t>
      </w:r>
      <w:r>
        <w:t xml:space="preserve">[I] think the exercise was useful in the sense that I understand what a GDPR request can do and what it cannot do. And there’s a lot it cannot do. And I think it might seem that it gives you a lot of power, but really, it doesn’t.</w:t>
      </w:r>
      <w:r>
        <w:t xml:space="preserve">”</w:t>
      </w:r>
      <w:r>
        <w:t xml:space="preserve"> </w:t>
      </w:r>
      <w:r>
        <w:t xml:space="preserve">– P2</w:t>
      </w:r>
    </w:p>
    <w:p>
      <w:pPr>
        <w:numPr>
          <w:ilvl w:val="0"/>
          <w:numId w:val="1027"/>
        </w:numPr>
        <w:pStyle w:val="Compact"/>
      </w:pPr>
      <w:r>
        <w:t xml:space="preserve">transparency increases trust</w:t>
      </w:r>
    </w:p>
    <w:p>
      <w:pPr>
        <w:numPr>
          <w:ilvl w:val="1"/>
          <w:numId w:val="1032"/>
        </w:numPr>
        <w:pStyle w:val="Compact"/>
      </w:pPr>
      <w:r>
        <w:t xml:space="preserve">Positive impacts of transparency for data holders occurred in those cases where trust remained the same or even slightly increased over the process of the study. For example, P5 reflected that her initial view on Instagram may have been</w:t>
      </w:r>
      <w:r>
        <w:t xml:space="preserve"> </w:t>
      </w:r>
      <w:r>
        <w:t xml:space="preserve">“</w:t>
      </w:r>
      <w:r>
        <w:t xml:space="preserve">a little harsh</w:t>
      </w:r>
      <w:r>
        <w:t xml:space="preserve">”</w:t>
      </w:r>
      <w:r>
        <w:t xml:space="preserve"> </w:t>
      </w:r>
      <w:r>
        <w:t xml:space="preserve">and that she</w:t>
      </w:r>
      <w:r>
        <w:t xml:space="preserve"> </w:t>
      </w:r>
      <w:r>
        <w:t xml:space="preserve">“</w:t>
      </w:r>
      <w:r>
        <w:t xml:space="preserve">actually really liked what they sent … in comparison to the three others, I was genuinely, I opened Instagram’s one and I was like</w:t>
      </w:r>
      <w:r>
        <w:t xml:space="preserve"> </w:t>
      </w:r>
      <w:r>
        <w:t xml:space="preserve">‘</w:t>
      </w:r>
      <w:r>
        <w:t xml:space="preserve">this is really cool.</w:t>
      </w:r>
      <w:r>
        <w:t xml:space="preserve">’</w:t>
      </w:r>
      <w:r>
        <w:t xml:space="preserve">”</w:t>
      </w:r>
      <w:r>
        <w:t xml:space="preserve"> </w:t>
      </w:r>
      <w:r>
        <w:t xml:space="preserve">P10 was very impressed with the response from Niantic and indicated that she trusted them very highly</w:t>
      </w:r>
      <w:r>
        <w:t xml:space="preserve"> </w:t>
      </w:r>
      <w:r>
        <w:t xml:space="preserve">“</w:t>
      </w:r>
      <w:r>
        <w:t xml:space="preserve">because they replied really fast, the data provided is very detailed, and their attitude towards this whole issue is very positive,</w:t>
      </w:r>
      <w:r>
        <w:t xml:space="preserve">”</w:t>
      </w:r>
      <w:r>
        <w:t xml:space="preserve"> </w:t>
      </w:r>
      <w:r>
        <w:t xml:space="preserve">concluding that they are</w:t>
      </w:r>
      <w:r>
        <w:t xml:space="preserve"> </w:t>
      </w:r>
      <w:r>
        <w:t xml:space="preserve">“</w:t>
      </w:r>
      <w:r>
        <w:t xml:space="preserve">a really nice company</w:t>
      </w:r>
      <w:r>
        <w:t xml:space="preserve">”</w:t>
      </w:r>
      <w:r>
        <w:t xml:space="preserve"> </w:t>
      </w:r>
      <w:r>
        <w:t xml:space="preserve">and even indicating an increased willingness to spend money on their product. P6 trusted Sunderland AFC because</w:t>
      </w:r>
      <w:r>
        <w:t xml:space="preserve"> </w:t>
      </w:r>
      <w:r>
        <w:t xml:space="preserve">“</w:t>
      </w:r>
      <w:r>
        <w:t xml:space="preserve">they were really kind of upfront and … I got the data from them first, […] no messing about, the format they gave me just made sense.</w:t>
      </w:r>
      <w:r>
        <w:t xml:space="preserve">”</w:t>
      </w:r>
    </w:p>
    <w:p>
      <w:pPr>
        <w:numPr>
          <w:ilvl w:val="1"/>
          <w:numId w:val="1032"/>
        </w:numPr>
        <w:pStyle w:val="Compac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55"/>
    <w:bookmarkEnd w:id="56"/>
    <w:bookmarkEnd w:id="57"/>
    <w:bookmarkStart w:id="61"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established power imbalance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58"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investment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 [REF 9], suggesting completeness and compliance have not improved over this period. However,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t xml:space="preserve">“</w:t>
      </w:r>
      <w:r>
        <w:t xml:space="preserve">box-ticking exercise</w:t>
      </w:r>
      <w:r>
        <w:t xml:space="preserve">”</w:t>
      </w:r>
      <w:r>
        <w:t xml:space="preserve"> </w:t>
      </w:r>
      <w:r>
        <w:t xml:space="preserve">that was both frustrating and time-consuming and did not ultimately help them. Even though in 7% of cases participants did feel empowered by the GDPR,</w:t>
      </w:r>
      <w:r>
        <w:t xml:space="preserve"> </w:t>
      </w:r>
      <w:r>
        <w:rPr>
          <w:i/>
        </w:rPr>
        <w:t xml:space="preserve">all</w:t>
      </w:r>
      <w:r>
        <w:t xml:space="preserve"> </w:t>
      </w:r>
      <w:r>
        <w:t xml:space="preserve">participants receiving data were in practice left with additional time-consuming and sometimes technically-skilled work to take advantage of or interpret their returned data. This suggests that to improve the situation, policymakers need to make changes towards:</w:t>
      </w:r>
    </w:p>
    <w:p>
      <w:pPr>
        <w:pStyle w:val="BodyText"/>
      </w:pPr>
      <w:r>
        <w:rPr>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delays</w:t>
      </w:r>
      <w:r>
        <w:t xml:space="preserve">”</w:t>
      </w:r>
      <w:r>
        <w:t xml:space="preserve"> </w:t>
      </w:r>
      <w:r>
        <w:t xml:space="preserve">[REF 21], or may even be erroneously dropped [REF 72]. Until individuals have a clear and effective means to issue complaints [REF 11] 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 [REF 44] and legibility [REF 80], can reduce costs through common tooling and catalyse the building of tools to interpret and understand data. Such standards are emerging [REF 78] as they are a technological necessity for data unification, but lack adoption.</w:t>
      </w:r>
    </w:p>
    <w:p>
      <w:pPr>
        <w:pStyle w:val="BodyText"/>
      </w:pPr>
      <w:r>
        <w:rPr>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w:t>
      </w:r>
      <w:r>
        <w:t xml:space="preserve"> </w:t>
      </w:r>
      <w:r>
        <w:t xml:space="preserve">“</w:t>
      </w:r>
      <w:r>
        <w:t xml:space="preserve">the delivery of data files</w:t>
      </w:r>
      <w:r>
        <w:t xml:space="preserve">”</w:t>
      </w:r>
      <w:r>
        <w:t xml:space="preserve">. People need understanding of their data and of its handling, and this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that data, policies could become more impactful, not least because such understanding is critical to inform judgements around consent, loyalty and compliance.</w:t>
      </w:r>
    </w:p>
    <w:bookmarkEnd w:id="58"/>
    <w:bookmarkStart w:id="59"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r>
        <w:t xml:space="preserve"> </w:t>
      </w: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 [REF 92] and–one can assume–an even smaller number conduct GDPR requests, this is likely to change as issues around data privacy and trust continue to take centre stage in global geopolitics [REF 98,REF 107].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[REF 25,REF 40,REF 97,REF 116–118] suggest demand for data access is growing. From the findings, there are three three positive takeaways for data holders:</w:t>
      </w:r>
    </w:p>
    <w:p>
      <w:pPr>
        <w:pStyle w:val="BodyText"/>
      </w:pPr>
      <w:r>
        <w:rPr>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t xml:space="preserve">“</w:t>
      </w:r>
      <w:r>
        <w:t xml:space="preserve">ease humans’ interactions with technology […], help individuals understand a system’s function, justify system results, and increase their trust</w:t>
      </w:r>
      <w:r>
        <w:t xml:space="preserve">”</w:t>
      </w:r>
      <w:r>
        <w:t xml:space="preserve"> </w:t>
      </w:r>
      <w:r>
        <w:t xml:space="preserve">[REF 42].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 [80]; and for the service provider, an incentive for individuals to generate and share more data, an increased likelihood of individuals correcting inaccurate data, and more reliable and human-centric forms of ongoing consent closer to dynamic consent [61] than today’s ineffective models of informed consent [73].</w:t>
      </w:r>
    </w:p>
    <w:p>
      <w:pPr>
        <w:pStyle w:val="BodyText"/>
      </w:pPr>
      <w:r>
        <w:rPr>
          <w:b/>
        </w:rPr>
        <w:t xml:space="preserve">3) New customer demands indicate untapped business opportunities.</w:t>
      </w:r>
      <w:r>
        <w:t xml:space="preserve"> </w:t>
      </w:r>
      <w:r>
        <w:t xml:space="preserve">As the 500-member-strong MyData Global organization [REF 82] shows, there is growing demand for personal data empowerment. People’s personal data is splintered and trapped [REF 1,REF 16], and they cannot correlate data from different sources in order to reflect upon it, gain insights, and set goals [REF 70]. Due to commercial motivations, service providers generally deliver capabilities within a closed silo, not at the level of one’s wider environment [REF 2]. To be better empowered the individual could be the point of integration, the centre of their own Personal Data Ecosystem (PDE) [REF 81]. Life-level capabilities [REF 17] 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 [REF 119], Digi.Me [REF 38], Mydex [REF 125], ethi [REF 58], HestiaLabs [REF 34], udaptor [REF 97] and exist.io [REF 120] as well as larger organisations like BBC R&amp;D [REF 13] and Microsoft [REF 75] are already starting to innovate in this space.</w:t>
      </w:r>
    </w:p>
    <w:bookmarkEnd w:id="59"/>
    <w:bookmarkStart w:id="60"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r>
        <w:t xml:space="preserve"> </w:t>
      </w: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
        </w:rPr>
        <w:t xml:space="preserve">2) Your data contains meaningful and valuable data about your life.</w:t>
      </w:r>
      <w:r>
        <w:t xml:space="preserve"> </w:t>
      </w:r>
      <w:r>
        <w:t xml:space="preserve">Data, as participants found, is dry and technical, but they all sought meaning and value within it (see 5.2.2). Within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[REF 66].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 [REF 33]. With patience, GDPR rights can be exploited to force small changes.</w:t>
      </w:r>
    </w:p>
    <w:bookmarkEnd w:id="60"/>
    <w:bookmarkEnd w:id="61"/>
    <w:bookmarkStart w:id="62"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5.4.2.1):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 [REF 12, REF 17].</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study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 making; this is consistent with the</w:t>
      </w:r>
      <w:r>
        <w:t xml:space="preserve"> </w:t>
      </w:r>
      <w:r>
        <w:t xml:space="preserve">‘</w:t>
      </w:r>
      <w:r>
        <w:t xml:space="preserve">point of severance</w:t>
      </w:r>
      <w:r>
        <w:t xml:space="preserve">’</w:t>
      </w:r>
      <w:r>
        <w:t xml:space="preserve"> </w:t>
      </w:r>
      <w:r>
        <w:t xml:space="preserve">concept observed by Luger and Rodden</w:t>
      </w:r>
      <w:r>
        <w:t xml:space="preserve"> </w:t>
      </w:r>
      <w:r>
        <w:t xml:space="preserve">(Luger and Rodden,</w:t>
      </w:r>
      <w:r>
        <w:t xml:space="preserve"> </w:t>
      </w:r>
      <w:hyperlink w:anchor="ref-luger2013">
        <w:r>
          <w:rPr>
            <w:rStyle w:val="Hyperlink"/>
          </w:rPr>
          <w:t xml:space="preserve">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individuals can be expected to lose trust and loyalty. At the same time, this same data could play a central role in a re-invigorated relationship between a provider and a user, one based upon earned 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are apparently less willing to engage in transparency and user empoerment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62"/>
    <w:bookmarkEnd w:id="63"/>
    <w:bookmarkStart w:id="161" w:name="bibliography"/>
    <w:p>
      <w:pPr>
        <w:pStyle w:val="Heading1"/>
      </w:pPr>
      <w:r>
        <w:t xml:space="preserve">Bibliography</w:t>
      </w:r>
    </w:p>
    <w:bookmarkStart w:id="160" w:name="refs"/>
    <w:bookmarkStart w:id="65" w:name="ref-abowd2012"/>
    <w:p>
      <w:pPr>
        <w:pStyle w:val="Bibliography"/>
      </w:pPr>
      <w:r>
        <w:t xml:space="preserve">Abowd, G. D. (2012) ‘What next, ubicomp?: celebrating an intellectual disappearing act’, in</w:t>
      </w:r>
      <w:r>
        <w:t xml:space="preserve"> </w:t>
      </w:r>
      <w:r>
        <w:rPr>
          <w:i/>
        </w:rPr>
        <w:t xml:space="preserve">Proceedings of the 2012 acm conference on ubiquitous computing</w:t>
      </w:r>
      <w:r>
        <w:t xml:space="preserve">. New York, New York, USA: ACM Press, pp. 31–40. doi:</w:t>
      </w:r>
      <w:r>
        <w:t xml:space="preserve"> </w:t>
      </w:r>
      <w:hyperlink r:id="rId64">
        <w:r>
          <w:rPr>
            <w:rStyle w:val="Hyperlink"/>
          </w:rPr>
          <w:t xml:space="preserve">http://dx.doi.org/10.1145/2370216.2370222</w:t>
        </w:r>
      </w:hyperlink>
      <w:r>
        <w:t xml:space="preserve">.</w:t>
      </w:r>
    </w:p>
    <w:bookmarkEnd w:id="65"/>
    <w:bookmarkStart w:id="67" w:name="ref-abowd2000"/>
    <w:p>
      <w:pPr>
        <w:pStyle w:val="Bibliography"/>
      </w:pPr>
      <w:r>
        <w:t xml:space="preserve">Abowd, G. D. and Mynatt, E. D. (2000) ‘Charting Past, Present, and Future Research in Ubiquitous Computing’,</w:t>
      </w:r>
      <w:r>
        <w:t xml:space="preserve"> </w:t>
      </w:r>
      <w:r>
        <w:rPr>
          <w:i/>
        </w:rPr>
        <w:t xml:space="preserve">ACM Transactions on Computer-Human Interaction</w:t>
      </w:r>
      <w:r>
        <w:t xml:space="preserve">, 7(1), pp. 29–58. doi:</w:t>
      </w:r>
      <w:r>
        <w:t xml:space="preserve"> </w:t>
      </w:r>
      <w:hyperlink r:id="rId66">
        <w:r>
          <w:rPr>
            <w:rStyle w:val="Hyperlink"/>
          </w:rPr>
          <w:t xml:space="preserve">10.1145/344949.344988</w:t>
        </w:r>
      </w:hyperlink>
      <w:r>
        <w:t xml:space="preserve">.</w:t>
      </w:r>
    </w:p>
    <w:bookmarkEnd w:id="67"/>
    <w:bookmarkStart w:id="69" w:name="ref-alizadeh2019"/>
    <w:p>
      <w:pPr>
        <w:pStyle w:val="Bibliography"/>
      </w:pPr>
      <w:r>
        <w:t xml:space="preserve">Alizadeh, F.</w:t>
      </w:r>
      <w:r>
        <w:t xml:space="preserve"> </w:t>
      </w:r>
      <w:r>
        <w:rPr>
          <w:i/>
        </w:rPr>
        <w:t xml:space="preserve">et al.</w:t>
      </w:r>
      <w:r>
        <w:t xml:space="preserve"> </w:t>
      </w:r>
      <w:r>
        <w:t xml:space="preserve">(2019) ‘GDPR-reality check on the right to access data’, in</w:t>
      </w:r>
      <w:r>
        <w:t xml:space="preserve"> </w:t>
      </w:r>
      <w:r>
        <w:rPr>
          <w:i/>
        </w:rPr>
        <w:t xml:space="preserve">ACM international conference proceeding series</w:t>
      </w:r>
      <w:r>
        <w:t xml:space="preserve">. New York, New York, USA: ACM Press, pp. 811–814. doi:</w:t>
      </w:r>
      <w:r>
        <w:t xml:space="preserve"> </w:t>
      </w:r>
      <w:hyperlink r:id="rId68">
        <w:r>
          <w:rPr>
            <w:rStyle w:val="Hyperlink"/>
          </w:rPr>
          <w:t xml:space="preserve">10.1145/3340764.3344913</w:t>
        </w:r>
      </w:hyperlink>
      <w:r>
        <w:t xml:space="preserve">.</w:t>
      </w:r>
    </w:p>
    <w:bookmarkEnd w:id="69"/>
    <w:bookmarkStart w:id="71" w:name="ref-arfelt2019"/>
    <w:p>
      <w:pPr>
        <w:pStyle w:val="Bibliography"/>
      </w:pPr>
      <w:r>
        <w:t xml:space="preserve">Arfelt, E., Basin, D. and Debois, S. (2019) ‘Monitoring the GDPR’, in</w:t>
      </w:r>
      <w:r>
        <w:t xml:space="preserve"> </w:t>
      </w:r>
      <w:r>
        <w:rPr>
          <w:i/>
        </w:rPr>
        <w:t xml:space="preserve">Lecture notes in computer science (including subseries lecture notes in artificial intelligence and lecture notes in bioinformatics)</w:t>
      </w:r>
      <w:r>
        <w:t xml:space="preserve">, pp. 681–699. doi:</w:t>
      </w:r>
      <w:r>
        <w:t xml:space="preserve"> </w:t>
      </w:r>
      <w:hyperlink r:id="rId70">
        <w:r>
          <w:rPr>
            <w:rStyle w:val="Hyperlink"/>
          </w:rPr>
          <w:t xml:space="preserve">10.1007/978-3-030-29959-0_33</w:t>
        </w:r>
      </w:hyperlink>
      <w:r>
        <w:t xml:space="preserve">.</w:t>
      </w:r>
    </w:p>
    <w:bookmarkEnd w:id="71"/>
    <w:bookmarkStart w:id="73" w:name="ref-ausloos2019"/>
    <w:p>
      <w:pPr>
        <w:pStyle w:val="Bibliography"/>
      </w:pPr>
      <w:r>
        <w:t xml:space="preserve">Ausloos, J. (2019) ‘GDPR Transparency as a Research Method’,</w:t>
      </w:r>
      <w:r>
        <w:t xml:space="preserve"> </w:t>
      </w:r>
      <w:r>
        <w:rPr>
          <w:i/>
        </w:rPr>
        <w:t xml:space="preserve">SSRN Electronic Journal</w:t>
      </w:r>
      <w:r>
        <w:t xml:space="preserve">, (May), pp. 1–23. doi:</w:t>
      </w:r>
      <w:r>
        <w:t xml:space="preserve"> </w:t>
      </w:r>
      <w:hyperlink r:id="rId72">
        <w:r>
          <w:rPr>
            <w:rStyle w:val="Hyperlink"/>
          </w:rPr>
          <w:t xml:space="preserve">10.2139/ssrn.3465680</w:t>
        </w:r>
      </w:hyperlink>
      <w:r>
        <w:t xml:space="preserve">.</w:t>
      </w:r>
    </w:p>
    <w:bookmarkEnd w:id="73"/>
    <w:bookmarkStart w:id="75" w:name="ref-ausloos2018"/>
    <w:p>
      <w:pPr>
        <w:pStyle w:val="Bibliography"/>
      </w:pPr>
      <w:r>
        <w:t xml:space="preserve">Ausloos, J. and Dewitte, P. (2018)</w:t>
      </w:r>
      <w:r>
        <w:t xml:space="preserve"> </w:t>
      </w:r>
      <w:r>
        <w:rPr>
          <w:i/>
        </w:rPr>
        <w:t xml:space="preserve">Shattering one-way mirrors-data subject access rights in practice</w:t>
      </w:r>
      <w:r>
        <w:t xml:space="preserve">. Available at:</w:t>
      </w:r>
      <w:r>
        <w:t xml:space="preserve"> </w:t>
      </w:r>
      <w:hyperlink r:id="rId74">
        <w:r>
          <w:rPr>
            <w:rStyle w:val="Hyperlink"/>
          </w:rPr>
          <w:t xml:space="preserve">www.irissproject.eu https://papers.ssrn.com/sol3/papers.cfm?abstract_id=3106632</w:t>
        </w:r>
      </w:hyperlink>
      <w:r>
        <w:t xml:space="preserve">.</w:t>
      </w:r>
    </w:p>
    <w:bookmarkEnd w:id="75"/>
    <w:bookmarkStart w:id="76" w:name="ref-ausloos2020"/>
    <w:p>
      <w:pPr>
        <w:pStyle w:val="Bibliography"/>
      </w:pPr>
      <w:r>
        <w:t xml:space="preserve">Ausloos, J. and Veale, M. (2020) ‘Researching with Data Rights’,</w:t>
      </w:r>
      <w:r>
        <w:t xml:space="preserve"> </w:t>
      </w:r>
      <w:r>
        <w:rPr>
          <w:i/>
        </w:rPr>
        <w:t xml:space="preserve">Technology and Regulation</w:t>
      </w:r>
      <w:r>
        <w:t xml:space="preserve">, pp. 136–157.</w:t>
      </w:r>
    </w:p>
    <w:bookmarkEnd w:id="76"/>
    <w:bookmarkStart w:id="78" w:name="ref-bbcrd2017"/>
    <w:p>
      <w:pPr>
        <w:pStyle w:val="Bibliography"/>
      </w:pPr>
      <w:r>
        <w:t xml:space="preserve">BBC R&amp;D (2017) ‘Human Data Interaction - BBC R&amp;D’. Available at:</w:t>
      </w:r>
      <w:r>
        <w:t xml:space="preserve"> </w:t>
      </w:r>
      <w:hyperlink r:id="rId77">
        <w:r>
          <w:rPr>
            <w:rStyle w:val="Hyperlink"/>
          </w:rPr>
          <w:t xml:space="preserve">https://www.bbc.co.uk/rd/projects/human-data-interaction</w:t>
        </w:r>
      </w:hyperlink>
      <w:r>
        <w:t xml:space="preserve">.</w:t>
      </w:r>
    </w:p>
    <w:bookmarkEnd w:id="78"/>
    <w:bookmarkStart w:id="80" w:name="ref-bowyer2021"/>
    <w:p>
      <w:pPr>
        <w:pStyle w:val="Bibliography"/>
      </w:pPr>
      <w:r>
        <w:t xml:space="preserve">Bowyer, A. (2021) ‘Human-Data Interaction has two purposes: Personal Data Control and Life Information Exploration’. Available at:</w:t>
      </w:r>
      <w:r>
        <w:t xml:space="preserve"> </w:t>
      </w:r>
      <w:hyperlink r:id="rId79">
        <w:r>
          <w:rPr>
            <w:rStyle w:val="Hyperlink"/>
          </w:rPr>
          <w:t xml:space="preserve">https://eprints.ncl.ac.uk/273832#.</w:t>
        </w:r>
      </w:hyperlink>
    </w:p>
    <w:bookmarkEnd w:id="80"/>
    <w:bookmarkStart w:id="82" w:name="ref-bufalieri2020"/>
    <w:p>
      <w:pPr>
        <w:pStyle w:val="Bibliography"/>
      </w:pPr>
      <w:r>
        <w:t xml:space="preserve">Bufalieri, L.</w:t>
      </w:r>
      <w:r>
        <w:t xml:space="preserve"> </w:t>
      </w:r>
      <w:r>
        <w:rPr>
          <w:i/>
        </w:rPr>
        <w:t xml:space="preserve">et al.</w:t>
      </w:r>
      <w:r>
        <w:t xml:space="preserve"> </w:t>
      </w:r>
      <w:r>
        <w:t xml:space="preserve">(2020) ‘GDPR: When the right to access personal data becomes a threat’. doi:</w:t>
      </w:r>
      <w:r>
        <w:t xml:space="preserve"> </w:t>
      </w:r>
      <w:hyperlink r:id="rId81">
        <w:r>
          <w:rPr>
            <w:rStyle w:val="Hyperlink"/>
          </w:rPr>
          <w:t xml:space="preserve">10.1109/icws49710.2020.00017</w:t>
        </w:r>
      </w:hyperlink>
      <w:r>
        <w:t xml:space="preserve">.</w:t>
      </w:r>
    </w:p>
    <w:bookmarkEnd w:id="82"/>
    <w:bookmarkStart w:id="84" w:name="ref-chang2018"/>
    <w:p>
      <w:pPr>
        <w:pStyle w:val="Bibliography"/>
      </w:pPr>
      <w:r>
        <w:t xml:space="preserve">Chang, A. (2018) ‘The Facebook and Cambridge Analytica scandal, explained with a simple diagram - Vox’. Available at:</w:t>
      </w:r>
      <w:r>
        <w:t xml:space="preserve"> </w:t>
      </w:r>
      <w:hyperlink r:id="rId83">
        <w:r>
          <w:rPr>
            <w:rStyle w:val="Hyperlink"/>
          </w:rPr>
          <w:t xml:space="preserve">https://www.vox.com/policy-and-politics/2018/3/23/17151916/facebook-cambridge-analytica-trump-diagram</w:t>
        </w:r>
      </w:hyperlink>
      <w:r>
        <w:t xml:space="preserve">.</w:t>
      </w:r>
    </w:p>
    <w:bookmarkEnd w:id="84"/>
    <w:bookmarkStart w:id="85" w:name="ref-clarke2019"/>
    <w:p>
      <w:pPr>
        <w:pStyle w:val="Bibliography"/>
      </w:pPr>
      <w:r>
        <w:t xml:space="preserve">Clarke, N.</w:t>
      </w:r>
      <w:r>
        <w:t xml:space="preserve"> </w:t>
      </w:r>
      <w:r>
        <w:rPr>
          <w:i/>
        </w:rPr>
        <w:t xml:space="preserve">et al.</w:t>
      </w:r>
      <w:r>
        <w:t xml:space="preserve"> </w:t>
      </w:r>
      <w:r>
        <w:t xml:space="preserve">(2019) ‘GDPR: an impediment to research?’,</w:t>
      </w:r>
      <w:r>
        <w:t xml:space="preserve"> </w:t>
      </w:r>
      <w:r>
        <w:rPr>
          <w:i/>
        </w:rPr>
        <w:t xml:space="preserve">Irish Journal of Medical Science (1971-)</w:t>
      </w:r>
      <w:r>
        <w:t xml:space="preserve">. Springer, 188(4), pp. 1129–1135.</w:t>
      </w:r>
    </w:p>
    <w:bookmarkEnd w:id="85"/>
    <w:bookmarkStart w:id="86" w:name="ref-comande2021"/>
    <w:p>
      <w:pPr>
        <w:pStyle w:val="Bibliography"/>
      </w:pPr>
      <w:r>
        <w:t xml:space="preserve">Comandè, G. and Schneider, G. (2021) ‘Can the GDPR make data flow for research easier? Yes it can, by differentiating! A careful reading of the GDPR shows how EU data protection law leaves open some significant flexibilities for data protection-sound research activities’,</w:t>
      </w:r>
      <w:r>
        <w:t xml:space="preserve"> </w:t>
      </w:r>
      <w:r>
        <w:rPr>
          <w:i/>
        </w:rPr>
        <w:t xml:space="preserve">Computer Law &amp; Security Review</w:t>
      </w:r>
      <w:r>
        <w:t xml:space="preserve">. Elsevier, 41, p. 105539.</w:t>
      </w:r>
    </w:p>
    <w:bookmarkEnd w:id="86"/>
    <w:bookmarkStart w:id="88" w:name="ref-EUCouncil2015gdpr"/>
    <w:p>
      <w:pPr>
        <w:pStyle w:val="Bibliography"/>
      </w:pPr>
      <w:r>
        <w:t xml:space="preserve">Council of the European Union (2015) ‘Proposal for a Regulation of the European Parliament and of the Council on the protection of individuals with regard to the processing of personal data and on the free movement of such data (General Data Protection Regulation)’. Brussels. Available at:</w:t>
      </w:r>
      <w:r>
        <w:t xml:space="preserve"> </w:t>
      </w:r>
      <w:hyperlink r:id="rId87">
        <w:r>
          <w:rPr>
            <w:rStyle w:val="Hyperlink"/>
          </w:rPr>
          <w:t xml:space="preserve">http://data.consilium.europa.eu/doc/document/ST-9565-2015-INIT/en/pdf</w:t>
        </w:r>
      </w:hyperlink>
      <w:r>
        <w:t xml:space="preserve">.</w:t>
      </w:r>
    </w:p>
    <w:bookmarkEnd w:id="88"/>
    <w:bookmarkStart w:id="90" w:name="ref-crabtree2016"/>
    <w:p>
      <w:pPr>
        <w:pStyle w:val="Bibliography"/>
      </w:pPr>
      <w:r>
        <w:t xml:space="preserve">Crabtree, A. and Mortier, R. (2016) ‘Personal Data, Privacy and the Internet of Things: The Shifting Locus of Agency and Control’,</w:t>
      </w:r>
      <w:r>
        <w:t xml:space="preserve"> </w:t>
      </w:r>
      <w:r>
        <w:rPr>
          <w:i/>
        </w:rPr>
        <w:t xml:space="preserve">SSRN Electronic Journal</w:t>
      </w:r>
      <w:r>
        <w:t xml:space="preserve">, pp. 1–20. doi:</w:t>
      </w:r>
      <w:r>
        <w:t xml:space="preserve"> </w:t>
      </w:r>
      <w:hyperlink r:id="rId89">
        <w:r>
          <w:rPr>
            <w:rStyle w:val="Hyperlink"/>
          </w:rPr>
          <w:t xml:space="preserve">10.2139/ssrn.2874312</w:t>
        </w:r>
      </w:hyperlink>
      <w:r>
        <w:t xml:space="preserve">.</w:t>
      </w:r>
    </w:p>
    <w:bookmarkEnd w:id="90"/>
    <w:bookmarkStart w:id="92" w:name="ref-wikipedia2018cambAna"/>
    <w:p>
      <w:pPr>
        <w:pStyle w:val="Bibliography"/>
      </w:pPr>
      <w:r>
        <w:t xml:space="preserve">‘Facebook–Cambridge Analytica Data Scandal’ (2014). Available at:</w:t>
      </w:r>
      <w:r>
        <w:t xml:space="preserve"> </w:t>
      </w:r>
      <w:hyperlink r:id="rId91">
        <w:r>
          <w:rPr>
            <w:rStyle w:val="Hyperlink"/>
          </w:rPr>
          <w:t xml:space="preserve">https://en.wikipedia.org/wiki/Facebook–Cambridge_Analytica_data_scandal</w:t>
        </w:r>
      </w:hyperlink>
      <w:r>
        <w:t xml:space="preserve">.</w:t>
      </w:r>
    </w:p>
    <w:bookmarkEnd w:id="92"/>
    <w:bookmarkStart w:id="94" w:name="ref-facebook2021priv"/>
    <w:p>
      <w:pPr>
        <w:pStyle w:val="Bibliography"/>
      </w:pPr>
      <w:r>
        <w:t xml:space="preserve">‘Facebook - Data Policy’ (no date). Available at:</w:t>
      </w:r>
      <w:r>
        <w:t xml:space="preserve"> </w:t>
      </w:r>
      <w:hyperlink r:id="rId93">
        <w:r>
          <w:rPr>
            <w:rStyle w:val="Hyperlink"/>
          </w:rPr>
          <w:t xml:space="preserve">https://www.facebook.com/about/privacy</w:t>
        </w:r>
      </w:hyperlink>
      <w:r>
        <w:t xml:space="preserve"> </w:t>
      </w:r>
      <w:r>
        <w:t xml:space="preserve">(Accessed: 9 August 2021).</w:t>
      </w:r>
    </w:p>
    <w:bookmarkEnd w:id="94"/>
    <w:bookmarkStart w:id="96" w:name="ref-gellman2013"/>
    <w:p>
      <w:pPr>
        <w:pStyle w:val="Bibliography"/>
      </w:pPr>
      <w:r>
        <w:t xml:space="preserve">Gellman, B. (2013) ‘Edward Snowden, after months of NSA revelations, says his mission’s accomplished’,</w:t>
      </w:r>
      <w:r>
        <w:t xml:space="preserve"> </w:t>
      </w:r>
      <w:r>
        <w:rPr>
          <w:i/>
        </w:rPr>
        <w:t xml:space="preserve">The Washington Post</w:t>
      </w:r>
      <w:r>
        <w:t xml:space="preserve">, 23. Available at:</w:t>
      </w:r>
      <w:r>
        <w:t xml:space="preserve"> </w:t>
      </w:r>
      <w:hyperlink r:id="rId95">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96"/>
    <w:bookmarkStart w:id="98" w:name="ref-glavic2021"/>
    <w:p>
      <w:pPr>
        <w:pStyle w:val="Bibliography"/>
      </w:pPr>
      <w:r>
        <w:t xml:space="preserve">Glavic, B.</w:t>
      </w:r>
      <w:r>
        <w:t xml:space="preserve"> </w:t>
      </w:r>
      <w:r>
        <w:rPr>
          <w:i/>
        </w:rPr>
        <w:t xml:space="preserve">et al.</w:t>
      </w:r>
      <w:r>
        <w:t xml:space="preserve"> </w:t>
      </w:r>
      <w:r>
        <w:t xml:space="preserve">(2021) ‘Trends in Explanations: Understanding and Debugging Data-driven Systems’,</w:t>
      </w:r>
      <w:r>
        <w:t xml:space="preserve"> </w:t>
      </w:r>
      <w:r>
        <w:rPr>
          <w:i/>
        </w:rPr>
        <w:t xml:space="preserve">Foundations and Trendsin Databases</w:t>
      </w:r>
      <w:r>
        <w:t xml:space="preserve">. Now Publishers, Inc., 11(3), pp. 226–318. doi:</w:t>
      </w:r>
      <w:r>
        <w:t xml:space="preserve"> </w:t>
      </w:r>
      <w:hyperlink r:id="rId97">
        <w:r>
          <w:rPr>
            <w:rStyle w:val="Hyperlink"/>
          </w:rPr>
          <w:t xml:space="preserve">10.1561/XXXXXXXXX.Boris</w:t>
        </w:r>
      </w:hyperlink>
      <w:r>
        <w:t xml:space="preserve">.</w:t>
      </w:r>
    </w:p>
    <w:bookmarkEnd w:id="98"/>
    <w:bookmarkStart w:id="99" w:name="ref-gonscherowski2018"/>
    <w:p>
      <w:pPr>
        <w:pStyle w:val="Bibliography"/>
      </w:pPr>
      <w:r>
        <w:t xml:space="preserve">Gonscherowski, S. and Bieker, F. (2018) ‘Who You Gonna Call When There’s Something Wrong in Your Processing? Risk Assessment and Data Breach Notifications in Practice’, in</w:t>
      </w:r>
      <w:r>
        <w:t xml:space="preserve"> </w:t>
      </w:r>
      <w:r>
        <w:rPr>
          <w:i/>
        </w:rPr>
        <w:t xml:space="preserve">IFIP international summer school on privacy and identity management</w:t>
      </w:r>
      <w:r>
        <w:t xml:space="preserve">. Springer, pp. 35–50.</w:t>
      </w:r>
    </w:p>
    <w:bookmarkEnd w:id="99"/>
    <w:bookmarkStart w:id="101" w:name="ref-gurstein2011"/>
    <w:p>
      <w:pPr>
        <w:pStyle w:val="Bibliography"/>
      </w:pPr>
      <w:r>
        <w:t xml:space="preserve">Gurstein, M. B. (2011) ‘Open data: Empowering the empowered or effective data use for everyone?’,</w:t>
      </w:r>
      <w:r>
        <w:t xml:space="preserve"> </w:t>
      </w:r>
      <w:r>
        <w:rPr>
          <w:i/>
        </w:rPr>
        <w:t xml:space="preserve">First Monday</w:t>
      </w:r>
      <w:r>
        <w:t xml:space="preserve">. First Monday, 16(2). doi:</w:t>
      </w:r>
      <w:r>
        <w:t xml:space="preserve"> </w:t>
      </w:r>
      <w:hyperlink r:id="rId100">
        <w:r>
          <w:rPr>
            <w:rStyle w:val="Hyperlink"/>
          </w:rPr>
          <w:t xml:space="preserve">10.5210/fm.v16i2.3316</w:t>
        </w:r>
      </w:hyperlink>
      <w:r>
        <w:t xml:space="preserve">.</w:t>
      </w:r>
    </w:p>
    <w:bookmarkEnd w:id="101"/>
    <w:bookmarkStart w:id="102" w:name="ref-hamon2021"/>
    <w:p>
      <w:pPr>
        <w:pStyle w:val="Bibliography"/>
      </w:pPr>
      <w:r>
        <w:t xml:space="preserve">Hamon, R.</w:t>
      </w:r>
      <w:r>
        <w:t xml:space="preserve"> </w:t>
      </w:r>
      <w:r>
        <w:rPr>
          <w:i/>
        </w:rPr>
        <w:t xml:space="preserve">et al.</w:t>
      </w:r>
      <w:r>
        <w:t xml:space="preserve"> </w:t>
      </w:r>
      <w:r>
        <w:t xml:space="preserve">(2021) ‘Impossible Explanations? Beyond explainable AI in the GDPR from a COVID-19 use case scenario’, in</w:t>
      </w:r>
      <w:r>
        <w:t xml:space="preserve"> </w:t>
      </w:r>
      <w:r>
        <w:rPr>
          <w:i/>
        </w:rPr>
        <w:t xml:space="preserve">Proceedings of the 2021 acm conference on fairness, accountability, and transparency</w:t>
      </w:r>
      <w:r>
        <w:t xml:space="preserve">, pp. 549–559.</w:t>
      </w:r>
    </w:p>
    <w:bookmarkEnd w:id="102"/>
    <w:bookmarkStart w:id="104" w:name="ref-hdilab2020"/>
    <w:p>
      <w:pPr>
        <w:pStyle w:val="Bibliography"/>
      </w:pPr>
      <w:r>
        <w:t xml:space="preserve">‘HDI Lab, Heerlen’ (2020). Available at:</w:t>
      </w:r>
      <w:r>
        <w:t xml:space="preserve"> </w:t>
      </w:r>
      <w:hyperlink r:id="rId103">
        <w:r>
          <w:rPr>
            <w:rStyle w:val="Hyperlink"/>
          </w:rPr>
          <w:t xml:space="preserve">https://hdilab.com/</w:t>
        </w:r>
      </w:hyperlink>
      <w:r>
        <w:t xml:space="preserve">.</w:t>
      </w:r>
    </w:p>
    <w:bookmarkEnd w:id="104"/>
    <w:bookmarkStart w:id="106" w:name="ref-hdiplus2018"/>
    <w:p>
      <w:pPr>
        <w:pStyle w:val="Bibliography"/>
      </w:pPr>
      <w:r>
        <w:t xml:space="preserve">‘HDI Network Plus, University of Glasgow’ (2018). Available at:</w:t>
      </w:r>
      <w:r>
        <w:t xml:space="preserve"> </w:t>
      </w:r>
      <w:hyperlink r:id="rId105">
        <w:r>
          <w:rPr>
            <w:rStyle w:val="Hyperlink"/>
          </w:rPr>
          <w:t xml:space="preserve">https://hdi-network.org/</w:t>
        </w:r>
      </w:hyperlink>
      <w:r>
        <w:t xml:space="preserve">.</w:t>
      </w:r>
    </w:p>
    <w:bookmarkEnd w:id="106"/>
    <w:bookmarkStart w:id="108" w:name="ref-human2021"/>
    <w:p>
      <w:pPr>
        <w:pStyle w:val="Bibliography"/>
      </w:pPr>
      <w:r>
        <w:t xml:space="preserve">Human, S. and Cech, F. (2021) ‘A human-centric perspective on digital consenting: The case of GAFAM’,</w:t>
      </w:r>
      <w:r>
        <w:t xml:space="preserve"> </w:t>
      </w:r>
      <w:r>
        <w:rPr>
          <w:i/>
        </w:rPr>
        <w:t xml:space="preserve">Smart Innovation, Systems and Technologies</w:t>
      </w:r>
      <w:r>
        <w:t xml:space="preserve">, 189, pp. 139–159. doi:</w:t>
      </w:r>
      <w:r>
        <w:t xml:space="preserve"> </w:t>
      </w:r>
      <w:hyperlink r:id="rId107">
        <w:r>
          <w:rPr>
            <w:rStyle w:val="Hyperlink"/>
          </w:rPr>
          <w:t xml:space="preserve">10.1007/978-981-15-5784-2_12</w:t>
        </w:r>
      </w:hyperlink>
      <w:r>
        <w:t xml:space="preserve">.</w:t>
      </w:r>
    </w:p>
    <w:bookmarkEnd w:id="108"/>
    <w:bookmarkStart w:id="110" w:name="ref-mit2015"/>
    <w:p>
      <w:pPr>
        <w:pStyle w:val="Bibliography"/>
      </w:pPr>
      <w:r>
        <w:t xml:space="preserve">‘Human Data Interaction Project at the Data to AI Lab, MIT’ (2015). Available at:</w:t>
      </w:r>
      <w:r>
        <w:t xml:space="preserve"> </w:t>
      </w:r>
      <w:hyperlink r:id="rId109">
        <w:r>
          <w:rPr>
            <w:rStyle w:val="Hyperlink"/>
          </w:rPr>
          <w:t xml:space="preserve">https://hdi-dai.lids.mit.edu/</w:t>
        </w:r>
      </w:hyperlink>
      <w:r>
        <w:t xml:space="preserve">.</w:t>
      </w:r>
    </w:p>
    <w:bookmarkEnd w:id="110"/>
    <w:bookmarkStart w:id="111" w:name="ref-hwang2021"/>
    <w:p>
      <w:pPr>
        <w:pStyle w:val="Bibliography"/>
      </w:pPr>
      <w:r>
        <w:t xml:space="preserve">Hwang, E. (2021) ‘Sketching Dialogue : Incorporating Sketching in Emphatic Semi-structured Interviews for HCI’.</w:t>
      </w:r>
    </w:p>
    <w:bookmarkEnd w:id="111"/>
    <w:bookmarkStart w:id="113" w:name="ref-ico2018"/>
    <w:p>
      <w:pPr>
        <w:pStyle w:val="Bibliography"/>
      </w:pPr>
      <w:r>
        <w:t xml:space="preserve">Information Commissioner’s Office (2018) ‘Your data matters - Your rights’. Available at:</w:t>
      </w:r>
      <w:r>
        <w:t xml:space="preserve"> </w:t>
      </w:r>
      <w:hyperlink r:id="rId112">
        <w:r>
          <w:rPr>
            <w:rStyle w:val="Hyperlink"/>
          </w:rPr>
          <w:t xml:space="preserve">https://ico.org.uk/your-data-matters/</w:t>
        </w:r>
      </w:hyperlink>
      <w:r>
        <w:t xml:space="preserve">.</w:t>
      </w:r>
    </w:p>
    <w:bookmarkEnd w:id="113"/>
    <w:bookmarkStart w:id="115" w:name="ref-ico2021sar"/>
    <w:p>
      <w:pPr>
        <w:pStyle w:val="Bibliography"/>
      </w:pPr>
      <w:r>
        <w:t xml:space="preserve">Information Commissioner’s Office (2021a) ‘Your right of access’. Available at:</w:t>
      </w:r>
      <w:r>
        <w:t xml:space="preserve"> </w:t>
      </w:r>
      <w:hyperlink r:id="rId114">
        <w:r>
          <w:rPr>
            <w:rStyle w:val="Hyperlink"/>
          </w:rPr>
          <w:t xml:space="preserve">https://ico.org.uk/your-data-matters/your-right-to-get-copies-of-your-data/</w:t>
        </w:r>
      </w:hyperlink>
      <w:r>
        <w:t xml:space="preserve"> </w:t>
      </w:r>
      <w:r>
        <w:t xml:space="preserve">(Accessed: 23 August 2021).</w:t>
      </w:r>
    </w:p>
    <w:bookmarkEnd w:id="115"/>
    <w:bookmarkStart w:id="116" w:name="ref-ico2021dp"/>
    <w:p>
      <w:pPr>
        <w:pStyle w:val="Bibliography"/>
      </w:pPr>
      <w:r>
        <w:t xml:space="preserve">Information Commissioner’s Office (2021b) ‘Your right to data portability’.</w:t>
      </w:r>
    </w:p>
    <w:bookmarkEnd w:id="116"/>
    <w:bookmarkStart w:id="118" w:name="ref-kasirzadeh2021"/>
    <w:p>
      <w:pPr>
        <w:pStyle w:val="Bibliography"/>
      </w:pPr>
      <w:r>
        <w:t xml:space="preserve">Kasirzadeh, A. and Clifford, D. (2021)</w:t>
      </w:r>
      <w:r>
        <w:t xml:space="preserve"> </w:t>
      </w:r>
      <w:r>
        <w:rPr>
          <w:i/>
        </w:rPr>
        <w:t xml:space="preserve">Fairness and Data Protection Impact Assessments</w:t>
      </w:r>
      <w:r>
        <w:t xml:space="preserve">. Association for Computing Machinery (1), pp. 146–153. doi:</w:t>
      </w:r>
      <w:r>
        <w:t xml:space="preserve"> </w:t>
      </w:r>
      <w:hyperlink r:id="rId117">
        <w:r>
          <w:rPr>
            <w:rStyle w:val="Hyperlink"/>
          </w:rPr>
          <w:t xml:space="preserve">10.1145/3461702.3462528</w:t>
        </w:r>
      </w:hyperlink>
      <w:r>
        <w:t xml:space="preserve">.</w:t>
      </w:r>
    </w:p>
    <w:bookmarkEnd w:id="118"/>
    <w:bookmarkStart w:id="120" w:name="ref-personaldataio2021list"/>
    <w:p>
      <w:pPr>
        <w:pStyle w:val="Bibliography"/>
      </w:pPr>
      <w:r>
        <w:t xml:space="preserve">‘List of target companies for GDPR requests’ (no date). Available at:</w:t>
      </w:r>
      <w:r>
        <w:t xml:space="preserve"> </w:t>
      </w:r>
      <w:hyperlink r:id="rId119">
        <w:r>
          <w:rPr>
            <w:rStyle w:val="Hyperlink"/>
          </w:rPr>
          <w:t xml:space="preserve">https://wiki.personaldata.io/wiki/Item:Q2369</w:t>
        </w:r>
      </w:hyperlink>
      <w:r>
        <w:t xml:space="preserve"> </w:t>
      </w:r>
      <w:r>
        <w:t xml:space="preserve">(Accessed: 22 September 2021).</w:t>
      </w:r>
    </w:p>
    <w:bookmarkEnd w:id="120"/>
    <w:bookmarkStart w:id="122" w:name="ref-luger2013"/>
    <w:p>
      <w:pPr>
        <w:pStyle w:val="Bibliography"/>
      </w:pPr>
      <w:r>
        <w:t xml:space="preserve">Luger, E. and Rodden, T. (2013) ‘An informed view on consent for ubicomp’, in</w:t>
      </w:r>
      <w:r>
        <w:t xml:space="preserve"> </w:t>
      </w:r>
      <w:r>
        <w:rPr>
          <w:i/>
        </w:rPr>
        <w:t xml:space="preserve">UbiComp 2013 - proceedings of the 2013 acm international joint conference on pervasive and ubiquitous computing</w:t>
      </w:r>
      <w:r>
        <w:t xml:space="preserve">. New York, New York, USA: ACM Press, pp. 529–538. doi:</w:t>
      </w:r>
      <w:r>
        <w:t xml:space="preserve"> </w:t>
      </w:r>
      <w:hyperlink r:id="rId121">
        <w:r>
          <w:rPr>
            <w:rStyle w:val="Hyperlink"/>
          </w:rPr>
          <w:t xml:space="preserve">10.1145/2493432.2493446</w:t>
        </w:r>
      </w:hyperlink>
      <w:r>
        <w:t xml:space="preserve">.</w:t>
      </w:r>
    </w:p>
    <w:bookmarkEnd w:id="122"/>
    <w:bookmarkStart w:id="124" w:name="ref-mccarthy2004"/>
    <w:p>
      <w:pPr>
        <w:pStyle w:val="Bibliography"/>
      </w:pPr>
      <w:r>
        <w:t xml:space="preserve">McCarthy, J. and Wright, P. (2004) ‘Technology as experience’,</w:t>
      </w:r>
      <w:r>
        <w:t xml:space="preserve"> </w:t>
      </w:r>
      <w:r>
        <w:rPr>
          <w:i/>
        </w:rPr>
        <w:t xml:space="preserve">Interactions</w:t>
      </w:r>
      <w:r>
        <w:t xml:space="preserve">, 11(5), pp. 42–43. doi:</w:t>
      </w:r>
      <w:r>
        <w:t xml:space="preserve"> </w:t>
      </w:r>
      <w:hyperlink r:id="rId123">
        <w:r>
          <w:rPr>
            <w:rStyle w:val="Hyperlink"/>
          </w:rPr>
          <w:t xml:space="preserve">10.1145/1015530.1015549</w:t>
        </w:r>
      </w:hyperlink>
      <w:r>
        <w:t xml:space="preserve">.</w:t>
      </w:r>
    </w:p>
    <w:bookmarkEnd w:id="124"/>
    <w:bookmarkStart w:id="126"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125">
        <w:r>
          <w:rPr>
            <w:rStyle w:val="Hyperlink"/>
          </w:rPr>
          <w:t xml:space="preserve">10.2139/ssrn.2508051</w:t>
        </w:r>
      </w:hyperlink>
      <w:r>
        <w:t xml:space="preserve">.</w:t>
      </w:r>
    </w:p>
    <w:bookmarkEnd w:id="126"/>
    <w:bookmarkStart w:id="128" w:name="ref-mydata2017declaration"/>
    <w:p>
      <w:pPr>
        <w:pStyle w:val="Bibliography"/>
      </w:pPr>
      <w:r>
        <w:t xml:space="preserve">MyData (2017) ‘Declaration - MyData.org’. Available at:</w:t>
      </w:r>
      <w:r>
        <w:t xml:space="preserve"> </w:t>
      </w:r>
      <w:hyperlink r:id="rId127">
        <w:r>
          <w:rPr>
            <w:rStyle w:val="Hyperlink"/>
          </w:rPr>
          <w:t xml:space="preserve">https://mydata.org/declaration/</w:t>
        </w:r>
      </w:hyperlink>
      <w:r>
        <w:t xml:space="preserve"> </w:t>
      </w:r>
      <w:r>
        <w:t xml:space="preserve">(Accessed: 8 November 2019).</w:t>
      </w:r>
    </w:p>
    <w:bookmarkEnd w:id="128"/>
    <w:bookmarkStart w:id="130" w:name="ref-mydata2018"/>
    <w:p>
      <w:pPr>
        <w:pStyle w:val="Bibliography"/>
      </w:pPr>
      <w:r>
        <w:t xml:space="preserve">MyData.org (2018) ‘MyData - Who we are’. Available at:</w:t>
      </w:r>
      <w:r>
        <w:t xml:space="preserve"> </w:t>
      </w:r>
      <w:hyperlink r:id="rId129">
        <w:r>
          <w:rPr>
            <w:rStyle w:val="Hyperlink"/>
          </w:rPr>
          <w:t xml:space="preserve">https://mydata.org/about/</w:t>
        </w:r>
      </w:hyperlink>
      <w:r>
        <w:t xml:space="preserve">.</w:t>
      </w:r>
    </w:p>
    <w:bookmarkEnd w:id="130"/>
    <w:bookmarkStart w:id="131" w:name="ref-mydex2010"/>
    <w:p>
      <w:pPr>
        <w:pStyle w:val="Bibliography"/>
      </w:pPr>
      <w:r>
        <w:t xml:space="preserve">Mydex CIC (2010) ‘The Case for Personal Information Empowerment : The rise of the personal data store’,</w:t>
      </w:r>
      <w:r>
        <w:t xml:space="preserve"> </w:t>
      </w:r>
      <w:r>
        <w:rPr>
          <w:i/>
        </w:rPr>
        <w:t xml:space="preserve">World</w:t>
      </w:r>
      <w:r>
        <w:t xml:space="preserve">, pp. 1–44.</w:t>
      </w:r>
    </w:p>
    <w:bookmarkEnd w:id="131"/>
    <w:bookmarkStart w:id="133" w:name="ref-odonnell2020"/>
    <w:p>
      <w:pPr>
        <w:pStyle w:val="Bibliography"/>
      </w:pPr>
      <w:r>
        <w:t xml:space="preserve">O’Donnell, B. (2020) ‘Zoom, the office and the future: What will work look like after coronavirus?’ Available at:</w:t>
      </w:r>
      <w:r>
        <w:t xml:space="preserve"> </w:t>
      </w:r>
      <w:hyperlink r:id="rId132">
        <w:r>
          <w:rPr>
            <w:rStyle w:val="Hyperlink"/>
          </w:rPr>
          <w:t xml:space="preserve">https://eu.usatoday.com/story/tech/columnist/2020/09/07/zoom-work-from-home-future-office-after-coronavirus/5680284002/</w:t>
        </w:r>
      </w:hyperlink>
      <w:r>
        <w:t xml:space="preserve">.</w:t>
      </w:r>
    </w:p>
    <w:bookmarkEnd w:id="133"/>
    <w:bookmarkStart w:id="135" w:name="ref-linkedin2021priv"/>
    <w:p>
      <w:pPr>
        <w:pStyle w:val="Bibliography"/>
      </w:pPr>
      <w:r>
        <w:t xml:space="preserve">‘Privacy’ (no date). Available at:</w:t>
      </w:r>
      <w:r>
        <w:t xml:space="preserve"> </w:t>
      </w:r>
      <w:hyperlink r:id="rId134">
        <w:r>
          <w:rPr>
            <w:rStyle w:val="Hyperlink"/>
          </w:rPr>
          <w:t xml:space="preserve">https://privacy.linkedin.com/</w:t>
        </w:r>
      </w:hyperlink>
      <w:r>
        <w:t xml:space="preserve"> </w:t>
      </w:r>
      <w:r>
        <w:t xml:space="preserve">(Accessed: 9 August 2021).</w:t>
      </w:r>
    </w:p>
    <w:bookmarkEnd w:id="135"/>
    <w:bookmarkStart w:id="137" w:name="ref-apple2021priv"/>
    <w:p>
      <w:pPr>
        <w:pStyle w:val="Bibliography"/>
      </w:pPr>
      <w:r>
        <w:t xml:space="preserve">‘Privacy - Apple (UK)’ (no date). Available at:</w:t>
      </w:r>
      <w:r>
        <w:t xml:space="preserve"> </w:t>
      </w:r>
      <w:hyperlink r:id="rId136">
        <w:r>
          <w:rPr>
            <w:rStyle w:val="Hyperlink"/>
          </w:rPr>
          <w:t xml:space="preserve">https://www.apple.com/uk/privacy/</w:t>
        </w:r>
      </w:hyperlink>
      <w:r>
        <w:t xml:space="preserve"> </w:t>
      </w:r>
      <w:r>
        <w:t xml:space="preserve">(Accessed: 9 August 2021).</w:t>
      </w:r>
    </w:p>
    <w:bookmarkEnd w:id="137"/>
    <w:bookmarkStart w:id="139" w:name="ref-google2021priv"/>
    <w:p>
      <w:pPr>
        <w:pStyle w:val="Bibliography"/>
      </w:pPr>
      <w:r>
        <w:t xml:space="preserve">‘Privacy &amp; Terms – Google’ (no date). Available at:</w:t>
      </w:r>
      <w:r>
        <w:t xml:space="preserve"> </w:t>
      </w:r>
      <w:hyperlink r:id="rId138">
        <w:r>
          <w:rPr>
            <w:rStyle w:val="Hyperlink"/>
          </w:rPr>
          <w:t xml:space="preserve">https://policies.google.com/</w:t>
        </w:r>
      </w:hyperlink>
      <w:r>
        <w:t xml:space="preserve"> </w:t>
      </w:r>
      <w:r>
        <w:t xml:space="preserve">(Accessed: 9 August 2021).</w:t>
      </w:r>
    </w:p>
    <w:bookmarkEnd w:id="139"/>
    <w:bookmarkStart w:id="140" w:name="ref-quinn2021"/>
    <w:p>
      <w:pPr>
        <w:pStyle w:val="Bibliography"/>
      </w:pPr>
      <w:r>
        <w:t xml:space="preserve">Quinn, P. (2021) ‘Research under the GDPR–a level playing field for public and private sector research?’,</w:t>
      </w:r>
      <w:r>
        <w:t xml:space="preserve"> </w:t>
      </w:r>
      <w:r>
        <w:rPr>
          <w:i/>
        </w:rPr>
        <w:t xml:space="preserve">Life Sciences, Society and Policy</w:t>
      </w:r>
      <w:r>
        <w:t xml:space="preserve">. Springer, 17(1), pp. 1–33.</w:t>
      </w:r>
    </w:p>
    <w:bookmarkEnd w:id="140"/>
    <w:bookmarkStart w:id="142" w:name="ref-savage2014"/>
    <w:p>
      <w:pPr>
        <w:pStyle w:val="Bibliography"/>
      </w:pPr>
      <w:r>
        <w:t xml:space="preserve">Savage, A. and Hyde, R. (2014) ‘Using freedom of information requests to facilitate research’,</w:t>
      </w:r>
      <w:r>
        <w:t xml:space="preserve"> </w:t>
      </w:r>
      <w:r>
        <w:rPr>
          <w:i/>
        </w:rPr>
        <w:t xml:space="preserve">International Journal of Social Research Methodology</w:t>
      </w:r>
      <w:r>
        <w:t xml:space="preserve">. Routledge, 17(3), pp. 303–317. doi:</w:t>
      </w:r>
      <w:r>
        <w:t xml:space="preserve"> </w:t>
      </w:r>
      <w:hyperlink r:id="rId141">
        <w:r>
          <w:rPr>
            <w:rStyle w:val="Hyperlink"/>
          </w:rPr>
          <w:t xml:space="preserve">10.1080/13645579.2012.742280</w:t>
        </w:r>
      </w:hyperlink>
      <w:r>
        <w:t xml:space="preserve">.</w:t>
      </w:r>
    </w:p>
    <w:bookmarkEnd w:id="142"/>
    <w:bookmarkStart w:id="143" w:name="ref-spagnuelo2019"/>
    <w:p>
      <w:pPr>
        <w:pStyle w:val="Bibliography"/>
      </w:pPr>
      <w:r>
        <w:t xml:space="preserve">Spagnuelo, D., Ferreira, A. and Lenzini, G. (2019) ‘Accomplishing Transparency within the General Data Protection Regulation.’, in</w:t>
      </w:r>
      <w:r>
        <w:t xml:space="preserve"> </w:t>
      </w:r>
      <w:r>
        <w:rPr>
          <w:i/>
        </w:rPr>
        <w:t xml:space="preserve">ICISSP</w:t>
      </w:r>
      <w:r>
        <w:t xml:space="preserve">, pp. 114–125.</w:t>
      </w:r>
    </w:p>
    <w:bookmarkEnd w:id="143"/>
    <w:bookmarkStart w:id="145" w:name="ref-symons2017"/>
    <w:p>
      <w:pPr>
        <w:pStyle w:val="Bibliography"/>
      </w:pPr>
      <w:r>
        <w:t xml:space="preserve">Symons, T.</w:t>
      </w:r>
      <w:r>
        <w:t xml:space="preserve"> </w:t>
      </w:r>
      <w:r>
        <w:rPr>
          <w:i/>
        </w:rPr>
        <w:t xml:space="preserve">et al.</w:t>
      </w:r>
      <w:r>
        <w:t xml:space="preserve"> </w:t>
      </w:r>
      <w:r>
        <w:t xml:space="preserve">(2017) ‘Me, my data and I: The future of the personal data economy’,</w:t>
      </w:r>
      <w:r>
        <w:t xml:space="preserve"> </w:t>
      </w:r>
      <w:r>
        <w:rPr>
          <w:i/>
        </w:rPr>
        <w:t xml:space="preserve">DECODE (DEecentralised Citizen Owned Data Ecosystems) Report</w:t>
      </w:r>
      <w:r>
        <w:t xml:space="preserve">, (732546), p. 88. Available at:</w:t>
      </w:r>
      <w:r>
        <w:t xml:space="preserve"> </w:t>
      </w:r>
      <w:hyperlink r:id="rId144">
        <w:r>
          <w:rPr>
            <w:rStyle w:val="Hyperlink"/>
          </w:rPr>
          <w:t xml:space="preserve">https://media.nesta.org.uk/documents/decode-02.pdf</w:t>
        </w:r>
      </w:hyperlink>
      <w:r>
        <w:t xml:space="preserve">.</w:t>
      </w:r>
    </w:p>
    <w:bookmarkEnd w:id="145"/>
    <w:bookmarkStart w:id="147" w:name="ref-EUParl2016gpdr"/>
    <w:p>
      <w:pPr>
        <w:pStyle w:val="Bibliography"/>
      </w:pPr>
      <w:r>
        <w:t xml:space="preserve">The European Parliament and the Council of the European Union (2016) ‘Regulation (EU) 2016/679 of the European Parliament and of the Council of 27 April 2016 on the protection of natural persons with regard to the processing of personal data and on the free movement of such data’. Available at:</w:t>
      </w:r>
      <w:r>
        <w:t xml:space="preserve"> </w:t>
      </w:r>
      <w:hyperlink r:id="rId146">
        <w:r>
          <w:rPr>
            <w:rStyle w:val="Hyperlink"/>
          </w:rPr>
          <w:t xml:space="preserve">https://eur-lex.europa.eu/eli/reg/2016/679/oj https://eur-lex.europa.eu/legal-content/EN/TXT/PDF/?uri=CELEX:32016R0679&amp;from=ES</w:t>
        </w:r>
      </w:hyperlink>
      <w:r>
        <w:t xml:space="preserve">.</w:t>
      </w:r>
    </w:p>
    <w:bookmarkEnd w:id="147"/>
    <w:bookmarkStart w:id="148" w:name="ref-waldman2020"/>
    <w:p>
      <w:pPr>
        <w:pStyle w:val="Bibliography"/>
      </w:pPr>
      <w:r>
        <w:t xml:space="preserve">Waldman, A. E. (2020) ‘Data Protection by Design ? A Critique of Article 25 of the GDPR’, 1239(2019), pp. 147–168.</w:t>
      </w:r>
    </w:p>
    <w:bookmarkEnd w:id="148"/>
    <w:bookmarkStart w:id="150" w:name="ref-weiser1991"/>
    <w:p>
      <w:pPr>
        <w:pStyle w:val="Bibliography"/>
      </w:pPr>
      <w:r>
        <w:t xml:space="preserve">Weiser, M. (1991) ‘The computer for the 21st century’,</w:t>
      </w:r>
      <w:r>
        <w:t xml:space="preserve"> </w:t>
      </w:r>
      <w:r>
        <w:rPr>
          <w:i/>
        </w:rPr>
        <w:t xml:space="preserve">Scientific American</w:t>
      </w:r>
      <w:r>
        <w:t xml:space="preserve">, 265(3), pp. 94–105. doi:</w:t>
      </w:r>
      <w:r>
        <w:t xml:space="preserve"> </w:t>
      </w:r>
      <w:hyperlink r:id="rId149">
        <w:r>
          <w:rPr>
            <w:rStyle w:val="Hyperlink"/>
          </w:rPr>
          <w:t xml:space="preserve">10.1145/329124.329126</w:t>
        </w:r>
      </w:hyperlink>
      <w:r>
        <w:t xml:space="preserve">.</w:t>
      </w:r>
    </w:p>
    <w:bookmarkEnd w:id="150"/>
    <w:bookmarkStart w:id="152" w:name="ref-personaldataio2021wiki"/>
    <w:p>
      <w:pPr>
        <w:pStyle w:val="Bibliography"/>
      </w:pPr>
      <w:r>
        <w:t xml:space="preserve">Wiki.personaldata.io (no date) ‘Subject Access Request Template’. Available at:</w:t>
      </w:r>
      <w:r>
        <w:t xml:space="preserve"> </w:t>
      </w:r>
      <w:hyperlink r:id="rId151">
        <w:r>
          <w:rPr>
            <w:rStyle w:val="Hyperlink"/>
          </w:rPr>
          <w:t xml:space="preserve">https://wiki.personaldata.io/wiki/Template:Access</w:t>
        </w:r>
      </w:hyperlink>
      <w:r>
        <w:t xml:space="preserve"> </w:t>
      </w:r>
      <w:r>
        <w:t xml:space="preserve">(Accessed: 21 September 2021).</w:t>
      </w:r>
    </w:p>
    <w:bookmarkEnd w:id="152"/>
    <w:bookmarkStart w:id="153" w:name="ref-wong2018"/>
    <w:p>
      <w:pPr>
        <w:pStyle w:val="Bibliography"/>
      </w:pPr>
      <w:r>
        <w:t xml:space="preserve">Wong, J. and Henderson, T. (2018) ‘How Portable is Portable ? Exercising the GDPR ’ s Right to Data Portability’,</w:t>
      </w:r>
      <w:r>
        <w:t xml:space="preserve"> </w:t>
      </w:r>
      <w:r>
        <w:rPr>
          <w:i/>
        </w:rPr>
        <w:t xml:space="preserve">Acm</w:t>
      </w:r>
      <w:r>
        <w:t xml:space="preserve">, pp. 911–920.</w:t>
      </w:r>
    </w:p>
    <w:bookmarkEnd w:id="153"/>
    <w:bookmarkStart w:id="155" w:name="ref-woolgar2014"/>
    <w:p>
      <w:pPr>
        <w:pStyle w:val="Bibliography"/>
      </w:pPr>
      <w:r>
        <w:t xml:space="preserve">Woolgar, S. (2014) ‘Configuring the User: The Case of Usability Trials’,</w:t>
      </w:r>
      <w:r>
        <w:t xml:space="preserve"> </w:t>
      </w:r>
      <w:r>
        <w:rPr>
          <w:i/>
        </w:rPr>
        <w:t xml:space="preserve">The Sociological Review</w:t>
      </w:r>
      <w:r>
        <w:t xml:space="preserve">, 38, pp. 58–99. doi:</w:t>
      </w:r>
      <w:r>
        <w:t xml:space="preserve"> </w:t>
      </w:r>
      <w:hyperlink r:id="rId154">
        <w:r>
          <w:rPr>
            <w:rStyle w:val="Hyperlink"/>
          </w:rPr>
          <w:t xml:space="preserve">10.1111/j.1467-954x.1990.tb03349.x</w:t>
        </w:r>
      </w:hyperlink>
      <w:r>
        <w:t xml:space="preserve">.</w:t>
      </w:r>
    </w:p>
    <w:bookmarkEnd w:id="155"/>
    <w:bookmarkStart w:id="157" w:name="ref-wright2008"/>
    <w:p>
      <w:pPr>
        <w:pStyle w:val="Bibliography"/>
      </w:pPr>
      <w:r>
        <w:t xml:space="preserve">Wright, P. and McCarthy, J. (2008) ‘Empathy and experience in HCI’,</w:t>
      </w:r>
      <w:r>
        <w:t xml:space="preserve"> </w:t>
      </w:r>
      <w:r>
        <w:rPr>
          <w:i/>
        </w:rPr>
        <w:t xml:space="preserve">Conference on Human Factors in Computing Systems - Proceedings</w:t>
      </w:r>
      <w:r>
        <w:t xml:space="preserve">, pp. 637–646. doi:</w:t>
      </w:r>
      <w:r>
        <w:t xml:space="preserve"> </w:t>
      </w:r>
      <w:hyperlink r:id="rId156">
        <w:r>
          <w:rPr>
            <w:rStyle w:val="Hyperlink"/>
          </w:rPr>
          <w:t xml:space="preserve">10.1145/1357054.1357156</w:t>
        </w:r>
      </w:hyperlink>
      <w:r>
        <w:t xml:space="preserve">.</w:t>
      </w:r>
    </w:p>
    <w:bookmarkEnd w:id="157"/>
    <w:bookmarkStart w:id="159" w:name="ref-zuckerman2021"/>
    <w:p>
      <w:pPr>
        <w:pStyle w:val="Bibliography"/>
      </w:pPr>
      <w:r>
        <w:t xml:space="preserve">Zuckerman, E. (2021)</w:t>
      </w:r>
      <w:r>
        <w:t xml:space="preserve"> </w:t>
      </w:r>
      <w:r>
        <w:rPr>
          <w:i/>
        </w:rPr>
        <w:t xml:space="preserve">Mistrust: Why Losing Faith In Institutions Provides The Tools To Transform Them</w:t>
      </w:r>
      <w:r>
        <w:t xml:space="preserve">. New York, NY, USA: W. W. Norton &amp; Company, pp. 1–3. doi:</w:t>
      </w:r>
      <w:r>
        <w:t xml:space="preserve"> </w:t>
      </w:r>
      <w:hyperlink r:id="rId158">
        <w:r>
          <w:rPr>
            <w:rStyle w:val="Hyperlink"/>
          </w:rPr>
          <w:t xml:space="preserve">10.1017/ipo.2021.30</w:t>
        </w:r>
      </w:hyperlink>
      <w:r>
        <w:t xml:space="preserve">.</w:t>
      </w:r>
    </w:p>
    <w:bookmarkEnd w:id="159"/>
    <w:bookmarkEnd w:id="160"/>
    <w:bookmarkEnd w:id="1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
        </w:rPr>
        <w:t xml:space="preserve">lack</w:t>
      </w:r>
      <w:r>
        <w:t xml:space="preserve">.</w:t>
      </w:r>
    </w:p>
  </w:footnote>
  <w:footnote w:id="22">
    <w:p>
      <w:pPr>
        <w:pStyle w:val="FootnoteText"/>
      </w:pPr>
      <w:r>
        <w:rPr>
          <w:rStyle w:val="FootnoteReference"/>
        </w:rPr>
        <w:footnoteRef/>
      </w:r>
      <w:r>
        <w:t xml:space="preserve"> </w:t>
      </w:r>
      <w:r>
        <w:t xml:space="preserve">At the time of writing (autumn 2021) the GPDR legally applies in both the European Union and the United Kingdom,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87" Target="http://data.consilium.europa.eu/doc/document/ST-9565-2015-INIT/en/pdf" TargetMode="External" /><Relationship Type="http://schemas.openxmlformats.org/officeDocument/2006/relationships/hyperlink" Id="rId9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70" Target="https://doi.org/10.1007/978-3-030-29959-0_33" TargetMode="External" /><Relationship Type="http://schemas.openxmlformats.org/officeDocument/2006/relationships/hyperlink" Id="rId107" Target="https://doi.org/10.1007/978-981-15-5784-2_12" TargetMode="External" /><Relationship Type="http://schemas.openxmlformats.org/officeDocument/2006/relationships/hyperlink" Id="rId158" Target="https://doi.org/10.1017/ipo.2021.30" TargetMode="External" /><Relationship Type="http://schemas.openxmlformats.org/officeDocument/2006/relationships/hyperlink" Id="rId141" Target="https://doi.org/10.1080/13645579.2012.742280" TargetMode="External" /><Relationship Type="http://schemas.openxmlformats.org/officeDocument/2006/relationships/hyperlink" Id="rId81" Target="https://doi.org/10.1109/icws49710.2020.00017" TargetMode="External" /><Relationship Type="http://schemas.openxmlformats.org/officeDocument/2006/relationships/hyperlink" Id="rId154" Target="https://doi.org/10.1111/j.1467-954x.1990.tb03349.x" TargetMode="External" /><Relationship Type="http://schemas.openxmlformats.org/officeDocument/2006/relationships/hyperlink" Id="rId123" Target="https://doi.org/10.1145/1015530.1015549" TargetMode="External" /><Relationship Type="http://schemas.openxmlformats.org/officeDocument/2006/relationships/hyperlink" Id="rId156" Target="https://doi.org/10.1145/1357054.1357156" TargetMode="External" /><Relationship Type="http://schemas.openxmlformats.org/officeDocument/2006/relationships/hyperlink" Id="rId121" Target="https://doi.org/10.1145/2493432.2493446" TargetMode="External" /><Relationship Type="http://schemas.openxmlformats.org/officeDocument/2006/relationships/hyperlink" Id="rId149" Target="https://doi.org/10.1145/329124.329126" TargetMode="External" /><Relationship Type="http://schemas.openxmlformats.org/officeDocument/2006/relationships/hyperlink" Id="rId68" Target="https://doi.org/10.1145/3340764.3344913" TargetMode="External" /><Relationship Type="http://schemas.openxmlformats.org/officeDocument/2006/relationships/hyperlink" Id="rId66" Target="https://doi.org/10.1145/344949.344988" TargetMode="External" /><Relationship Type="http://schemas.openxmlformats.org/officeDocument/2006/relationships/hyperlink" Id="rId117" Target="https://doi.org/10.1145/3461702.3462528" TargetMode="External" /><Relationship Type="http://schemas.openxmlformats.org/officeDocument/2006/relationships/hyperlink" Id="rId97" Target="https://doi.org/10.1561/XXXXXXXXX.Boris" TargetMode="External" /><Relationship Type="http://schemas.openxmlformats.org/officeDocument/2006/relationships/hyperlink" Id="rId125" Target="https://doi.org/10.2139/ssrn.2508051" TargetMode="External" /><Relationship Type="http://schemas.openxmlformats.org/officeDocument/2006/relationships/hyperlink" Id="rId89" Target="https://doi.org/10.2139/ssrn.2874312" TargetMode="External" /><Relationship Type="http://schemas.openxmlformats.org/officeDocument/2006/relationships/hyperlink" Id="rId72" Target="https://doi.org/10.2139/ssrn.3465680" TargetMode="External" /><Relationship Type="http://schemas.openxmlformats.org/officeDocument/2006/relationships/hyperlink" Id="rId100" Target="https://doi.org/10.5210/fm.v16i2.3316" TargetMode="External" /><Relationship Type="http://schemas.openxmlformats.org/officeDocument/2006/relationships/hyperlink" Id="rId64" Target="https://doi.org/http://dx.doi.org/10.1145/2370216.2370222" TargetMode="External" /><Relationship Type="http://schemas.openxmlformats.org/officeDocument/2006/relationships/hyperlink" Id="rId91" Target="https://en.wikipedia.org/wiki/Facebook&#8211;Cambridge_Analytica_data_scandal" TargetMode="External" /><Relationship Type="http://schemas.openxmlformats.org/officeDocument/2006/relationships/hyperlink" Id="rId79" Target="https://eprints.ncl.ac.uk/273832#." TargetMode="External" /><Relationship Type="http://schemas.openxmlformats.org/officeDocument/2006/relationships/hyperlink" Id="rId132" Target="https://eu.usatoday.com/story/tech/columnist/2020/09/07/zoom-work-from-home-future-office-after-coronavirus/5680284002/" TargetMode="External" /><Relationship Type="http://schemas.openxmlformats.org/officeDocument/2006/relationships/hyperlink" Id="rId146" Target="https://eur-lex.europa.eu/eli/reg/2016/679/oj%20https://eur-lex.europa.eu/legal-content/EN/TXT/PDF/?uri=CELEX:32016R0679&amp;from=ES" TargetMode="External" /><Relationship Type="http://schemas.openxmlformats.org/officeDocument/2006/relationships/hyperlink" Id="rId109" Target="https://hdi-dai.lids.mit.edu/" TargetMode="External" /><Relationship Type="http://schemas.openxmlformats.org/officeDocument/2006/relationships/hyperlink" Id="rId105" Target="https://hdi-network.org/" TargetMode="External" /><Relationship Type="http://schemas.openxmlformats.org/officeDocument/2006/relationships/hyperlink" Id="rId103" Target="https://hdilab.com/" TargetMode="External" /><Relationship Type="http://schemas.openxmlformats.org/officeDocument/2006/relationships/hyperlink" Id="rId112" Target="https://ico.org.uk/your-data-matters/" TargetMode="External" /><Relationship Type="http://schemas.openxmlformats.org/officeDocument/2006/relationships/hyperlink" Id="rId114" Target="https://ico.org.uk/your-data-matters/your-right-to-get-copies-of-your-data/" TargetMode="External" /><Relationship Type="http://schemas.openxmlformats.org/officeDocument/2006/relationships/hyperlink" Id="rId144" Target="https://media.nesta.org.uk/documents/decode-02.pdf" TargetMode="External" /><Relationship Type="http://schemas.openxmlformats.org/officeDocument/2006/relationships/hyperlink" Id="rId129" Target="https://mydata.org/about/" TargetMode="External" /><Relationship Type="http://schemas.openxmlformats.org/officeDocument/2006/relationships/hyperlink" Id="rId127" Target="https://mydata.org/declaration/" TargetMode="External" /><Relationship Type="http://schemas.openxmlformats.org/officeDocument/2006/relationships/hyperlink" Id="rId138" Target="https://policies.google.com/" TargetMode="External" /><Relationship Type="http://schemas.openxmlformats.org/officeDocument/2006/relationships/hyperlink" Id="rId134" Target="https://privacy.linkedin.com/" TargetMode="External" /><Relationship Type="http://schemas.openxmlformats.org/officeDocument/2006/relationships/hyperlink" Id="rId119" Target="https://wiki.personaldata.io/wiki/Item:Q2369" TargetMode="External" /><Relationship Type="http://schemas.openxmlformats.org/officeDocument/2006/relationships/hyperlink" Id="rId151" Target="https://wiki.personaldata.io/wiki/Template:Access" TargetMode="External" /><Relationship Type="http://schemas.openxmlformats.org/officeDocument/2006/relationships/hyperlink" Id="rId136" Target="https://www.apple.com/uk/privacy/" TargetMode="External" /><Relationship Type="http://schemas.openxmlformats.org/officeDocument/2006/relationships/hyperlink" Id="rId77" Target="https://www.bbc.co.uk/rd/projects/human-data-interaction" TargetMode="External" /><Relationship Type="http://schemas.openxmlformats.org/officeDocument/2006/relationships/hyperlink" Id="rId93" Target="https://www.facebook.com/about/privacy" TargetMode="External" /><Relationship Type="http://schemas.openxmlformats.org/officeDocument/2006/relationships/hyperlink" Id="rId83" Target="https://www.vox.com/policy-and-politics/2018/3/23/17151916/facebook-cambridge-analytica-trump-diagram" TargetMode="External" /><Relationship Type="http://schemas.openxmlformats.org/officeDocument/2006/relationships/hyperlink" Id="rId74" Target="www.irissproject.eu%20https://papers.ssrn.com/sol3/papers.cfm?abstract_id=3106632" TargetMode="External" /></Relationships>
</file>

<file path=word/_rels/footnotes.xml.rels><?xml version="1.0" encoding="UTF-8"?>
<Relationships xmlns="http://schemas.openxmlformats.org/package/2006/relationships"><Relationship Type="http://schemas.openxmlformats.org/officeDocument/2006/relationships/hyperlink" Id="rId87" Target="http://data.consilium.europa.eu/doc/document/ST-9565-2015-INIT/en/pdf" TargetMode="External" /><Relationship Type="http://schemas.openxmlformats.org/officeDocument/2006/relationships/hyperlink" Id="rId9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70" Target="https://doi.org/10.1007/978-3-030-29959-0_33" TargetMode="External" /><Relationship Type="http://schemas.openxmlformats.org/officeDocument/2006/relationships/hyperlink" Id="rId107" Target="https://doi.org/10.1007/978-981-15-5784-2_12" TargetMode="External" /><Relationship Type="http://schemas.openxmlformats.org/officeDocument/2006/relationships/hyperlink" Id="rId158" Target="https://doi.org/10.1017/ipo.2021.30" TargetMode="External" /><Relationship Type="http://schemas.openxmlformats.org/officeDocument/2006/relationships/hyperlink" Id="rId141" Target="https://doi.org/10.1080/13645579.2012.742280" TargetMode="External" /><Relationship Type="http://schemas.openxmlformats.org/officeDocument/2006/relationships/hyperlink" Id="rId81" Target="https://doi.org/10.1109/icws49710.2020.00017" TargetMode="External" /><Relationship Type="http://schemas.openxmlformats.org/officeDocument/2006/relationships/hyperlink" Id="rId154" Target="https://doi.org/10.1111/j.1467-954x.1990.tb03349.x" TargetMode="External" /><Relationship Type="http://schemas.openxmlformats.org/officeDocument/2006/relationships/hyperlink" Id="rId123" Target="https://doi.org/10.1145/1015530.1015549" TargetMode="External" /><Relationship Type="http://schemas.openxmlformats.org/officeDocument/2006/relationships/hyperlink" Id="rId156" Target="https://doi.org/10.1145/1357054.1357156" TargetMode="External" /><Relationship Type="http://schemas.openxmlformats.org/officeDocument/2006/relationships/hyperlink" Id="rId121" Target="https://doi.org/10.1145/2493432.2493446" TargetMode="External" /><Relationship Type="http://schemas.openxmlformats.org/officeDocument/2006/relationships/hyperlink" Id="rId149" Target="https://doi.org/10.1145/329124.329126" TargetMode="External" /><Relationship Type="http://schemas.openxmlformats.org/officeDocument/2006/relationships/hyperlink" Id="rId68" Target="https://doi.org/10.1145/3340764.3344913" TargetMode="External" /><Relationship Type="http://schemas.openxmlformats.org/officeDocument/2006/relationships/hyperlink" Id="rId66" Target="https://doi.org/10.1145/344949.344988" TargetMode="External" /><Relationship Type="http://schemas.openxmlformats.org/officeDocument/2006/relationships/hyperlink" Id="rId117" Target="https://doi.org/10.1145/3461702.3462528" TargetMode="External" /><Relationship Type="http://schemas.openxmlformats.org/officeDocument/2006/relationships/hyperlink" Id="rId97" Target="https://doi.org/10.1561/XXXXXXXXX.Boris" TargetMode="External" /><Relationship Type="http://schemas.openxmlformats.org/officeDocument/2006/relationships/hyperlink" Id="rId125" Target="https://doi.org/10.2139/ssrn.2508051" TargetMode="External" /><Relationship Type="http://schemas.openxmlformats.org/officeDocument/2006/relationships/hyperlink" Id="rId89" Target="https://doi.org/10.2139/ssrn.2874312" TargetMode="External" /><Relationship Type="http://schemas.openxmlformats.org/officeDocument/2006/relationships/hyperlink" Id="rId72" Target="https://doi.org/10.2139/ssrn.3465680" TargetMode="External" /><Relationship Type="http://schemas.openxmlformats.org/officeDocument/2006/relationships/hyperlink" Id="rId100" Target="https://doi.org/10.5210/fm.v16i2.3316" TargetMode="External" /><Relationship Type="http://schemas.openxmlformats.org/officeDocument/2006/relationships/hyperlink" Id="rId64" Target="https://doi.org/http://dx.doi.org/10.1145/2370216.2370222" TargetMode="External" /><Relationship Type="http://schemas.openxmlformats.org/officeDocument/2006/relationships/hyperlink" Id="rId91" Target="https://en.wikipedia.org/wiki/Facebook&#8211;Cambridge_Analytica_data_scandal" TargetMode="External" /><Relationship Type="http://schemas.openxmlformats.org/officeDocument/2006/relationships/hyperlink" Id="rId79" Target="https://eprints.ncl.ac.uk/273832#." TargetMode="External" /><Relationship Type="http://schemas.openxmlformats.org/officeDocument/2006/relationships/hyperlink" Id="rId132" Target="https://eu.usatoday.com/story/tech/columnist/2020/09/07/zoom-work-from-home-future-office-after-coronavirus/5680284002/" TargetMode="External" /><Relationship Type="http://schemas.openxmlformats.org/officeDocument/2006/relationships/hyperlink" Id="rId146" Target="https://eur-lex.europa.eu/eli/reg/2016/679/oj%20https://eur-lex.europa.eu/legal-content/EN/TXT/PDF/?uri=CELEX:32016R0679&amp;from=ES" TargetMode="External" /><Relationship Type="http://schemas.openxmlformats.org/officeDocument/2006/relationships/hyperlink" Id="rId109" Target="https://hdi-dai.lids.mit.edu/" TargetMode="External" /><Relationship Type="http://schemas.openxmlformats.org/officeDocument/2006/relationships/hyperlink" Id="rId105" Target="https://hdi-network.org/" TargetMode="External" /><Relationship Type="http://schemas.openxmlformats.org/officeDocument/2006/relationships/hyperlink" Id="rId103" Target="https://hdilab.com/" TargetMode="External" /><Relationship Type="http://schemas.openxmlformats.org/officeDocument/2006/relationships/hyperlink" Id="rId112" Target="https://ico.org.uk/your-data-matters/" TargetMode="External" /><Relationship Type="http://schemas.openxmlformats.org/officeDocument/2006/relationships/hyperlink" Id="rId114" Target="https://ico.org.uk/your-data-matters/your-right-to-get-copies-of-your-data/" TargetMode="External" /><Relationship Type="http://schemas.openxmlformats.org/officeDocument/2006/relationships/hyperlink" Id="rId144" Target="https://media.nesta.org.uk/documents/decode-02.pdf" TargetMode="External" /><Relationship Type="http://schemas.openxmlformats.org/officeDocument/2006/relationships/hyperlink" Id="rId129" Target="https://mydata.org/about/" TargetMode="External" /><Relationship Type="http://schemas.openxmlformats.org/officeDocument/2006/relationships/hyperlink" Id="rId127" Target="https://mydata.org/declaration/" TargetMode="External" /><Relationship Type="http://schemas.openxmlformats.org/officeDocument/2006/relationships/hyperlink" Id="rId138" Target="https://policies.google.com/" TargetMode="External" /><Relationship Type="http://schemas.openxmlformats.org/officeDocument/2006/relationships/hyperlink" Id="rId134" Target="https://privacy.linkedin.com/" TargetMode="External" /><Relationship Type="http://schemas.openxmlformats.org/officeDocument/2006/relationships/hyperlink" Id="rId119" Target="https://wiki.personaldata.io/wiki/Item:Q2369" TargetMode="External" /><Relationship Type="http://schemas.openxmlformats.org/officeDocument/2006/relationships/hyperlink" Id="rId151" Target="https://wiki.personaldata.io/wiki/Template:Access" TargetMode="External" /><Relationship Type="http://schemas.openxmlformats.org/officeDocument/2006/relationships/hyperlink" Id="rId136" Target="https://www.apple.com/uk/privacy/" TargetMode="External" /><Relationship Type="http://schemas.openxmlformats.org/officeDocument/2006/relationships/hyperlink" Id="rId77" Target="https://www.bbc.co.uk/rd/projects/human-data-interaction" TargetMode="External" /><Relationship Type="http://schemas.openxmlformats.org/officeDocument/2006/relationships/hyperlink" Id="rId93" Target="https://www.facebook.com/about/privacy" TargetMode="External" /><Relationship Type="http://schemas.openxmlformats.org/officeDocument/2006/relationships/hyperlink" Id="rId83" Target="https://www.vox.com/policy-and-politics/2018/3/23/17151916/facebook-cambridge-analytica-trump-diagram" TargetMode="External" /><Relationship Type="http://schemas.openxmlformats.org/officeDocument/2006/relationships/hyperlink" Id="rId74" Target="www.irissproject.eu%20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Designing Human Data Relations</dc:title>
  <dc:creator>Alex Bowyer</dc:creator>
  <cp:keywords/>
  <dcterms:created xsi:type="dcterms:W3CDTF">2021-10-06T22:10:45Z</dcterms:created>
  <dcterms:modified xsi:type="dcterms:W3CDTF">2021-10-06T22:10:45Z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