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
        </w:rPr>
        <w:t xml:space="preserve">et al.</w:t>
      </w:r>
      <w:r>
        <w:t xml:space="preserve"> </w:t>
      </w:r>
      <w:r>
        <w:t xml:space="preserve">(</w:t>
      </w:r>
      <w:hyperlink w:anchor="ref-bowyer2018b">
        <w:r>
          <w:rPr>
            <w:rStyle w:val="Hyperlink"/>
          </w:rPr>
          <w:t xml:space="preserve">2018</w:t>
        </w:r>
      </w:hyperlink>
      <w:r>
        <w:t xml:space="preserve">)</w:t>
      </w:r>
      <w:r>
        <w:t xml:space="preserve">; 4.2.2; 4.4.1]:</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
        </w:rPr>
        <w:t xml:space="preserve">“</w:t>
      </w:r>
      <w:r>
        <w:rPr>
          <w:i/>
        </w:rPr>
        <w:t xml:space="preserve">box-ticking exercise</w:t>
      </w:r>
      <w:r>
        <w:rPr>
          <w:i/>
        </w:rP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2022-03-27T14:02:53Z</dcterms:created>
  <dcterms:modified xsi:type="dcterms:W3CDTF">2022-03-27T14:02:53Z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