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7.png" ContentType="image/png"/>
  <Override PartName="/word/media/rId41.png" ContentType="image/png"/>
  <Override PartName="/word/media/rId55.png" ContentType="image/png"/>
  <Override PartName="/word/media/rId58.png" ContentType="image/png"/>
  <Override PartName="/word/media/rId61.png" ContentType="image/png"/>
  <Override PartName="/word/media/rId45.png" ContentType="image/png"/>
  <Override PartName="/word/media/rId48.png" ContentType="image/png"/>
  <Override PartName="/word/media/rId51.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85"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 and the storm is data, and the data is life.</w:t>
      </w:r>
      <w:r>
        <w:rPr>
          <w:iCs/>
          <w:i/>
        </w:rPr>
        <w:t xml:space="preserve">You have been slaves, denied the storm, denied the freedom of your data.</w:t>
      </w:r>
      <w:r>
        <w:rPr>
          <w:iCs/>
          <w:i/>
        </w:rPr>
        <w:t xml:space="preserve">That is now ended; the whirlwind is upon you . . . . . . Whether you like it or not.</w:t>
      </w:r>
      <w:r>
        <w:rPr>
          <w:iCs/>
          <w:i/>
        </w:rPr>
        <w:t xml:space="preserve">”</w:t>
      </w:r>
      <w:r>
        <w:t xml:space="preserve"> </w:t>
      </w:r>
      <w:r>
        <w:t xml:space="preserve">– 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 (computer programmer and science fiction writer)</w:t>
      </w:r>
    </w:p>
    <w:p>
      <w:pPr>
        <w:pStyle w:val="FirstParagraph"/>
      </w:pPr>
      <w:r>
        <w:t xml:space="preserve">In this chapter, I will describe the second major case study of this PhD, in which I took 11</w:t>
      </w:r>
      <w:r>
        <w:rPr>
          <w:rStyle w:val="FootnoteReference"/>
        </w:rPr>
        <w:footnoteReference w:id="20"/>
      </w:r>
      <w:r>
        <w:t xml:space="preserve"> </w:t>
      </w:r>
      <w:r>
        <w:t xml:space="preserve">participants through an longitudinal in-depth one-on-one process of three interviews with coaching and support in between, with the total engagement per participant lasting approximately 4 hours over a three 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(see 2.1), with each individual having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t xml:space="preserve">“</w:t>
      </w:r>
      <w:r>
        <w:t xml:space="preserve">the human experience of accessing your data with GDPR.</w:t>
      </w:r>
      <w:r>
        <w:t xml:space="preserve">”</w:t>
      </w:r>
    </w:p>
    <w:p>
      <w:pPr>
        <w:pStyle w:val="BodyText"/>
      </w:pPr>
      <w:r>
        <w:t xml:space="preserve">In section 5.1, I will expand on chapter 2 to explain the context of using GDPR in research as a means to retrieve personal data. In 5.2, I will explain the stages of the interview process (including details of how participants were sensitised) as well as the preparatory and intermediate steps I undertook as researcher. In section 5.3,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 5.4, I will describe the three themes uncovered through thematic analysis: that organisations provided participants with insufficient transparency to meet participants’ hopes and their legal obligations (5.4.1), that people struggle to find meaning and value in their data when they do manage to access it (5.4.2), and that providers’ data practices (in particular their GDPR request handling) can be harmful to their users’ trust, but that greater openness can have an opposite, positive impact (5.4.3). I will discuss the implications of these findings with reference to prior literature, from the perspective of policymakers (5.5.1), data-holding companies (5.5.2), and individuals (5.5.3). Finally in 5.6,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[TODO add visual on The Types of Personal Data]</w:t>
      </w:r>
    </w:p>
    <w:p>
      <w:pPr>
        <w:pStyle w:val="BodyText"/>
      </w:pPr>
      <w:r>
        <w:t xml:space="preserve">As established in 2.1.2 and 2.2.4,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decision-making and customer relations become less important. This everyday context is the chosen research setting for this case study.</w:t>
      </w:r>
    </w:p>
    <w:p>
      <w:pPr>
        <w:pStyle w:val="BodyText"/>
      </w:pPr>
      <w:r>
        <w:t xml:space="preserve">Section 2.1.4 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described in section 2.1.3,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14">
        <w:r>
          <w:rPr>
            <w:rStyle w:val="Hyperlink"/>
          </w:rPr>
          <w:t xml:space="preserve">14</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it is not known how effective these offerings and processes are for service users, and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This presents an opportunity to take individuals who have not previously used these capabilities on a journey of discovery that might enable us to assess the impact of these processes over time and whether–by compelling data holders to create such offerings and respond to access requests–GDPR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can also provide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provide an outline approach for using the GDPR in research as well as describing the many ethical and metholodogical considerations that should be made. GDPR research can however be as simple as inviting participants to exercise their rights of access and talking to them about the experience and any changes in their perspective, which is the approach this study uses, as detailed below.</w:t>
      </w:r>
    </w:p>
    <w:p>
      <w:pPr>
        <w:pStyle w:val="BodyText"/>
      </w:pPr>
      <w:r>
        <w:t xml:space="preserve">The GDPR process itself has also been examined from many perspectives by researchers: 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 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 to compare its effectiveness in 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 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fairness</w:t>
      </w:r>
      <w:r>
        <w:t xml:space="preserve"> </w:t>
      </w:r>
      <w:r>
        <w:t xml:space="preserve">(</w:t>
      </w:r>
      <w:hyperlink w:anchor="ref-kasirzadeh2021">
        <w:r>
          <w:rPr>
            <w:rStyle w:val="Hyperlink"/>
          </w:rPr>
          <w:t xml:space="preserve">Kasirzadeh and Clifford, 2021</w:t>
        </w:r>
      </w:hyperlink>
      <w:r>
        <w:t xml:space="preserve">)</w:t>
      </w:r>
      <w:r>
        <w:t xml:space="preserve">, consent</w:t>
      </w:r>
      <w:r>
        <w:t xml:space="preserve"> </w:t>
      </w:r>
      <w:r>
        <w:t xml:space="preserve">(</w:t>
      </w:r>
      <w:hyperlink w:anchor="ref-human2021">
        <w:r>
          <w:rPr>
            <w:rStyle w:val="Hyperlink"/>
          </w:rPr>
          <w:t xml:space="preserve">Human and Cech, 2021</w:t>
        </w:r>
      </w:hyperlink>
      <w:r>
        <w:t xml:space="preserve">)</w:t>
      </w:r>
      <w:r>
        <w:t xml:space="preserve">, 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 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 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Clearly 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it seems that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the</w:t>
      </w:r>
      <w:r>
        <w:t xml:space="preserve"> </w:t>
      </w:r>
      <w:r>
        <w:rPr>
          <w:iCs/>
          <w:i/>
        </w:rPr>
        <w:t xml:space="preserve">experience</w:t>
      </w:r>
      <w:r>
        <w:t xml:space="preserve"> </w:t>
      </w:r>
      <w:r>
        <w:t xml:space="preserve">people have when using 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w:t>
      </w:r>
      <w:r>
        <w:t xml:space="preserve"> </w:t>
      </w:r>
      <w:r>
        <w:t xml:space="preserve">(</w:t>
      </w:r>
      <w:hyperlink w:anchor="ref-abowd2000">
        <w:r>
          <w:rPr>
            <w:rStyle w:val="Hyperlink"/>
          </w:rPr>
          <w:t xml:space="preserve">Abowd and Mynatt, 2000</w:t>
        </w:r>
      </w:hyperlink>
      <w:r>
        <w:t xml:space="preserve">;</w:t>
      </w:r>
      <w:r>
        <w:t xml:space="preserve"> </w:t>
      </w:r>
      <w:hyperlink w:anchor="ref-mccarthy2004">
        <w:r>
          <w:rPr>
            <w:rStyle w:val="Hyperlink"/>
          </w:rPr>
          <w:t xml:space="preserve">McCarthy and Wright, 2004</w:t>
        </w:r>
      </w:hyperlink>
      <w:r>
        <w:t xml:space="preserve">;</w:t>
      </w:r>
      <w:r>
        <w:t xml:space="preserve"> </w:t>
      </w:r>
      <w:hyperlink w:anchor="ref-wright2008">
        <w:r>
          <w:rPr>
            <w:rStyle w:val="Hyperlink"/>
          </w:rPr>
          <w:t xml:space="preserve">Wright and McCarthy, 2008</w:t>
        </w:r>
      </w:hyperlink>
      <w:r>
        <w:t xml:space="preserve">)</w:t>
      </w:r>
      <w:r>
        <w:t xml:space="preserve"> </w:t>
      </w:r>
      <w:r>
        <w:t xml:space="preserve">(for more details on experience-centred design refer to section 3.2).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the fact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layman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(see section 2.3.3), that can no longer be solved as a filing-and-retrieval problem as per traditional PIM approaches (see 2.2.2),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(see 2.2.5), the relationship with data-holding service providers has not been examined in this way.</w:t>
      </w:r>
    </w:p>
    <w:p>
      <w:pPr>
        <w:pStyle w:val="BodyText"/>
      </w:pPr>
      <w:r>
        <w:t xml:space="preserve">A roadmap for best practice in this space can be found in the emergence of the</w:t>
      </w:r>
      <w:r>
        <w:t xml:space="preserve"> </w:t>
      </w:r>
      <w:r>
        <w:t xml:space="preserve">‘</w:t>
      </w:r>
      <w:r>
        <w:t xml:space="preserve">personal data ecosystem</w:t>
      </w:r>
      <w:r>
        <w:t xml:space="preserve">’</w:t>
      </w:r>
      <w:r>
        <w:t xml:space="preserve"> </w:t>
      </w:r>
      <w:r>
        <w:t xml:space="preserve">concept (see 2.3.4).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and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(see section 2.3.2 and</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This case study aims to explore the research gap identified in 5.1.2 above, from this perspective of greater human-centric need in a sociotechnical multi-party data use context. It will do so by scrutinizing the experience of using one’s GDPR rights to discover how well the process meets individuals’ needs and expectations; in the process the objective is to uncover problems in order to identify possible solutions that could address them.</w:t>
      </w:r>
    </w:p>
    <w:bookmarkEnd w:id="25"/>
    <w:bookmarkEnd w:id="26"/>
    <w:bookmarkStart w:id="33" w:name="X380b93c5f9e9e252ac9ac548449d65f955603c4"/>
    <w:p>
      <w:pPr>
        <w:pStyle w:val="Heading2"/>
      </w:pPr>
      <w:r>
        <w:rPr>
          <w:rStyle w:val="SectionNumber"/>
        </w:rPr>
        <w:t xml:space="preserve">1.2</w:t>
      </w:r>
      <w:r>
        <w:tab/>
      </w:r>
      <w:r>
        <w:t xml:space="preserve">Study Design and Configuration</w:t>
      </w:r>
    </w:p>
    <w:p>
      <w:pPr>
        <w:pStyle w:val="FirstParagraph"/>
      </w:pPr>
      <w:r>
        <w:t xml:space="preserve">To address these research objectives, 31 qualitative interviews were conducted, with a convenience sample of 11 individuals from a population of researchers and students at (or connected with) Newcastle University, aged 20-40 years; self-identifying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23: A Journey Map of Each Participant’s Study Progression" title="" id="28" name="Picture"/>
            <a:graphic>
              <a:graphicData uri="http://schemas.openxmlformats.org/drawingml/2006/picture">
                <pic:pic>
                  <pic:nvPicPr>
                    <pic:cNvPr descr="./src/figs/fig23-gdpr-interview-flow.png" id="29" name="Picture"/>
                    <pic:cNvPicPr>
                      <a:picLocks noChangeArrowheads="1" noChangeAspect="1"/>
                    </pic:cNvPicPr>
                  </pic:nvPicPr>
                  <pic:blipFill>
                    <a:blip r:embed="rId27"/>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23: A Journey Map of Each Participant’s Study Progression</w:t>
      </w:r>
    </w:p>
    <w:p>
      <w:pPr>
        <w:pStyle w:val="BodyText"/>
      </w:pPr>
      <w:r>
        <w:t xml:space="preserve">Each participant’s journey progressed at its own pace (see Figure 23) with participants invited to three separate 1-on-1 interviews between December 2019 and April 2020. The scope and purpose of each interview was as follows:</w:t>
      </w:r>
    </w:p>
    <w:p>
      <w:pPr>
        <w:numPr>
          <w:ilvl w:val="0"/>
          <w:numId w:val="1001"/>
        </w:numPr>
      </w:pPr>
      <w:r>
        <w:rPr>
          <w:bCs/>
          <w:b/>
        </w:rPr>
        <w:t xml:space="preserve">Interview 1: Sensitisation, Life Exploration and Company Selection</w:t>
      </w:r>
      <w:r>
        <w:t xml:space="preserve"> </w:t>
      </w:r>
      <w:r>
        <w:t xml:space="preserve">[1 hour, in person]. Participants were sensitised to the research context using an interactive tour of a poster display on the topics of GDPR rights, potential data-holding organisations, potential types of data and potential uses for GDPR-obtained data. Baseline data was collected on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participants mapped out their</w:t>
      </w:r>
      <w:r>
        <w:t xml:space="preserve"> </w:t>
      </w:r>
      <w:r>
        <w:t xml:space="preserve">‘</w:t>
      </w:r>
      <w:r>
        <w:t xml:space="preserve">data lives</w:t>
      </w:r>
      <w:r>
        <w:t xml:space="preserve">’</w:t>
      </w:r>
      <w:r>
        <w:t xml:space="preserve"> </w:t>
      </w:r>
      <w:r>
        <w:t xml:space="preserve">(e.g. Figure 24), annotating key organisations that they have relationships with, types of data those companies might hold, and feelings about such data use and storage by each holder. Each participant selected 3-5 candidate companies to target with GDPR requests.</w:t>
      </w:r>
    </w:p>
    <w:p>
      <w:pPr>
        <w:numPr>
          <w:ilvl w:val="0"/>
          <w:numId w:val="1001"/>
        </w:numPr>
      </w:pPr>
      <w:r>
        <w:rPr>
          <w:bCs/>
          <w:b/>
        </w:rPr>
        <w:t xml:space="preserve">Interview 2: Privacy Policy Reviewing, Goal Setting and GDPR Request Initiation</w:t>
      </w:r>
      <w:r>
        <w:t xml:space="preserve"> </w:t>
      </w:r>
      <w:r>
        <w:t xml:space="preserve">[1 hour, in person]. To stimulate reflective thinking and measure impacts, participants were asked to discuss and score their initial feelings of trust and power with each company. Participants then viewed key sections of privacy policies on a screen with the researcher, to identify each company’s statements on collection and use of personal data. Participants then initiated an email GDPR request for each company, which had been prepared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the COVID-19 pandemic.</w:t>
      </w:r>
    </w:p>
    <w:p>
      <w:pPr>
        <w:numPr>
          <w:ilvl w:val="0"/>
          <w:numId w:val="1001"/>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Participants’ personal data was not collected by the researcher, only described verbally by the participant; screen sharing was used to show excerpts to the researcher where the participant wished to do so. Participants were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[INSERT REF TO APPENDIX]).</w:t>
      </w:r>
    </w:p>
    <w:p>
      <w:pPr>
        <w:pStyle w:val="CaptionedFigure"/>
      </w:pPr>
      <w:r>
        <w:drawing>
          <wp:inline>
            <wp:extent cx="5334000" cy="3422794"/>
            <wp:effectExtent b="0" l="0" r="0" t="0"/>
            <wp:docPr descr="Figure 24: An Example Life Sketch from Interview 1, with Data Handling Companies in Red, Data Types in Blue, and Feelings in Green" title="" id="31" name="Picture"/>
            <a:graphic>
              <a:graphicData uri="http://schemas.openxmlformats.org/drawingml/2006/picture">
                <pic:pic>
                  <pic:nvPicPr>
                    <pic:cNvPr descr="./src/figs/fig10-sketch-interview.png" id="32" name="Picture"/>
                    <pic:cNvPicPr>
                      <a:picLocks noChangeArrowheads="1" noChangeAspect="1"/>
                    </pic:cNvPicPr>
                  </pic:nvPicPr>
                  <pic:blipFill>
                    <a:blip r:embed="rId30"/>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24: An Example Life Sketch from Interview 1, with Data Handling Companies in Red, Data Types in Blue, and Feelings in Green</w:t>
      </w:r>
    </w:p>
    <w:p>
      <w:pPr>
        <w:pStyle w:val="BodyText"/>
      </w:pPr>
      <w:r>
        <w:t xml:space="preserve">Interviews were audio and video recorded, then auto-transcribed using Google Recorder/Zoom, producing a 370,000-word corpus. Transcripts were split up and recombined across participants into six topic areas - digital life, company-specific discussions, general discussions, power, trust, and hopes/goals. These transcript topics were then analysed through reductive coding cycles to produce thematic findings (see 5.4). Quantitative data from interview spreadsheets was also summarised and analysed (see 5.5). Sketches, recordings, screenshots and field notes were referenced throughout thematic analysis to aid interpretation of the transcripts.</w:t>
      </w:r>
    </w:p>
    <w:bookmarkEnd w:id="33"/>
    <w:bookmarkStart w:id="65" w:name="X710dd44fa12f98194f8bba2bb20cba7bee18ff6"/>
    <w:p>
      <w:pPr>
        <w:pStyle w:val="Heading2"/>
      </w:pPr>
      <w:r>
        <w:rPr>
          <w:rStyle w:val="SectionNumber"/>
        </w:rPr>
        <w:t xml:space="preserve">1.3</w:t>
      </w:r>
      <w:r>
        <w:tab/>
      </w:r>
      <w:r>
        <w:t xml:space="preserve">GDPR Request Outcomes</w:t>
      </w:r>
    </w:p>
    <w:bookmarkStart w:id="40" w:name="X935235d3647d6ff94e208a06b4173d6d3f01134"/>
    <w:p>
      <w:pPr>
        <w:pStyle w:val="Heading3"/>
      </w:pPr>
      <w:r>
        <w:rPr>
          <w:rStyle w:val="SectionNumber"/>
        </w:rPr>
        <w:t xml:space="preserve">1.3.1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 having one’s personal data mixed with other household members (Netflix), the account being in someone else’s name (Morrisons), not wishing to impact active customer support matters (LNER), and inability to contact the provider by email (ifun.tv, see below). One participant selected Newcastle University, which was vetoed by the research team to avoid conflicts of interest. Hence, 41 out of a possible 52 GDPR subject access requests were made (to 28 distinct data holders) as shown in Table 8:</w:t>
      </w:r>
    </w:p>
    <w:p>
      <w:pPr>
        <w:pStyle w:val="BodyText"/>
      </w:pPr>
      <w:r>
        <w:t xml:space="preserve">Table: Table 8. Types of Data Holding Organisation Targeted for GDPR Requests by Study Participants</w:t>
      </w:r>
      <w:r>
        <w:t xml:space="preserve">a</w:t>
      </w:r>
    </w:p>
    <w:p>
      <w:pPr>
        <w:pStyle w:val="BodyText"/>
      </w:pPr>
      <w:r>
        <w:drawing>
          <wp:inline>
            <wp:extent cx="5334000" cy="1734000"/>
            <wp:effectExtent b="0" l="0" r="0" t="0"/>
            <wp:docPr descr="" title="" id="35" name="Picture"/>
            <a:graphic>
              <a:graphicData uri="http://schemas.openxmlformats.org/drawingml/2006/picture">
                <pic:pic>
                  <pic:nvPicPr>
                    <pic:cNvPr descr="./src/figs/table8-targets.png" id="36" name="Picture"/>
                    <pic:cNvPicPr>
                      <a:picLocks noChangeArrowheads="1" noChangeAspect="1"/>
                    </pic:cNvPicPr>
                  </pic:nvPicPr>
                  <pic:blipFill>
                    <a:blip r:embed="rId34"/>
                    <a:stretch>
                      <a:fillRect/>
                    </a:stretch>
                  </pic:blipFill>
                  <pic:spPr bwMode="auto">
                    <a:xfrm>
                      <a:off x="0" y="0"/>
                      <a:ext cx="5334000" cy="1734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To ensure fairness and consistency, the aim was that all GDPR requests be sent by e-mail by the participant to the data-holder’s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 [INSERT APPENDIX REF].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9.</w:t>
      </w:r>
    </w:p>
    <w:p>
      <w:pPr>
        <w:pStyle w:val="BodyText"/>
      </w:pPr>
      <w:r>
        <w:t xml:space="preserve">Table: Table 9. Types of Personal Data Potentially Accessible from Data Holders via GDPR Rights</w:t>
      </w:r>
    </w:p>
    <w:p>
      <w:pPr>
        <w:pStyle w:val="BodyText"/>
      </w:pPr>
      <w:r>
        <w:drawing>
          <wp:inline>
            <wp:extent cx="5334000" cy="3216866"/>
            <wp:effectExtent b="0" l="0" r="0" t="0"/>
            <wp:docPr descr="" title="" id="38" name="Picture"/>
            <a:graphic>
              <a:graphicData uri="http://schemas.openxmlformats.org/drawingml/2006/picture">
                <pic:pic>
                  <pic:nvPicPr>
                    <pic:cNvPr descr="./src/figs/table9-data-types.png" id="39" name="Picture"/>
                    <pic:cNvPicPr>
                      <a:picLocks noChangeArrowheads="1" noChangeAspect="1"/>
                    </pic:cNvPicPr>
                  </pic:nvPicPr>
                  <pic:blipFill>
                    <a:blip r:embed="rId37"/>
                    <a:stretch>
                      <a:fillRect/>
                    </a:stretch>
                  </pic:blipFill>
                  <pic:spPr bwMode="auto">
                    <a:xfrm>
                      <a:off x="0" y="0"/>
                      <a:ext cx="5334000" cy="3216866"/>
                    </a:xfrm>
                    <a:prstGeom prst="rect">
                      <a:avLst/>
                    </a:prstGeom>
                    <a:noFill/>
                    <a:ln w="9525">
                      <a:noFill/>
                      <a:headEnd/>
                      <a:tailEnd/>
                    </a:ln>
                  </pic:spPr>
                </pic:pic>
              </a:graphicData>
            </a:graphic>
          </wp:inline>
        </w:drawing>
      </w:r>
      <w:r>
        <w:t xml:space="preserve"> </w:t>
      </w:r>
      <w:r>
        <w:t xml:space="preserve">[TODO replace table with text]</w:t>
      </w:r>
    </w:p>
    <w:bookmarkEnd w:id="40"/>
    <w:bookmarkStart w:id="44" w:name="Xb52ada446f84acb5529ace8fe4f25e203a5dddb"/>
    <w:p>
      <w:pPr>
        <w:pStyle w:val="Heading3"/>
      </w:pPr>
      <w:r>
        <w:rPr>
          <w:rStyle w:val="SectionNumber"/>
        </w:rPr>
        <w:t xml:space="preserve">1.3.2</w:t>
      </w:r>
      <w:r>
        <w:tab/>
      </w:r>
      <w:r>
        <w:t xml:space="preserve">Interview 2: Privacy Policy Review and Goal Setting</w:t>
      </w:r>
    </w:p>
    <w:p>
      <w:pPr>
        <w:pStyle w:val="FirstParagraph"/>
      </w:pPr>
      <w:r>
        <w:t xml:space="preserve">Participants reviewed and discussed privacy policies for their chosen target companies and were asked to define hopes and expectations for each GDPR request (see Table 12). 74% of goals expresses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25: A Sankey diagram giving an overview of the GDPR requests undertaken by participants (P)" title="" id="42" name="Picture"/>
            <a:graphic>
              <a:graphicData uri="http://schemas.openxmlformats.org/drawingml/2006/picture">
                <pic:pic>
                  <pic:nvPicPr>
                    <pic:cNvPr descr="./src/figs/fig25-gdpr-sankey.png" id="43" name="Picture"/>
                    <pic:cNvPicPr>
                      <a:picLocks noChangeArrowheads="1" noChangeAspect="1"/>
                    </pic:cNvPicPr>
                  </pic:nvPicPr>
                  <pic:blipFill>
                    <a:blip r:embed="rId41"/>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25: A Sankey diagram giving an overview of the GDPR requests undertaken by participants (P)</w:t>
      </w:r>
    </w:p>
    <w:p>
      <w:pPr>
        <w:pStyle w:val="BodyText"/>
      </w:pPr>
      <w:r>
        <w:t xml:space="preserve">At the conclusion of interview 2, participants were provided with the emails and instructions to start their GDPR requests, which progressed as illustrated in Figure 25.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publically-available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(note: requests took place within the context of a global pandemic so response rates may not be typical). Following discussion, participants judged that all 32 requests receiving data had failed to return all requested data (across all five of the categories in Table 9).</w:t>
      </w:r>
    </w:p>
    <w:bookmarkEnd w:id="44"/>
    <w:bookmarkStart w:id="54" w:name="Xc89f60f46ccf047183c71c1efe28ba794cbc8f8"/>
    <w:p>
      <w:pPr>
        <w:pStyle w:val="Heading3"/>
      </w:pPr>
      <w:r>
        <w:rPr>
          <w:rStyle w:val="SectionNumber"/>
        </w:rPr>
        <w:t xml:space="preserve">1.3.3</w:t>
      </w:r>
      <w:r>
        <w:tab/>
      </w:r>
      <w:r>
        <w:t xml:space="preserve">Interview 3: Reviewing the GDPR Response</w:t>
      </w:r>
    </w:p>
    <w:p>
      <w:pPr>
        <w:pStyle w:val="FirstParagraph"/>
      </w:pPr>
      <w:r>
        <w:t xml:space="preserve">Once each participant’s GPDR requests had reached a conclusion point (as described above), they were invited to discuss the GDPR response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10) and qualitatively (see section 5.4).</w:t>
      </w:r>
    </w:p>
    <w:p>
      <w:pPr>
        <w:pStyle w:val="BodyText"/>
      </w:pPr>
      <w:r>
        <w:t xml:space="preserve">Table: Table 10. Presence and quality assessments of GDPR responses by data type (as percentages</w:t>
      </w:r>
      <w:r>
        <w:t xml:space="preserve">a</w:t>
      </w:r>
      <w:r>
        <w:t xml:space="preserve">)</w:t>
      </w:r>
    </w:p>
    <w:p>
      <w:pPr>
        <w:pStyle w:val="BodyText"/>
      </w:pPr>
      <w:r>
        <w:drawing>
          <wp:inline>
            <wp:extent cx="5334000" cy="2046000"/>
            <wp:effectExtent b="0" l="0" r="0" t="0"/>
            <wp:docPr descr="" title="" id="46" name="Picture"/>
            <a:graphic>
              <a:graphicData uri="http://schemas.openxmlformats.org/drawingml/2006/picture">
                <pic:pic>
                  <pic:nvPicPr>
                    <pic:cNvPr descr="./src/figs/table10-data-quality.png" id="47" name="Picture"/>
                    <pic:cNvPicPr>
                      <a:picLocks noChangeArrowheads="1" noChangeAspect="1"/>
                    </pic:cNvPicPr>
                  </pic:nvPicPr>
                  <pic:blipFill>
                    <a:blip r:embed="rId45"/>
                    <a:stretch>
                      <a:fillRect/>
                    </a:stretch>
                  </pic:blipFill>
                  <pic:spPr bwMode="auto">
                    <a:xfrm>
                      <a:off x="0" y="0"/>
                      <a:ext cx="5334000" cy="2046000"/>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Table 10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unusable 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Looking below organisation level at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The above quality and coverage datapoints 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 Table 11.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r>
        <w:t xml:space="preserve">Table: Table 11. Best and Worst Data Holders in Different Categories, According to Participants’ Judgements</w:t>
      </w:r>
      <w:r>
        <w:t xml:space="preserve">a</w:t>
      </w:r>
    </w:p>
    <w:p>
      <w:pPr>
        <w:pStyle w:val="BodyText"/>
      </w:pPr>
      <w:r>
        <w:drawing>
          <wp:inline>
            <wp:extent cx="5334000" cy="3543345"/>
            <wp:effectExtent b="0" l="0" r="0" t="0"/>
            <wp:docPr descr="" title="" id="49" name="Picture"/>
            <a:graphic>
              <a:graphicData uri="http://schemas.openxmlformats.org/drawingml/2006/picture">
                <pic:pic>
                  <pic:nvPicPr>
                    <pic:cNvPr descr="./src/figs/table11-best-worst-companies.png" id="50" name="Picture"/>
                    <pic:cNvPicPr>
                      <a:picLocks noChangeArrowheads="1" noChangeAspect="1"/>
                    </pic:cNvPicPr>
                  </pic:nvPicPr>
                  <pic:blipFill>
                    <a:blip r:embed="rId48"/>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[TODO replace table with text]</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 Table 12.</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r>
        <w:t xml:space="preserve">Table: Table 12. Participants’ hopes, imagined data uses and goals for GDPR, as well as resultant outcomes</w:t>
      </w:r>
    </w:p>
    <w:p>
      <w:pPr>
        <w:pStyle w:val="BodyText"/>
      </w:pPr>
      <w:r>
        <w:drawing>
          <wp:inline>
            <wp:extent cx="5334000" cy="5711247"/>
            <wp:effectExtent b="0" l="0" r="0" t="0"/>
            <wp:docPr descr="" title="" id="52" name="Picture"/>
            <a:graphic>
              <a:graphicData uri="http://schemas.openxmlformats.org/drawingml/2006/picture">
                <pic:pic>
                  <pic:nvPicPr>
                    <pic:cNvPr descr="./src/figs/table12-hopes-and-goals.png" id="53" name="Picture"/>
                    <pic:cNvPicPr>
                      <a:picLocks noChangeArrowheads="1" noChangeAspect="1"/>
                    </pic:cNvPicPr>
                  </pic:nvPicPr>
                  <pic:blipFill>
                    <a:blip r:embed="rId51"/>
                    <a:stretch>
                      <a:fillRect/>
                    </a:stretch>
                  </pic:blipFill>
                  <pic:spPr bwMode="auto">
                    <a:xfrm>
                      <a:off x="0" y="0"/>
                      <a:ext cx="5334000" cy="5711247"/>
                    </a:xfrm>
                    <a:prstGeom prst="rect">
                      <a:avLst/>
                    </a:prstGeom>
                    <a:noFill/>
                    <a:ln w="9525">
                      <a:noFill/>
                      <a:headEnd/>
                      <a:tailEnd/>
                    </a:ln>
                  </pic:spPr>
                </pic:pic>
              </a:graphicData>
            </a:graphic>
          </wp:inline>
        </w:drawing>
      </w:r>
      <w:r>
        <w:t xml:space="preserve"> </w:t>
      </w:r>
      <w:r>
        <w:t xml:space="preserve">[TODO replace table with text]</w:t>
      </w:r>
    </w:p>
    <w:bookmarkEnd w:id="54"/>
    <w:bookmarkStart w:id="64" w:name="X17fee6fbf9ee82826dccbd5118d485029a82ebe"/>
    <w:p>
      <w:pPr>
        <w:pStyle w:val="Heading3"/>
      </w:pPr>
      <w:r>
        <w:rPr>
          <w:rStyle w:val="SectionNumber"/>
        </w:rPr>
        <w:t xml:space="preserve">1.3.4</w:t>
      </w:r>
      <w:r>
        <w:tab/>
      </w:r>
      <w:r>
        <w:t xml:space="preserve">Perceived Power and Trust</w:t>
      </w:r>
    </w:p>
    <w:p>
      <w:pPr>
        <w:pStyle w:val="FirstParagraph"/>
      </w:pPr>
      <w:r>
        <w:t xml:space="preserve">Repeating scoring questions were used to examine how participants’ feelings towards the data holders changed throughout the process: Participants were asked to assess trust from 0 (total distrust) to 10 (total trust), and to assess their perceived power on a scale of -5 (total provider power) through 0 (balanced power) to +5 (total individual power). Explanations and reasoning for initial ratings and for any changes were uncovered through questioning. By repeating the same question at different times, longitudinal comparisons could be made. Many participants’ attitudes did change as a result of the experience (as summarized in Figure 26),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26: Distribution of Net Changes in Participant’s Perceived Power and Trust Scores over the Study’s Duration" title="" id="56" name="Picture"/>
            <a:graphic>
              <a:graphicData uri="http://schemas.openxmlformats.org/drawingml/2006/picture">
                <pic:pic>
                  <pic:nvPicPr>
                    <pic:cNvPr descr="./src/figs/fig26-power-and-trust-distribution.png" id="57" name="Picture"/>
                    <pic:cNvPicPr>
                      <a:picLocks noChangeArrowheads="1" noChangeAspect="1"/>
                    </pic:cNvPicPr>
                  </pic:nvPicPr>
                  <pic:blipFill>
                    <a:blip r:embed="rId55"/>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26: Distribution of Net Changes in Participant’s Perceived Power and Trust Scores over the Study’s Duration</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 27 and 28 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5334000" cy="3551931"/>
            <wp:effectExtent b="0" l="0" r="0" t="0"/>
            <wp:docPr descr="Figure 27: Perceived Power Balance Between Individual and Data Holder at Different Stages of the GDPR/Study Process" title="" id="59" name="Picture"/>
            <a:graphic>
              <a:graphicData uri="http://schemas.openxmlformats.org/drawingml/2006/picture">
                <pic:pic>
                  <pic:nvPicPr>
                    <pic:cNvPr descr="./src/figs/fig27-power-balance-by-stage.png" id="60" name="Picture"/>
                    <pic:cNvPicPr>
                      <a:picLocks noChangeArrowheads="1" noChangeAspect="1"/>
                    </pic:cNvPicPr>
                  </pic:nvPicPr>
                  <pic:blipFill>
                    <a:blip r:embed="rId58"/>
                    <a:stretch>
                      <a:fillRect/>
                    </a:stretch>
                  </pic:blipFill>
                  <pic:spPr bwMode="auto">
                    <a:xfrm>
                      <a:off x="0" y="0"/>
                      <a:ext cx="5334000" cy="3551931"/>
                    </a:xfrm>
                    <a:prstGeom prst="rect">
                      <a:avLst/>
                    </a:prstGeom>
                    <a:noFill/>
                    <a:ln w="9525">
                      <a:noFill/>
                      <a:headEnd/>
                      <a:tailEnd/>
                    </a:ln>
                  </pic:spPr>
                </pic:pic>
              </a:graphicData>
            </a:graphic>
          </wp:inline>
        </w:drawing>
      </w:r>
    </w:p>
    <w:p>
      <w:pPr>
        <w:pStyle w:val="ImageCaption"/>
      </w:pPr>
      <w:r>
        <w:t xml:space="preserve">Figure 27: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5334000" cy="3068876"/>
            <wp:effectExtent b="0" l="0" r="0" t="0"/>
            <wp:docPr descr="Figure 28: Participants’ Perceived Trust in Provider at Different Stages of the GDPR/Study Process" title="" id="62" name="Picture"/>
            <a:graphic>
              <a:graphicData uri="http://schemas.openxmlformats.org/drawingml/2006/picture">
                <pic:pic>
                  <pic:nvPicPr>
                    <pic:cNvPr descr="./src/figs/fig28-trust-by-stage.png" id="63" name="Picture"/>
                    <pic:cNvPicPr>
                      <a:picLocks noChangeArrowheads="1" noChangeAspect="1"/>
                    </pic:cNvPicPr>
                  </pic:nvPicPr>
                  <pic:blipFill>
                    <a:blip r:embed="rId61"/>
                    <a:stretch>
                      <a:fillRect/>
                    </a:stretch>
                  </pic:blipFill>
                  <pic:spPr bwMode="auto">
                    <a:xfrm>
                      <a:off x="0" y="0"/>
                      <a:ext cx="5334000" cy="3068876"/>
                    </a:xfrm>
                    <a:prstGeom prst="rect">
                      <a:avLst/>
                    </a:prstGeom>
                    <a:noFill/>
                    <a:ln w="9525">
                      <a:noFill/>
                      <a:headEnd/>
                      <a:tailEnd/>
                    </a:ln>
                  </pic:spPr>
                </pic:pic>
              </a:graphicData>
            </a:graphic>
          </wp:inline>
        </w:drawing>
      </w:r>
    </w:p>
    <w:p>
      <w:pPr>
        <w:pStyle w:val="ImageCaption"/>
      </w:pPr>
      <w:r>
        <w:t xml:space="preserve">Figure 28: Participants’ Perceived Trust in Provider at Different Stages of the GDPR/Study Process</w:t>
      </w:r>
    </w:p>
    <w:bookmarkEnd w:id="64"/>
    <w:bookmarkEnd w:id="65"/>
    <w:bookmarkStart w:id="79" w:name="Xe764b34bb9cf18ff85fc0a77c2cd10063248c10"/>
    <w:p>
      <w:pPr>
        <w:pStyle w:val="Heading2"/>
      </w:pPr>
      <w:r>
        <w:rPr>
          <w:rStyle w:val="SectionNumber"/>
        </w:rPr>
        <w:t xml:space="preserve">1.4</w:t>
      </w:r>
      <w:r>
        <w:tab/>
      </w:r>
      <w:r>
        <w:t xml:space="preserve">Thematic Findings</w:t>
      </w:r>
    </w:p>
    <w:p>
      <w:pPr>
        <w:pStyle w:val="FirstParagraph"/>
      </w:pPr>
      <w:r>
        <w:t xml:space="preserve">As described in 5.2,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 In this section the findings from that analysis are presented and summarises, with the three main themes being introduced in 5.4.1, then each theme is further detailed in sections 5.4.2 to 5.4.4, including participant quotes.</w:t>
      </w:r>
    </w:p>
    <w:bookmarkStart w:id="66" w:name="Xf019608acb19092704e77b812587f75a4baed71"/>
    <w:p>
      <w:pPr>
        <w:pStyle w:val="Heading3"/>
      </w:pPr>
      <w:r>
        <w:rPr>
          <w:rStyle w:val="SectionNumber"/>
        </w:rPr>
        <w:t xml:space="preserve">1.4.1</w:t>
      </w:r>
      <w:r>
        <w:tab/>
      </w:r>
      <w:r>
        <w:t xml:space="preserve">Themes &amp; Subthemes</w:t>
      </w:r>
    </w:p>
    <w:p>
      <w:pPr>
        <w:pStyle w:val="FirstParagraph"/>
      </w:pPr>
      <w:r>
        <w:t xml:space="preserve">The findings are presented through three main topics: Insufficient Transparency, Confusing and Unusable Data, and Fragile Relationships.</w:t>
      </w:r>
    </w:p>
    <w:p>
      <w:pPr>
        <w:pStyle w:val="BodyText"/>
      </w:pPr>
      <w:r>
        <w:t xml:space="preserve">Theme 1 (see 5.4.2 and summary in Table 12 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12.</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tblCaption w:val="Table 12.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 5.4.3 and summary in Table 13 below) explains how participants received</w:t>
      </w:r>
      <w:r>
        <w:t xml:space="preserve"> </w:t>
      </w:r>
      <w:r>
        <w:rPr>
          <w:bCs/>
          <w:b/>
        </w:rPr>
        <w:t xml:space="preserve">Confusing &amp; Unusable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13.</w:t>
      </w:r>
      <w:r>
        <w:t xml:space="preserve"> </w:t>
      </w:r>
      <w:r>
        <w:rPr>
          <w:bCs/>
          <w:b/>
        </w:rPr>
        <w:t xml:space="preserve">Theme 2 - Confusing &amp; Unusable Data</w:t>
      </w:r>
      <w:r>
        <w:t xml:space="preserve">. Subthemes &amp; Participant Quotes.</w:t>
      </w:r>
    </w:p>
    <w:tbl>
      <w:tblPr>
        <w:tblStyle w:val="Table"/>
        <w:tblW w:type="pct" w:w="5000"/>
        <w:tblLook w:firstRow="1" w:lastRow="0" w:firstColumn="0" w:lastColumn="0" w:noHBand="0" w:noVBand="0" w:val="0020"/>
        <w:tblCaption w:val="Table 13. Theme 2 - Confusing &amp; Unus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 5.4.4 and summary in Table 14 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 These three themes are</w:t>
      </w:r>
    </w:p>
    <w:p>
      <w:pPr>
        <w:pStyle w:val="TableCaption"/>
      </w:pPr>
      <w:r>
        <w:t xml:space="preserve">Table 14.</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tblCaption w:val="Table 14.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6"/>
    <w:bookmarkStart w:id="70" w:name="Xd9a9eb3723d36c07bbcef114c168744dedfa05e"/>
    <w:p>
      <w:pPr>
        <w:pStyle w:val="Heading3"/>
      </w:pPr>
      <w:r>
        <w:rPr>
          <w:rStyle w:val="SectionNumber"/>
        </w:rPr>
        <w:t xml:space="preserve">1.4.2</w:t>
      </w:r>
      <w:r>
        <w:tab/>
      </w:r>
      <w:r>
        <w:t xml:space="preserve">Theme 1: Many Companies are Evasive and People are</w:t>
      </w:r>
      <w:r>
        <w:t xml:space="preserve"> </w:t>
      </w:r>
      <w:r>
        <w:t xml:space="preserve">“</w:t>
      </w:r>
      <w:r>
        <w:t xml:space="preserve">Still in the Dark</w:t>
      </w:r>
      <w:r>
        <w:t xml:space="preserve">”</w:t>
      </w:r>
    </w:p>
    <w:bookmarkStart w:id="67" w:name="X61668d6575f2536b8984a471ac570156abd14ef"/>
    <w:p>
      <w:pPr>
        <w:pStyle w:val="Heading4"/>
      </w:pPr>
      <w:r>
        <w:rPr>
          <w:rStyle w:val="SectionNumber"/>
        </w:rPr>
        <w:t xml:space="preserve">1.4.2.1</w:t>
      </w:r>
      <w:r>
        <w:tab/>
      </w:r>
      <w:r>
        <w:t xml:space="preserve">A Desire for Awareness and Understanding</w:t>
      </w:r>
    </w:p>
    <w:p>
      <w:pPr>
        <w:pStyle w:val="FirstParagraph"/>
      </w:pPr>
      <w:r>
        <w:t xml:space="preserve">As Table 12 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ody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BodyText"/>
      </w:pPr>
      <w:r>
        <w:t xml:space="preserve">Beyond the data that participants had directly volunteered (see Table 9), most data was currently unknown to participants. In particular they wanted to gain awareness of what data might have been collected without their knowledge.</w:t>
      </w:r>
    </w:p>
    <w:p>
      <w:pPr>
        <w:pStyle w:val="Body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BodyText"/>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bookmarkEnd w:id="67"/>
    <w:bookmarkStart w:id="68" w:name="Xf82fbb2dc60742710804957969df9552f188feb"/>
    <w:p>
      <w:pPr>
        <w:pStyle w:val="Heading4"/>
      </w:pPr>
      <w:r>
        <w:rPr>
          <w:rStyle w:val="SectionNumber"/>
        </w:rPr>
        <w:t xml:space="preserve">1.4.2.2</w:t>
      </w:r>
      <w:r>
        <w:tab/>
      </w:r>
      <w:r>
        <w:t xml:space="preserve">Non-Compliance without Consequence</w:t>
      </w:r>
    </w:p>
    <w:p>
      <w:pPr>
        <w:pStyle w:val="FirstParagraph"/>
      </w:pPr>
      <w:r>
        <w:t xml:space="preserve">As detailed in 5.3.2,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ody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BodyText"/>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ody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BodyText"/>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ody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bookmarkEnd w:id="68"/>
    <w:bookmarkStart w:id="69" w:name="X8d5a662eacbe04476712d7d613e0eac674cbffc"/>
    <w:p>
      <w:pPr>
        <w:pStyle w:val="Heading4"/>
      </w:pPr>
      <w:r>
        <w:rPr>
          <w:rStyle w:val="SectionNumber"/>
        </w:rPr>
        <w:t xml:space="preserve">1.4.2.3</w:t>
      </w:r>
      <w:r>
        <w:tab/>
      </w:r>
      <w:r>
        <w:t xml:space="preserve">Inadequate Data Responses</w:t>
      </w:r>
    </w:p>
    <w:p>
      <w:pPr>
        <w:pStyle w:val="FirstParagraph"/>
      </w:pPr>
      <w:r>
        <w:t xml:space="preserve">While in some 22% of cases participants did meet their goals through GDPR (see Table 12), when it came to the desire for greater awareness and understanding discussed in 5.4.2.1,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ody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BodyText"/>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ody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BodyText"/>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ody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End w:id="70"/>
    <w:bookmarkStart w:id="74" w:name="X4220954772525d32e725d96f6075161e9a9a85f"/>
    <w:p>
      <w:pPr>
        <w:pStyle w:val="Heading3"/>
      </w:pPr>
      <w:r>
        <w:rPr>
          <w:rStyle w:val="SectionNumber"/>
        </w:rPr>
        <w:t xml:space="preserve">1.4.3</w:t>
      </w:r>
      <w:r>
        <w:tab/>
      </w:r>
      <w:r>
        <w:t xml:space="preserve">Theme 2: People Struggle to Understand, Use and Control Their Data</w:t>
      </w:r>
    </w:p>
    <w:bookmarkStart w:id="71" w:name="Xb44f5ba5716f847f201fcf0acc0e7b504876f28"/>
    <w:p>
      <w:pPr>
        <w:pStyle w:val="Heading4"/>
      </w:pPr>
      <w:r>
        <w:rPr>
          <w:rStyle w:val="SectionNumber"/>
        </w:rPr>
        <w:t xml:space="preserve">1.4.3.1</w:t>
      </w:r>
      <w:r>
        <w:tab/>
      </w:r>
      <w:r>
        <w:t xml:space="preserve">The Search for Personal Value in Data</w:t>
      </w:r>
    </w:p>
    <w:p>
      <w:pPr>
        <w:pStyle w:val="FirstParagraph"/>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 concepts of</w:t>
      </w:r>
      <w:r>
        <w:t xml:space="preserve"> </w:t>
      </w:r>
      <w:r>
        <w:rPr>
          <w:iCs/>
          <w:i/>
        </w:rPr>
        <w:t xml:space="preserve">effective access</w:t>
      </w:r>
      <w:r>
        <w:t xml:space="preserve"> </w:t>
      </w:r>
      <w:r>
        <w:t xml:space="preserve">described in 2.1.4) that they lacked the necessary skills or tools to make the data understandable or usable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 jsonlint.com, an online formatter, she found her JSON-formatted data more understandable. P2 made the point that data holders must be using tools themselves to make sense of people’s data:</w:t>
      </w:r>
      <w:r>
        <w:t xml:space="preserve"> </w:t>
      </w:r>
      <w:r>
        <w:rPr>
          <w:iCs/>
          <w:i/>
        </w:rPr>
        <w:t xml:space="preserve">“They’re 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is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 Table 12).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hime 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ody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BodyText"/>
      </w:pPr>
      <w:r>
        <w:t xml:space="preserve">P6 saw the data accumulated by service providers as potentially forming part of a valuable background context to understanding life events in his past:</w:t>
      </w:r>
      <w:r>
        <w:t xml:space="preserve"> </w:t>
      </w: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r>
        <w:t xml:space="preserve"> </w:t>
      </w:r>
      <w:r>
        <w:t xml:space="preserve">and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bookmarkEnd w:id="71"/>
    <w:bookmarkStart w:id="72" w:name="X1dbeb22450733a0c08e419e0b9d08ee870168d8"/>
    <w:p>
      <w:pPr>
        <w:pStyle w:val="Heading4"/>
      </w:pPr>
      <w:r>
        <w:rPr>
          <w:rStyle w:val="SectionNumber"/>
        </w:rPr>
        <w:t xml:space="preserve">1.4.3.2</w:t>
      </w:r>
      <w:r>
        <w:tab/>
      </w:r>
      <w:r>
        <w:t xml:space="preserve">Unusable Data Formats</w:t>
      </w:r>
    </w:p>
    <w:p>
      <w:pPr>
        <w:pStyle w:val="FirstParagraph"/>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ody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BodyText"/>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ody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BodyText"/>
      </w:pPr>
      <w:r>
        <w:t xml:space="preserve">In P5’s case, she saw the potential to use the data but felt that what was missing was additional explanation or guidance on how to interpret it:</w:t>
      </w:r>
    </w:p>
    <w:p>
      <w:pPr>
        <w:pStyle w:val="Body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BodyText"/>
      </w:pPr>
      <w:r>
        <w:t xml:space="preserve">P11 highlighted a problem with his Tesco shopping data that was not just a matter of formatting or skill, but the granularity or focus of the data itself:</w:t>
      </w:r>
    </w:p>
    <w:p>
      <w:pPr>
        <w:pStyle w:val="Body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BodyText"/>
      </w:pPr>
      <w:r>
        <w:t xml:space="preserve">While on the face of it the findings of 5.4.3.1 and 5.4.3.2, and the conflicting demands for both more technical and less technical data might seem contradictory, what we can infer is that participants collectively need</w:t>
      </w:r>
      <w:r>
        <w:t xml:space="preserve"> </w:t>
      </w:r>
      <w:r>
        <w:rPr>
          <w:iCs/>
          <w:i/>
        </w:rPr>
        <w:t xml:space="preserve">both</w:t>
      </w:r>
      <w:r>
        <w:t xml:space="preserve"> </w:t>
      </w:r>
      <w:r>
        <w:t xml:space="preserve">usable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
        <w:r>
          <w:rPr>
            <w:rStyle w:val="Hyperlink"/>
          </w:rPr>
          <w:t xml:space="preserve">Bowyer, 2021</w:t>
        </w:r>
      </w:hyperlink>
      <w:r>
        <w:t xml:space="preserve">)</w:t>
      </w:r>
      <w:r>
        <w:t xml:space="preserve">.</w:t>
      </w:r>
    </w:p>
    <w:bookmarkEnd w:id="72"/>
    <w:bookmarkStart w:id="73" w:name="X8ff615c03fc2afb91384f9ef05bab6acdbbe9e9"/>
    <w:p>
      <w:pPr>
        <w:pStyle w:val="Heading4"/>
      </w:pPr>
      <w:r>
        <w:rPr>
          <w:rStyle w:val="SectionNumber"/>
        </w:rPr>
        <w:t xml:space="preserve">1.4.3.3</w:t>
      </w:r>
      <w:r>
        <w:tab/>
      </w:r>
      <w:r>
        <w:t xml:space="preserve">The Liability of Data You Can’t Delete or Control</w:t>
      </w:r>
    </w:p>
    <w:p>
      <w:pPr>
        <w:pStyle w:val="FirstParagraph"/>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ody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BodyText"/>
      </w:pPr>
      <w:r>
        <w:t xml:space="preserve">Many participants expressed a desire that data be held only for a short time, and questioned the default practice of data being kept beyond the period where it was needed to deliver a service:</w:t>
      </w:r>
    </w:p>
    <w:p>
      <w:pPr>
        <w:pStyle w:val="Body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BodyText"/>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ody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BodyText"/>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3"/>
    <w:bookmarkEnd w:id="74"/>
    <w:bookmarkStart w:id="78" w:name="X2902b4cdc2a826d64840aa586dae8f5626e82e7"/>
    <w:p>
      <w:pPr>
        <w:pStyle w:val="Heading3"/>
      </w:pPr>
      <w:r>
        <w:rPr>
          <w:rStyle w:val="SectionNumber"/>
        </w:rPr>
        <w:t xml:space="preserve">1.4.4</w:t>
      </w:r>
      <w:r>
        <w:tab/>
      </w:r>
      <w:r>
        <w:t xml:space="preserve">Theme 3: Poor GDPR Handling Can Damage the Forced &amp; Fragile Trust Relationship</w:t>
      </w:r>
    </w:p>
    <w:bookmarkStart w:id="75" w:name="X38f625be2c0c748970e0e254c020e238dedd97d"/>
    <w:p>
      <w:pPr>
        <w:pStyle w:val="Heading4"/>
      </w:pPr>
      <w:r>
        <w:rPr>
          <w:rStyle w:val="SectionNumber"/>
        </w:rPr>
        <w:t xml:space="preserve">1.4.4.1</w:t>
      </w:r>
      <w:r>
        <w:tab/>
      </w:r>
      <w:r>
        <w:t xml:space="preserve">Data Holders Enforce an Uneasy Trust</w:t>
      </w:r>
    </w:p>
    <w:p>
      <w:pPr>
        <w:pStyle w:val="FirstParagraph"/>
      </w:pPr>
      <w:r>
        <w:t xml:space="preserve">The lack of visibility and control over personal data discussed in the previous section, combined with a sense of being in the dark (see 5.1)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ody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BodyText"/>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w:t>
      </w:r>
      <w:r>
        <w:t xml:space="preserve"> </w:t>
      </w:r>
      <w:r>
        <w:rPr>
          <w:bCs/>
          <w:b/>
        </w:rPr>
        <w:t xml:space="preserve">holding of data</w:t>
      </w:r>
      <w:r>
        <w:t xml:space="preserve"> </w:t>
      </w:r>
      <w:r>
        <w:t xml:space="preserve">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w:t>
      </w:r>
      <w:r>
        <w:t xml:space="preserve"> </w:t>
      </w:r>
      <w:r>
        <w:rPr>
          <w:bCs/>
          <w:b/>
        </w:rPr>
        <w:t xml:space="preserve">deny or limit access to data</w:t>
      </w:r>
      <w:r>
        <w:t xml:space="preserve"> </w:t>
      </w:r>
      <w:r>
        <w:t xml:space="preserve">as their key source of power:</w:t>
      </w:r>
    </w:p>
    <w:p>
      <w:pPr>
        <w:pStyle w:val="Body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BodyText"/>
      </w:pPr>
      <w:r>
        <w:t xml:space="preserve">The view of data holders having more power in the service relationship (mirroring reports described in 2.1.2)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 4.2.2; 4.4.1]:</w:t>
      </w: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BodyText"/>
      </w:pPr>
      <w:r>
        <w:t xml:space="preserve">A key dynamic to understand the value exchange within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ody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BodyText"/>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(P2,P3,P11) a lot of information about them, and so their only real option to maintain their privacy was to prevent data collection in the first place by not using that service at all (P1,P2,P3,P7,P10,P11), and living with the subsequent lack of service capability.</w:t>
      </w:r>
    </w:p>
    <w:bookmarkEnd w:id="75"/>
    <w:bookmarkStart w:id="76" w:name="X04bbc487c5380998010e2e8287cf05350ecd6a2"/>
    <w:p>
      <w:pPr>
        <w:pStyle w:val="Heading4"/>
      </w:pPr>
      <w:r>
        <w:rPr>
          <w:rStyle w:val="SectionNumber"/>
        </w:rPr>
        <w:t xml:space="preserve">1.4.4.2</w:t>
      </w:r>
      <w:r>
        <w:tab/>
      </w:r>
      <w:r>
        <w:t xml:space="preserve">Perceptions of Data Holders</w:t>
      </w:r>
    </w:p>
    <w:p>
      <w:pPr>
        <w:pStyle w:val="FirstParagraph"/>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ody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BodyText"/>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odyText"/>
      </w:pPr>
      <w:r>
        <w:rPr>
          <w:iCs/>
          <w:i/>
        </w:rPr>
        <w:t xml:space="preserve">“</w:t>
      </w:r>
      <w:r>
        <w:rPr>
          <w:iCs/>
          <w:i/>
        </w:rPr>
        <w:t xml:space="preserve">When I like the company already, I’m more willing to give them my data</w:t>
      </w:r>
      <w:r>
        <w:rPr>
          <w:iCs/>
          <w:i/>
        </w:rPr>
        <w:t xml:space="preserve">”</w:t>
      </w:r>
      <w:r>
        <w:t xml:space="preserve">–P2</w:t>
      </w:r>
    </w:p>
    <w:bookmarkEnd w:id="76"/>
    <w:bookmarkStart w:id="77" w:name="X5ced3ee2ccb25053e7e84687bddad6552a5317e"/>
    <w:p>
      <w:pPr>
        <w:pStyle w:val="Heading4"/>
      </w:pPr>
      <w:r>
        <w:rPr>
          <w:rStyle w:val="SectionNumber"/>
        </w:rPr>
        <w:t xml:space="preserve">1.4.4.3</w:t>
      </w:r>
      <w:r>
        <w:tab/>
      </w:r>
      <w:r>
        <w:t xml:space="preserve">Changed Perspectives Through Scrutiny and Transparency</w:t>
      </w:r>
    </w:p>
    <w:p>
      <w:pPr>
        <w:pStyle w:val="FirstParagraph"/>
      </w:pPr>
      <w:r>
        <w:t xml:space="preserve">Longitudinal examination of participant’s feelings of perceived individual trust and power across their GDPR experience allows the impact of the experience to be analysed. As illustrated in Figure 5 and 6,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ody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BodyText"/>
      </w:pPr>
      <w:r>
        <w:t xml:space="preserve">The absence or sparsity of derived and acquired data and of metadata around sharing and handling (see 5.3) noticeably damaged trust. P1 directly attributed his reduced trust scores to what he saw as non-compliance (5.4.2.2)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ody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BodyText"/>
      </w:pPr>
      <w:r>
        <w:t xml:space="preserve">While considering the negative impacts of the GDPR experience on trust some realised the potential trust-engendering impact that a more transparent response could have brought:</w:t>
      </w:r>
    </w:p>
    <w:p>
      <w:pPr>
        <w:pStyle w:val="Body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BodyText"/>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7"/>
    <w:bookmarkEnd w:id="78"/>
    <w:bookmarkEnd w:id="79"/>
    <w:bookmarkStart w:id="83" w:name="Xf66ffa0d783df84c67ba37533f91b9f3782a063"/>
    <w:p>
      <w:pPr>
        <w:pStyle w:val="Heading2"/>
      </w:pPr>
      <w:r>
        <w:rPr>
          <w:rStyle w:val="SectionNumber"/>
        </w:rPr>
        <w:t xml:space="preserve">1.5</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(see section 2.1)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(5.5.1) and business practice (5.5.2), and how individual action can have important impact too (5.5.3) – all in pursuit of the human-centric empowerment goals described in 5.1 as well as 2.2 and 2.3):</w:t>
      </w:r>
    </w:p>
    <w:bookmarkStart w:id="80" w:name="X18b35402f3fbcb74b8e5bbc8aa2c0e3e784e473"/>
    <w:p>
      <w:pPr>
        <w:pStyle w:val="Heading3"/>
      </w:pPr>
      <w:r>
        <w:rPr>
          <w:rStyle w:val="SectionNumber"/>
        </w:rPr>
        <w:t xml:space="preserve">1.5.1</w:t>
      </w:r>
      <w:r>
        <w:tab/>
      </w:r>
      <w:r>
        <w:t xml:space="preserve">Implications for Policymakers: Compliance, Quality and Ongoing Access</w:t>
      </w:r>
    </w:p>
    <w:p>
      <w:pPr>
        <w:pStyle w:val="FirstParagraph"/>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 disappointment and frustration,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usable (see 5.4.3.1),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 [ADD REFERENCE] 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 Table 5),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80"/>
    <w:bookmarkStart w:id="81" w:name="X279d3e70c4a8279cdfb499a60bef2c4f405d995"/>
    <w:p>
      <w:pPr>
        <w:pStyle w:val="Heading3"/>
      </w:pPr>
      <w:r>
        <w:rPr>
          <w:rStyle w:val="SectionNumber"/>
        </w:rPr>
        <w:t xml:space="preserve">1.5.2</w:t>
      </w:r>
      <w:r>
        <w:tab/>
      </w:r>
      <w:r>
        <w:t xml:space="preserve">Implications for Data Holders: Earn Trust by Opening Up Data and Enabling Users</w:t>
      </w:r>
    </w:p>
    <w:p>
      <w:pPr>
        <w:pStyle w:val="FirstParagraph"/>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growing number of businesses focused on</w:t>
      </w:r>
      <w:r>
        <w:t xml:space="preserve"> </w:t>
      </w:r>
      <w:r>
        <w:t xml:space="preserve">“</w:t>
      </w:r>
      <w:r>
        <w:t xml:space="preserve">getting your data</w:t>
      </w:r>
      <w:r>
        <w:t xml:space="preserve">”</w:t>
      </w:r>
      <w:r>
        <w:t xml:space="preserve"> </w:t>
      </w:r>
      <w:r>
        <w:t xml:space="preserve">or</w:t>
      </w:r>
      <w:r>
        <w:t xml:space="preserve"> </w:t>
      </w:r>
      <w:r>
        <w:t xml:space="preserve">“</w:t>
      </w:r>
      <w:r>
        <w:t xml:space="preserve">taking control</w:t>
      </w:r>
      <w: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 demand for data access is growing. From the findings, there are three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 interactions with technology […], help individuals understand a system’s function, justify system results, and increase their trust</w:t>
      </w:r>
      <w:r>
        <w:rPr>
          <w:iCs/>
          <w:i/>
        </w:rPr>
        <w:t xml:space="preserve">”</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our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 MyData Global organization</w:t>
      </w:r>
      <w:r>
        <w:t xml:space="preserve"> </w:t>
      </w:r>
      <w:r>
        <w:t xml:space="preserve">(</w:t>
      </w:r>
      <w:hyperlink w:anchor="ref-mydata2018">
        <w:r>
          <w:rPr>
            <w:rStyle w:val="Hyperlink"/>
          </w:rPr>
          <w:t xml:space="preserve">MyData.org, 2018</w:t>
        </w:r>
      </w:hyperlink>
      <w:r>
        <w:t xml:space="preserve">)</w:t>
      </w:r>
      <w:r>
        <w:t xml:space="preserve"> </w:t>
      </w:r>
      <w:r>
        <w:t xml:space="preserve">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81"/>
    <w:bookmarkStart w:id="82" w:name="X41dd5411c3ac1e32b00fee73de26a508f888c5b"/>
    <w:p>
      <w:pPr>
        <w:pStyle w:val="Heading3"/>
      </w:pPr>
      <w:r>
        <w:rPr>
          <w:rStyle w:val="SectionNumber"/>
        </w:rPr>
        <w:t xml:space="preserve">1.5.3</w:t>
      </w:r>
      <w:r>
        <w:tab/>
      </w:r>
      <w:r>
        <w:t xml:space="preserve">Implications for Individuals: Becoming Aware of the Value and Power of Data, and Demanding More</w:t>
      </w:r>
    </w:p>
    <w:p>
      <w:pPr>
        <w:pStyle w:val="FirstParagraph"/>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 Table 12, alongside the increased control and insight promised by the PDE movement and platforms linked in 5.5.1 and 5.5.2 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you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data about your life.</w:t>
      </w:r>
      <w:r>
        <w:t xml:space="preserve"> </w:t>
      </w:r>
      <w:r>
        <w:t xml:space="preserve">Data, as participants found, is dry and technical, but they all sought meaning and value within it (see 5.2.2).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82"/>
    <w:bookmarkEnd w:id="83"/>
    <w:bookmarkStart w:id="84" w:name="X2246273db175b4d951c8ae09a9b87d55b422463"/>
    <w:p>
      <w:pPr>
        <w:pStyle w:val="Heading2"/>
      </w:pPr>
      <w:r>
        <w:rPr>
          <w:rStyle w:val="SectionNumber"/>
        </w:rPr>
        <w:t xml:space="preserve">1.6</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 Table 12), this research has shown that such a journey can be educational and enlightening with regard to increasing awareness, but also can seriously damage brand loyalty and trust in providers if comprehensive and well-explained data is not returned in a supportive and open manner (see 5.4.4).</w:t>
      </w:r>
    </w:p>
    <w:p>
      <w:pPr>
        <w:pStyle w:val="BodyText"/>
      </w:pPr>
      <w:r>
        <w:t xml:space="preserve">The experience of GDPR seems to be an unsatisfactory one for individuals; participants were generally still</w:t>
      </w:r>
      <w:r>
        <w:t xml:space="preserve"> </w:t>
      </w:r>
      <w:r>
        <w:t xml:space="preserve">‘</w:t>
      </w:r>
      <w:r>
        <w:t xml:space="preserve">in the dark</w:t>
      </w:r>
      <w:r>
        <w:t xml:space="preserve">’</w:t>
      </w:r>
      <w:r>
        <w:t xml:space="preserve">. Serious problems with compliance have been highlighted (see 5.4.2.2):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(see 5.4.3.3). Individuals cannot be given power over their data through designing better Human-Data Interaction interfaces alone, but only through redesigned policies and business strategies that take into account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(see 5.5.1),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(see 5.5.2).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(see 5.5.3).</w:t>
      </w:r>
    </w:p>
    <w:p>
      <w:pPr>
        <w:pStyle w:val="BodyText"/>
      </w:pPr>
      <w:r>
        <w:t xml:space="preserve">Considering RQ1 (the pursuit of a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 Table 12), and good quality insights from data that would allow them to understand themselves better, learn from the past, set personal goals, and harness personal data for their individual benefit (see goals in lower half of Table 12). This duality of needs around data interaction is expanded upon in</w:t>
      </w:r>
      <w:r>
        <w:t xml:space="preserve"> </w:t>
      </w:r>
      <w:r>
        <w:t xml:space="preserve">(</w:t>
      </w:r>
      <w:hyperlink w:anchor="ref-bowyer2021">
        <w:r>
          <w:rPr>
            <w:rStyle w:val="Hyperlink"/>
          </w:rPr>
          <w:t xml:space="preserve">Bowyer, 2021</w:t>
        </w:r>
      </w:hyperlink>
      <w:r>
        <w:t xml:space="preserve">)</w:t>
      </w:r>
      <w:r>
        <w:t xml:space="preserve">.</w:t>
      </w:r>
    </w:p>
    <w:p>
      <w:pPr>
        <w:pStyle w:val="BodyText"/>
      </w:pPr>
      <w:r>
        <w:t xml:space="preserve">With respect to RQ2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decision-making; this is consistent with the</w:t>
      </w:r>
      <w:r>
        <w:t xml:space="preserve"> </w:t>
      </w:r>
      <w:r>
        <w:rPr>
          <w:iCs/>
          <w:i/>
        </w:rPr>
        <w:t xml:space="preserve">‘</w:t>
      </w:r>
      <w:r>
        <w:rPr>
          <w:iCs/>
          <w:i/>
        </w:rPr>
        <w:t xml:space="preserve">point of severance</w:t>
      </w:r>
      <w:r>
        <w:rPr>
          <w:iCs/>
          <w:i/>
        </w:rPr>
        <w:t xml:space="preserve">’</w:t>
      </w:r>
      <w:r>
        <w:t xml:space="preserve"> </w:t>
      </w:r>
      <w:r>
        <w:t xml:space="preserve">concept observed by Luger and Rodden</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and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Of course, this assumes that the openness offered reveals practices the user finds agreeable, so perhaps this in some way explains why some companies that have more commercially-motivated approaches to personal data use (such as Facebook and Google) that many would find disagreeable upon examination, are apparently less willing to engage in transparency and user empowerment around data.</w:t>
      </w:r>
    </w:p>
    <w:p>
      <w:pPr>
        <w:pStyle w:val="BodyText"/>
      </w:pPr>
      <w:r>
        <w:t xml:space="preserve">The general principles of earning trust through transparency, and rethinking data access as a means to involve users in decision-making, could be applied in a wide range of service endeavours that are currently very data-centric.</w:t>
      </w:r>
    </w:p>
    <w:bookmarkEnd w:id="84"/>
    <w:bookmarkEnd w:id="85"/>
    <w:bookmarkStart w:id="236" w:name="bibliography"/>
    <w:p>
      <w:pPr>
        <w:pStyle w:val="Heading1"/>
      </w:pPr>
      <w:r>
        <w:t xml:space="preserve">Bibliography</w:t>
      </w:r>
    </w:p>
    <w:bookmarkStart w:id="235" w:name="refs"/>
    <w:bookmarkStart w:id="87"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86">
        <w:r>
          <w:rPr>
            <w:rStyle w:val="Hyperlink"/>
          </w:rPr>
          <w:t xml:space="preserve">10.1145/2670528</w:t>
        </w:r>
      </w:hyperlink>
      <w:r>
        <w:t xml:space="preserve">.</w:t>
      </w:r>
    </w:p>
    <w:bookmarkEnd w:id="87"/>
    <w:bookmarkStart w:id="89"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8">
        <w:r>
          <w:rPr>
            <w:rStyle w:val="Hyperlink"/>
          </w:rPr>
          <w:t xml:space="preserve">http://dx.doi.org/10.1145/2370216.2370222</w:t>
        </w:r>
      </w:hyperlink>
      <w:r>
        <w:t xml:space="preserve">.</w:t>
      </w:r>
    </w:p>
    <w:bookmarkEnd w:id="89"/>
    <w:bookmarkStart w:id="91"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90">
        <w:r>
          <w:rPr>
            <w:rStyle w:val="Hyperlink"/>
          </w:rPr>
          <w:t xml:space="preserve">https://www.cc.gatech.edu/fce/pubs/abowd-mynatt-tochi-millenium.pdf</w:t>
        </w:r>
      </w:hyperlink>
      <w:r>
        <w:t xml:space="preserve">.</w:t>
      </w:r>
    </w:p>
    <w:bookmarkEnd w:id="91"/>
    <w:bookmarkStart w:id="93"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92">
        <w:r>
          <w:rPr>
            <w:rStyle w:val="Hyperlink"/>
          </w:rPr>
          <w:t xml:space="preserve">10.1145/3340764.3344913</w:t>
        </w:r>
      </w:hyperlink>
      <w:r>
        <w:t xml:space="preserve">.</w:t>
      </w:r>
    </w:p>
    <w:bookmarkEnd w:id="93"/>
    <w:bookmarkStart w:id="95"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94">
        <w:r>
          <w:rPr>
            <w:rStyle w:val="Hyperlink"/>
          </w:rPr>
          <w:t xml:space="preserve">10.1007/978-3-030-29959-0_33</w:t>
        </w:r>
      </w:hyperlink>
      <w:r>
        <w:t xml:space="preserve">.</w:t>
      </w:r>
    </w:p>
    <w:bookmarkEnd w:id="95"/>
    <w:bookmarkStart w:id="97"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6">
        <w:r>
          <w:rPr>
            <w:rStyle w:val="Hyperlink"/>
          </w:rPr>
          <w:t xml:space="preserve">10.2139/ssrn.3465680</w:t>
        </w:r>
      </w:hyperlink>
      <w:r>
        <w:t xml:space="preserve">.</w:t>
      </w:r>
    </w:p>
    <w:bookmarkEnd w:id="97"/>
    <w:bookmarkStart w:id="99"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8">
        <w:r>
          <w:rPr>
            <w:rStyle w:val="Hyperlink"/>
          </w:rPr>
          <w:t xml:space="preserve">www.irissproject.eu https://papers.ssrn.com/sol3/papers.cfm?abstract_id=3106632</w:t>
        </w:r>
      </w:hyperlink>
      <w:r>
        <w:t xml:space="preserve">.</w:t>
      </w:r>
    </w:p>
    <w:bookmarkEnd w:id="99"/>
    <w:bookmarkStart w:id="100"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100"/>
    <w:bookmarkStart w:id="102" w:name="ref-baker2018"/>
    <w:p>
      <w:pPr>
        <w:pStyle w:val="Bibliography"/>
      </w:pPr>
      <w:r>
        <w:t xml:space="preserve">Baker, J. (2018)</w:t>
      </w:r>
      <w:r>
        <w:t xml:space="preserve"> </w:t>
      </w:r>
      <w:r>
        <w:t xml:space="preserve">‘</w:t>
      </w:r>
      <w:r>
        <w:t xml:space="preserve">What’s a GDPR complaint? No one really knows</w:t>
      </w:r>
      <w:r>
        <w:t xml:space="preserve">’</w:t>
      </w:r>
      <w:r>
        <w:t xml:space="preserve">. Available at:</w:t>
      </w:r>
      <w:r>
        <w:t xml:space="preserve"> </w:t>
      </w:r>
      <w:hyperlink r:id="rId101">
        <w:r>
          <w:rPr>
            <w:rStyle w:val="Hyperlink"/>
          </w:rPr>
          <w:t xml:space="preserve">https://iapp.org/news/a/whats-the-definition-of-a-gdpr-complaint-spoiler-alert-no-one-knows/</w:t>
        </w:r>
      </w:hyperlink>
      <w:r>
        <w:t xml:space="preserve">.</w:t>
      </w:r>
    </w:p>
    <w:bookmarkEnd w:id="102"/>
    <w:bookmarkStart w:id="104"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103">
        <w:r>
          <w:rPr>
            <w:rStyle w:val="Hyperlink"/>
          </w:rPr>
          <w:t xml:space="preserve">10.1016/j.intcom.2010.07.003</w:t>
        </w:r>
      </w:hyperlink>
      <w:r>
        <w:t xml:space="preserve">.</w:t>
      </w:r>
    </w:p>
    <w:bookmarkEnd w:id="104"/>
    <w:bookmarkStart w:id="106"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105">
        <w:r>
          <w:rPr>
            <w:rStyle w:val="Hyperlink"/>
          </w:rPr>
          <w:t xml:space="preserve">https://www.bbc.co.uk/rd/projects/human-data-interaction</w:t>
        </w:r>
      </w:hyperlink>
      <w:r>
        <w:t xml:space="preserve">.</w:t>
      </w:r>
    </w:p>
    <w:bookmarkEnd w:id="106"/>
    <w:bookmarkStart w:id="108"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7">
        <w:r>
          <w:rPr>
            <w:rStyle w:val="Hyperlink"/>
          </w:rPr>
          <w:t xml:space="preserve">https://eprints.ncl.ac.uk/273825</w:t>
        </w:r>
      </w:hyperlink>
      <w:r>
        <w:t xml:space="preserve">.</w:t>
      </w:r>
    </w:p>
    <w:bookmarkEnd w:id="108"/>
    <w:bookmarkStart w:id="110"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9">
        <w:r>
          <w:rPr>
            <w:rStyle w:val="Hyperlink"/>
          </w:rPr>
          <w:t xml:space="preserve">10.1145/3173574.3173710</w:t>
        </w:r>
      </w:hyperlink>
      <w:r>
        <w:t xml:space="preserve">.</w:t>
      </w:r>
    </w:p>
    <w:bookmarkEnd w:id="110"/>
    <w:bookmarkStart w:id="112" w:name="ref-bowyer2021"/>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11">
        <w:r>
          <w:rPr>
            <w:rStyle w:val="Hyperlink"/>
          </w:rPr>
          <w:t xml:space="preserve">https://eprints.ncl.ac.uk/273832#.</w:t>
        </w:r>
      </w:hyperlink>
    </w:p>
    <w:bookmarkEnd w:id="112"/>
    <w:bookmarkStart w:id="114"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3">
        <w:r>
          <w:rPr>
            <w:rStyle w:val="Hyperlink"/>
          </w:rPr>
          <w:t xml:space="preserve">10.1109/icws49710.2020.00017</w:t>
        </w:r>
      </w:hyperlink>
      <w:r>
        <w:t xml:space="preserve">.</w:t>
      </w:r>
    </w:p>
    <w:bookmarkEnd w:id="114"/>
    <w:bookmarkStart w:id="116"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5">
        <w:r>
          <w:rPr>
            <w:rStyle w:val="Hyperlink"/>
          </w:rPr>
          <w:t xml:space="preserve">https://www.wired.co.uk/article/amazon-gdpr-fine</w:t>
        </w:r>
      </w:hyperlink>
      <w:r>
        <w:t xml:space="preserve">.</w:t>
      </w:r>
    </w:p>
    <w:bookmarkEnd w:id="116"/>
    <w:bookmarkStart w:id="118"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7">
        <w:r>
          <w:rPr>
            <w:rStyle w:val="Hyperlink"/>
          </w:rPr>
          <w:t xml:space="preserve">https://www.vox.com/policy-and-politics/2018/3/23/17151916/facebook-cambridge-analytica-trump-diagram</w:t>
        </w:r>
      </w:hyperlink>
      <w:r>
        <w:t xml:space="preserve">.</w:t>
      </w:r>
    </w:p>
    <w:bookmarkEnd w:id="118"/>
    <w:bookmarkStart w:id="120"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9">
        <w:r>
          <w:rPr>
            <w:rStyle w:val="Hyperlink"/>
          </w:rPr>
          <w:t xml:space="preserve">https://www.citizenme.com/for-citizens/</w:t>
        </w:r>
      </w:hyperlink>
      <w:r>
        <w:t xml:space="preserve"> </w:t>
      </w:r>
      <w:r>
        <w:t xml:space="preserve">(Accessed: 23 August 2021).</w:t>
      </w:r>
    </w:p>
    <w:bookmarkEnd w:id="120"/>
    <w:bookmarkStart w:id="121"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21"/>
    <w:bookmarkStart w:id="122"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22"/>
    <w:bookmarkStart w:id="124"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3">
        <w:r>
          <w:rPr>
            <w:rStyle w:val="Hyperlink"/>
          </w:rPr>
          <w:t xml:space="preserve">10.3233/isu-210107</w:t>
        </w:r>
      </w:hyperlink>
      <w:r>
        <w:t xml:space="preserve">.</w:t>
      </w:r>
    </w:p>
    <w:bookmarkEnd w:id="124"/>
    <w:bookmarkStart w:id="126"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5">
        <w:r>
          <w:rPr>
            <w:rStyle w:val="Hyperlink"/>
          </w:rPr>
          <w:t xml:space="preserve">http://data.consilium.europa.eu/doc/document/ST-9565-2015-INIT/en/pdf</w:t>
        </w:r>
      </w:hyperlink>
      <w:r>
        <w:t xml:space="preserve">.</w:t>
      </w:r>
    </w:p>
    <w:bookmarkEnd w:id="126"/>
    <w:bookmarkStart w:id="128"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7">
        <w:r>
          <w:rPr>
            <w:rStyle w:val="Hyperlink"/>
          </w:rPr>
          <w:t xml:space="preserve">10.2139/ssrn.2874312</w:t>
        </w:r>
      </w:hyperlink>
      <w:r>
        <w:t xml:space="preserve">.</w:t>
      </w:r>
    </w:p>
    <w:bookmarkEnd w:id="128"/>
    <w:bookmarkStart w:id="130"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9">
        <w:r>
          <w:rPr>
            <w:rStyle w:val="Hyperlink"/>
          </w:rPr>
          <w:t xml:space="preserve">https://www.datacy.com/personal/about-us</w:t>
        </w:r>
      </w:hyperlink>
      <w:r>
        <w:t xml:space="preserve"> </w:t>
      </w:r>
      <w:r>
        <w:t xml:space="preserve">(Accessed: 22 March 2019).</w:t>
      </w:r>
    </w:p>
    <w:bookmarkEnd w:id="130"/>
    <w:bookmarkStart w:id="132"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31">
        <w:r>
          <w:rPr>
            <w:rStyle w:val="Hyperlink"/>
          </w:rPr>
          <w:t xml:space="preserve">https://wiki.personaldata.io/wiki/Item:Q1800</w:t>
        </w:r>
      </w:hyperlink>
      <w:r>
        <w:t xml:space="preserve">.</w:t>
      </w:r>
    </w:p>
    <w:bookmarkEnd w:id="132"/>
    <w:bookmarkStart w:id="134"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3">
        <w:r>
          <w:rPr>
            <w:rStyle w:val="Hyperlink"/>
          </w:rPr>
          <w:t xml:space="preserve">https://hestialabs.org/en/</w:t>
        </w:r>
      </w:hyperlink>
      <w:r>
        <w:t xml:space="preserve"> </w:t>
      </w:r>
      <w:r>
        <w:t xml:space="preserve">(Accessed: 23 August 2021).</w:t>
      </w:r>
    </w:p>
    <w:bookmarkEnd w:id="134"/>
    <w:bookmarkStart w:id="136" w:name="ref-digime2021"/>
    <w:p>
      <w:pPr>
        <w:pStyle w:val="Bibliography"/>
      </w:pPr>
      <w:r>
        <w:t xml:space="preserve">‘Digi.me’</w:t>
      </w:r>
      <w:r>
        <w:t xml:space="preserve"> </w:t>
      </w:r>
      <w:r>
        <w:t xml:space="preserve">(no date). Available at:</w:t>
      </w:r>
      <w:r>
        <w:t xml:space="preserve"> </w:t>
      </w:r>
      <w:hyperlink r:id="rId135">
        <w:r>
          <w:rPr>
            <w:rStyle w:val="Hyperlink"/>
          </w:rPr>
          <w:t xml:space="preserve">https://digi.me/</w:t>
        </w:r>
      </w:hyperlink>
      <w:r>
        <w:t xml:space="preserve"> </w:t>
      </w:r>
      <w:r>
        <w:t xml:space="preserve">(Accessed: 23 August 2021).</w:t>
      </w:r>
    </w:p>
    <w:bookmarkEnd w:id="136"/>
    <w:bookmarkStart w:id="138" w:name="ref-ethi2021"/>
    <w:p>
      <w:pPr>
        <w:pStyle w:val="Bibliography"/>
      </w:pPr>
      <w:r>
        <w:t xml:space="preserve">‘Ethi’</w:t>
      </w:r>
      <w:r>
        <w:t xml:space="preserve"> </w:t>
      </w:r>
      <w:r>
        <w:t xml:space="preserve">(no date). Available at:</w:t>
      </w:r>
      <w:r>
        <w:t xml:space="preserve"> </w:t>
      </w:r>
      <w:hyperlink r:id="rId137">
        <w:r>
          <w:rPr>
            <w:rStyle w:val="Hyperlink"/>
          </w:rPr>
          <w:t xml:space="preserve">https://www.ethi.me/</w:t>
        </w:r>
      </w:hyperlink>
      <w:r>
        <w:t xml:space="preserve">.</w:t>
      </w:r>
    </w:p>
    <w:bookmarkEnd w:id="138"/>
    <w:bookmarkStart w:id="140" w:name="ref-existio2021"/>
    <w:p>
      <w:pPr>
        <w:pStyle w:val="Bibliography"/>
      </w:pPr>
      <w:r>
        <w:t xml:space="preserve">‘Exist.io’</w:t>
      </w:r>
      <w:r>
        <w:t xml:space="preserve"> </w:t>
      </w:r>
      <w:r>
        <w:t xml:space="preserve">(no date). Available at:</w:t>
      </w:r>
      <w:r>
        <w:t xml:space="preserve"> </w:t>
      </w:r>
      <w:hyperlink r:id="rId139">
        <w:r>
          <w:rPr>
            <w:rStyle w:val="Hyperlink"/>
          </w:rPr>
          <w:t xml:space="preserve">https://exist.io/</w:t>
        </w:r>
      </w:hyperlink>
      <w:r>
        <w:t xml:space="preserve"> </w:t>
      </w:r>
      <w:r>
        <w:t xml:space="preserve">(Accessed: 23 August 2021).</w:t>
      </w:r>
    </w:p>
    <w:bookmarkEnd w:id="140"/>
    <w:bookmarkStart w:id="142"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1">
        <w:r>
          <w:rPr>
            <w:rStyle w:val="Hyperlink"/>
          </w:rPr>
          <w:t xml:space="preserve">https://www.facebook.com/about/privacy</w:t>
        </w:r>
      </w:hyperlink>
      <w:r>
        <w:t xml:space="preserve"> </w:t>
      </w:r>
      <w:r>
        <w:t xml:space="preserve">(Accessed: 9 August 2021).</w:t>
      </w:r>
    </w:p>
    <w:bookmarkEnd w:id="142"/>
    <w:bookmarkStart w:id="144"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3">
        <w:r>
          <w:rPr>
            <w:rStyle w:val="Hyperlink"/>
          </w:rPr>
          <w:t xml:space="preserve">https://en.wikipedia.org/wiki/Facebook–Cambridge_Analytica_data_scandal</w:t>
        </w:r>
      </w:hyperlink>
      <w:r>
        <w:t xml:space="preserve">.</w:t>
      </w:r>
    </w:p>
    <w:bookmarkEnd w:id="144"/>
    <w:bookmarkStart w:id="146"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5">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6"/>
    <w:bookmarkStart w:id="148"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7">
        <w:r>
          <w:rPr>
            <w:rStyle w:val="Hyperlink"/>
          </w:rPr>
          <w:t xml:space="preserve">https://gener8ads.com/</w:t>
        </w:r>
      </w:hyperlink>
      <w:r>
        <w:t xml:space="preserve"> </w:t>
      </w:r>
      <w:r>
        <w:t xml:space="preserve">(Accessed: 23 August 2021).</w:t>
      </w:r>
    </w:p>
    <w:bookmarkEnd w:id="148"/>
    <w:bookmarkStart w:id="150"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49">
        <w:r>
          <w:rPr>
            <w:rStyle w:val="Hyperlink"/>
          </w:rPr>
          <w:t xml:space="preserve">10.1561/XXXXXXXXX.Boris</w:t>
        </w:r>
      </w:hyperlink>
      <w:r>
        <w:t xml:space="preserve">.</w:t>
      </w:r>
    </w:p>
    <w:bookmarkEnd w:id="150"/>
    <w:bookmarkStart w:id="151"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1"/>
    <w:bookmarkStart w:id="153"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2">
        <w:r>
          <w:rPr>
            <w:rStyle w:val="Hyperlink"/>
          </w:rPr>
          <w:t xml:space="preserve">10.5210/fm.v16i2.3316</w:t>
        </w:r>
      </w:hyperlink>
      <w:r>
        <w:t xml:space="preserve">.</w:t>
      </w:r>
    </w:p>
    <w:bookmarkEnd w:id="153"/>
    <w:bookmarkStart w:id="154"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4"/>
    <w:bookmarkStart w:id="156" w:name="ref-hdilab2020"/>
    <w:p>
      <w:pPr>
        <w:pStyle w:val="Bibliography"/>
      </w:pPr>
      <w:r>
        <w:t xml:space="preserve">‘</w:t>
      </w:r>
      <w:r>
        <w:t xml:space="preserve">HDI Lab, Heerlen</w:t>
      </w:r>
      <w:r>
        <w:t xml:space="preserve">’</w:t>
      </w:r>
      <w:r>
        <w:t xml:space="preserve"> </w:t>
      </w:r>
      <w:r>
        <w:t xml:space="preserve">(2020). Available at:</w:t>
      </w:r>
      <w:r>
        <w:t xml:space="preserve"> </w:t>
      </w:r>
      <w:hyperlink r:id="rId155">
        <w:r>
          <w:rPr>
            <w:rStyle w:val="Hyperlink"/>
          </w:rPr>
          <w:t xml:space="preserve">https://hdilab.com/</w:t>
        </w:r>
      </w:hyperlink>
      <w:r>
        <w:t xml:space="preserve">.</w:t>
      </w:r>
    </w:p>
    <w:bookmarkEnd w:id="156"/>
    <w:bookmarkStart w:id="158"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7">
        <w:r>
          <w:rPr>
            <w:rStyle w:val="Hyperlink"/>
          </w:rPr>
          <w:t xml:space="preserve">https://hdi-network.org/</w:t>
        </w:r>
      </w:hyperlink>
      <w:r>
        <w:t xml:space="preserve">.</w:t>
      </w:r>
    </w:p>
    <w:bookmarkEnd w:id="158"/>
    <w:bookmarkStart w:id="159"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59"/>
    <w:bookmarkStart w:id="161"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0">
        <w:r>
          <w:rPr>
            <w:rStyle w:val="Hyperlink"/>
          </w:rPr>
          <w:t xml:space="preserve">https://hdi-dai.lids.mit.edu/</w:t>
        </w:r>
      </w:hyperlink>
      <w:r>
        <w:t xml:space="preserve">.</w:t>
      </w:r>
    </w:p>
    <w:bookmarkEnd w:id="161"/>
    <w:bookmarkStart w:id="163"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2">
        <w:r>
          <w:rPr>
            <w:rStyle w:val="Hyperlink"/>
          </w:rPr>
          <w:t xml:space="preserve">10.1007/978-981-15-5784-2_12</w:t>
        </w:r>
      </w:hyperlink>
      <w:r>
        <w:t xml:space="preserve">.</w:t>
      </w:r>
    </w:p>
    <w:bookmarkEnd w:id="163"/>
    <w:bookmarkStart w:id="164"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4"/>
    <w:bookmarkStart w:id="166"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5">
        <w:r>
          <w:rPr>
            <w:rStyle w:val="Hyperlink"/>
          </w:rPr>
          <w:t xml:space="preserve">https://ico.org.uk/your-data-matters/</w:t>
        </w:r>
      </w:hyperlink>
      <w:r>
        <w:t xml:space="preserve">.</w:t>
      </w:r>
    </w:p>
    <w:bookmarkEnd w:id="166"/>
    <w:bookmarkStart w:id="168"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7">
        <w:r>
          <w:rPr>
            <w:rStyle w:val="Hyperlink"/>
          </w:rPr>
          <w:t xml:space="preserve">https://ico.org.uk/your-data-matters/your-right-to-get-copies-of-your-data/</w:t>
        </w:r>
      </w:hyperlink>
      <w:r>
        <w:t xml:space="preserve"> </w:t>
      </w:r>
      <w:r>
        <w:t xml:space="preserve">(Accessed: 23 August 2021).</w:t>
      </w:r>
    </w:p>
    <w:bookmarkEnd w:id="168"/>
    <w:bookmarkStart w:id="169"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69"/>
    <w:bookmarkStart w:id="171"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0">
        <w:r>
          <w:rPr>
            <w:rStyle w:val="Hyperlink"/>
          </w:rPr>
          <w:t xml:space="preserve">10.1145/3461702.3462528</w:t>
        </w:r>
      </w:hyperlink>
      <w:r>
        <w:t xml:space="preserve">.</w:t>
      </w:r>
    </w:p>
    <w:bookmarkEnd w:id="171"/>
    <w:bookmarkStart w:id="173"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2">
        <w:r>
          <w:rPr>
            <w:rStyle w:val="Hyperlink"/>
          </w:rPr>
          <w:t xml:space="preserve">10.1038/ejhg.2014.71</w:t>
        </w:r>
      </w:hyperlink>
      <w:r>
        <w:t xml:space="preserve">.</w:t>
      </w:r>
    </w:p>
    <w:bookmarkEnd w:id="173"/>
    <w:bookmarkStart w:id="175"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4">
        <w:r>
          <w:rPr>
            <w:rStyle w:val="Hyperlink"/>
          </w:rPr>
          <w:t xml:space="preserve">10.14763/2018.2.791</w:t>
        </w:r>
      </w:hyperlink>
      <w:r>
        <w:t xml:space="preserve">.</w:t>
      </w:r>
    </w:p>
    <w:bookmarkEnd w:id="175"/>
    <w:bookmarkStart w:id="177"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6">
        <w:r>
          <w:rPr>
            <w:rStyle w:val="Hyperlink"/>
          </w:rPr>
          <w:t xml:space="preserve">10.1145/1753846.1754181</w:t>
        </w:r>
      </w:hyperlink>
      <w:r>
        <w:t xml:space="preserve">.</w:t>
      </w:r>
    </w:p>
    <w:bookmarkEnd w:id="177"/>
    <w:bookmarkStart w:id="179"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8">
        <w:r>
          <w:rPr>
            <w:rStyle w:val="Hyperlink"/>
          </w:rPr>
          <w:t xml:space="preserve">https://wiki.personaldata.io/wiki/Item:Q2369</w:t>
        </w:r>
      </w:hyperlink>
      <w:r>
        <w:t xml:space="preserve"> </w:t>
      </w:r>
      <w:r>
        <w:t xml:space="preserve">(Accessed: 22 September 2021).</w:t>
      </w:r>
    </w:p>
    <w:bookmarkEnd w:id="179"/>
    <w:bookmarkStart w:id="181"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0">
        <w:r>
          <w:rPr>
            <w:rStyle w:val="Hyperlink"/>
          </w:rPr>
          <w:t xml:space="preserve">https://techcrunch.com/2020/11/05/uks-ico-faces-legal-action-after-closing-adtech-complaint-with-nothing-to-show-for-it/</w:t>
        </w:r>
      </w:hyperlink>
      <w:r>
        <w:t xml:space="preserve">.</w:t>
      </w:r>
    </w:p>
    <w:bookmarkEnd w:id="181"/>
    <w:bookmarkStart w:id="183"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2">
        <w:r>
          <w:rPr>
            <w:rStyle w:val="Hyperlink"/>
          </w:rPr>
          <w:t xml:space="preserve">10.1145/2493432.2493446</w:t>
        </w:r>
      </w:hyperlink>
      <w:r>
        <w:t xml:space="preserve">.</w:t>
      </w:r>
    </w:p>
    <w:bookmarkEnd w:id="183"/>
    <w:bookmarkStart w:id="185"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4">
        <w:r>
          <w:rPr>
            <w:rStyle w:val="Hyperlink"/>
          </w:rPr>
          <w:t xml:space="preserve">10.1145/1015530.1015549</w:t>
        </w:r>
      </w:hyperlink>
      <w:r>
        <w:t xml:space="preserve">.</w:t>
      </w:r>
    </w:p>
    <w:bookmarkEnd w:id="185"/>
    <w:bookmarkStart w:id="187"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6">
        <w:r>
          <w:rPr>
            <w:rStyle w:val="Hyperlink"/>
          </w:rPr>
          <w:t xml:space="preserve">https://www.microsoft.com/en-us/research/project/bali/</w:t>
        </w:r>
      </w:hyperlink>
      <w:r>
        <w:t xml:space="preserve"> </w:t>
      </w:r>
      <w:r>
        <w:t xml:space="preserve">(Accessed: 23 August 2021).</w:t>
      </w:r>
    </w:p>
    <w:bookmarkEnd w:id="187"/>
    <w:bookmarkStart w:id="189"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8">
        <w:r>
          <w:rPr>
            <w:rStyle w:val="Hyperlink"/>
          </w:rPr>
          <w:t xml:space="preserve">https://medium.com/@JacksonMorgan/making-your-solid-apps-interoperable-with-shaperepo-com-8da512936073</w:t>
        </w:r>
      </w:hyperlink>
      <w:r>
        <w:t xml:space="preserve">.</w:t>
      </w:r>
    </w:p>
    <w:bookmarkEnd w:id="189"/>
    <w:bookmarkStart w:id="191"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0">
        <w:r>
          <w:rPr>
            <w:rStyle w:val="Hyperlink"/>
          </w:rPr>
          <w:t xml:space="preserve">10.2139/ssrn.2508051</w:t>
        </w:r>
      </w:hyperlink>
      <w:r>
        <w:t xml:space="preserve">.</w:t>
      </w:r>
    </w:p>
    <w:bookmarkEnd w:id="191"/>
    <w:bookmarkStart w:id="193"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2">
        <w:r>
          <w:rPr>
            <w:rStyle w:val="Hyperlink"/>
          </w:rPr>
          <w:t xml:space="preserve">https://mydata.org/declaration/</w:t>
        </w:r>
      </w:hyperlink>
      <w:r>
        <w:t xml:space="preserve"> </w:t>
      </w:r>
      <w:r>
        <w:t xml:space="preserve">(Accessed: 8 November 2019).</w:t>
      </w:r>
    </w:p>
    <w:bookmarkEnd w:id="193"/>
    <w:bookmarkStart w:id="195"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4">
        <w:r>
          <w:rPr>
            <w:rStyle w:val="Hyperlink"/>
          </w:rPr>
          <w:t xml:space="preserve">https://mydata.org/about/</w:t>
        </w:r>
      </w:hyperlink>
      <w:r>
        <w:t xml:space="preserve">.</w:t>
      </w:r>
    </w:p>
    <w:bookmarkEnd w:id="195"/>
    <w:bookmarkStart w:id="196"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6"/>
    <w:bookmarkStart w:id="198"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7">
        <w:r>
          <w:rPr>
            <w:rStyle w:val="Hyperlink"/>
          </w:rPr>
          <w:t xml:space="preserve">https://eu.usatoday.com/story/tech/columnist/2020/09/07/zoom-work-from-home-future-office-after-coronavirus/5680284002/</w:t>
        </w:r>
      </w:hyperlink>
      <w:r>
        <w:t xml:space="preserve">.</w:t>
      </w:r>
    </w:p>
    <w:bookmarkEnd w:id="198"/>
    <w:bookmarkStart w:id="200" w:name="ref-linkedin2021priv"/>
    <w:p>
      <w:pPr>
        <w:pStyle w:val="Bibliography"/>
      </w:pPr>
      <w:r>
        <w:t xml:space="preserve">‘</w:t>
      </w:r>
      <w:r>
        <w:t xml:space="preserve">Privacy</w:t>
      </w:r>
      <w:r>
        <w:t xml:space="preserve">’</w:t>
      </w:r>
      <w:r>
        <w:t xml:space="preserve"> </w:t>
      </w:r>
      <w:r>
        <w:t xml:space="preserve">(no date). Available at:</w:t>
      </w:r>
      <w:r>
        <w:t xml:space="preserve"> </w:t>
      </w:r>
      <w:hyperlink r:id="rId199">
        <w:r>
          <w:rPr>
            <w:rStyle w:val="Hyperlink"/>
          </w:rPr>
          <w:t xml:space="preserve">https://privacy.linkedin.com/</w:t>
        </w:r>
      </w:hyperlink>
      <w:r>
        <w:t xml:space="preserve"> </w:t>
      </w:r>
      <w:r>
        <w:t xml:space="preserve">(Accessed: 9 August 2021).</w:t>
      </w:r>
    </w:p>
    <w:bookmarkEnd w:id="200"/>
    <w:bookmarkStart w:id="202"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1">
        <w:r>
          <w:rPr>
            <w:rStyle w:val="Hyperlink"/>
          </w:rPr>
          <w:t xml:space="preserve">https://www.apple.com/uk/privacy/</w:t>
        </w:r>
      </w:hyperlink>
      <w:r>
        <w:t xml:space="preserve"> </w:t>
      </w:r>
      <w:r>
        <w:t xml:space="preserve">(Accessed: 9 August 2021).</w:t>
      </w:r>
    </w:p>
    <w:bookmarkEnd w:id="202"/>
    <w:bookmarkStart w:id="204"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3">
        <w:r>
          <w:rPr>
            <w:rStyle w:val="Hyperlink"/>
          </w:rPr>
          <w:t xml:space="preserve">https://policies.google.com/</w:t>
        </w:r>
      </w:hyperlink>
      <w:r>
        <w:t xml:space="preserve"> </w:t>
      </w:r>
      <w:r>
        <w:t xml:space="preserve">(Accessed: 9 August 2021).</w:t>
      </w:r>
    </w:p>
    <w:bookmarkEnd w:id="204"/>
    <w:bookmarkStart w:id="205"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5"/>
    <w:bookmarkStart w:id="206"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6"/>
    <w:bookmarkStart w:id="208"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7">
        <w:r>
          <w:rPr>
            <w:rStyle w:val="Hyperlink"/>
          </w:rPr>
          <w:t xml:space="preserve">10.1080/13645579.2012.742280</w:t>
        </w:r>
      </w:hyperlink>
      <w:r>
        <w:t xml:space="preserve">.</w:t>
      </w:r>
    </w:p>
    <w:bookmarkEnd w:id="208"/>
    <w:bookmarkStart w:id="209"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09"/>
    <w:bookmarkStart w:id="210"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0"/>
    <w:bookmarkStart w:id="212"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1">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2"/>
    <w:bookmarkStart w:id="214"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3">
        <w:r>
          <w:rPr>
            <w:rStyle w:val="Hyperlink"/>
          </w:rPr>
          <w:t xml:space="preserve">https://eur-lex.europa.eu/eli/reg/2016/679/oj https://eur-lex.europa.eu/legal-content/EN/TXT/PDF/?uri=CELEX:32016R0679&amp;from=ES</w:t>
        </w:r>
      </w:hyperlink>
      <w:r>
        <w:t xml:space="preserve">.</w:t>
      </w:r>
    </w:p>
    <w:bookmarkEnd w:id="214"/>
    <w:bookmarkStart w:id="216"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5">
        <w:r>
          <w:rPr>
            <w:rStyle w:val="Hyperlink"/>
          </w:rPr>
          <w:t xml:space="preserve">https://udaptor.io/assistant.html</w:t>
        </w:r>
      </w:hyperlink>
      <w:r>
        <w:t xml:space="preserve"> </w:t>
      </w:r>
      <w:r>
        <w:t xml:space="preserve">(Accessed: 23 August 2021).</w:t>
      </w:r>
    </w:p>
    <w:bookmarkEnd w:id="216"/>
    <w:bookmarkStart w:id="218"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7">
        <w:r>
          <w:rPr>
            <w:rStyle w:val="Hyperlink"/>
          </w:rPr>
          <w:t xml:space="preserve">https://www.wired.co.uk/article/the-age-of-surveillance-capitalism-facebook-shoshana-zuboff</w:t>
        </w:r>
      </w:hyperlink>
      <w:r>
        <w:t xml:space="preserve">.</w:t>
      </w:r>
    </w:p>
    <w:bookmarkEnd w:id="218"/>
    <w:bookmarkStart w:id="220"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19">
        <w:r>
          <w:rPr>
            <w:rStyle w:val="Hyperlink"/>
          </w:rPr>
          <w:t xml:space="preserve">https://b-ok.lat/book/11000161/b53144</w:t>
        </w:r>
      </w:hyperlink>
      <w:r>
        <w:t xml:space="preserve">.</w:t>
      </w:r>
    </w:p>
    <w:bookmarkEnd w:id="220"/>
    <w:bookmarkStart w:id="221"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1"/>
    <w:bookmarkStart w:id="223"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2">
        <w:r>
          <w:rPr>
            <w:rStyle w:val="Hyperlink"/>
          </w:rPr>
          <w:t xml:space="preserve">10.1145/329124.329126</w:t>
        </w:r>
      </w:hyperlink>
      <w:r>
        <w:t xml:space="preserve">.</w:t>
      </w:r>
    </w:p>
    <w:bookmarkEnd w:id="223"/>
    <w:bookmarkStart w:id="225"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4">
        <w:r>
          <w:rPr>
            <w:rStyle w:val="Hyperlink"/>
          </w:rPr>
          <w:t xml:space="preserve">https://www.ubdi.com/blog/whose-data-is-it-anyway</w:t>
        </w:r>
      </w:hyperlink>
      <w:r>
        <w:t xml:space="preserve"> </w:t>
      </w:r>
      <w:r>
        <w:t xml:space="preserve">(Accessed: 31 March 2021).</w:t>
      </w:r>
    </w:p>
    <w:bookmarkEnd w:id="225"/>
    <w:bookmarkStart w:id="227"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6">
        <w:r>
          <w:rPr>
            <w:rStyle w:val="Hyperlink"/>
          </w:rPr>
          <w:t xml:space="preserve">https://wiki.personaldata.io/wiki/Template:Access</w:t>
        </w:r>
      </w:hyperlink>
      <w:r>
        <w:t xml:space="preserve"> </w:t>
      </w:r>
      <w:r>
        <w:t xml:space="preserve">(Accessed: 21 September 2021).</w:t>
      </w:r>
    </w:p>
    <w:bookmarkEnd w:id="227"/>
    <w:bookmarkStart w:id="228"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8"/>
    <w:bookmarkStart w:id="230"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29">
        <w:r>
          <w:rPr>
            <w:rStyle w:val="Hyperlink"/>
          </w:rPr>
          <w:t xml:space="preserve">10.1111/j.1467-954x.1990.tb03349.x</w:t>
        </w:r>
      </w:hyperlink>
      <w:r>
        <w:t xml:space="preserve">.</w:t>
      </w:r>
    </w:p>
    <w:bookmarkEnd w:id="230"/>
    <w:bookmarkStart w:id="232"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1">
        <w:r>
          <w:rPr>
            <w:rStyle w:val="Hyperlink"/>
          </w:rPr>
          <w:t xml:space="preserve">10.1145/1357054.1357156</w:t>
        </w:r>
      </w:hyperlink>
      <w:r>
        <w:t xml:space="preserve">.</w:t>
      </w:r>
    </w:p>
    <w:bookmarkEnd w:id="232"/>
    <w:bookmarkStart w:id="234"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3">
        <w:r>
          <w:rPr>
            <w:rStyle w:val="Hyperlink"/>
          </w:rPr>
          <w:t xml:space="preserve">10.1017/ipo.2021.30</w:t>
        </w:r>
      </w:hyperlink>
      <w:r>
        <w:t xml:space="preserve">.</w:t>
      </w:r>
    </w:p>
    <w:bookmarkEnd w:id="234"/>
    <w:bookmarkEnd w:id="235"/>
    <w:bookmarkEnd w:id="2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 [37].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41" Target="media/rId41.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5" Target="http://data.consilium.europa.eu/doc/document/ST-9565-2015-INIT/en/pdf" TargetMode="External" /><Relationship Type="http://schemas.openxmlformats.org/officeDocument/2006/relationships/hyperlink" Id="rId88" Target="http://dx.doi.org/10.1145/2370216.2370222" TargetMode="External" /><Relationship Type="http://schemas.openxmlformats.org/officeDocument/2006/relationships/hyperlink" Id="rId145"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19" Target="https://b-ok.lat/book/11000161/b53144" TargetMode="External" /><Relationship Type="http://schemas.openxmlformats.org/officeDocument/2006/relationships/hyperlink" Id="rId135" Target="https://digi.me/" TargetMode="External" /><Relationship Type="http://schemas.openxmlformats.org/officeDocument/2006/relationships/hyperlink" Id="rId94" Target="https://doi.org/10.1007/978-3-030-29959-0_33" TargetMode="External" /><Relationship Type="http://schemas.openxmlformats.org/officeDocument/2006/relationships/hyperlink" Id="rId162" Target="https://doi.org/10.1007/978-981-15-5784-2_12" TargetMode="External" /><Relationship Type="http://schemas.openxmlformats.org/officeDocument/2006/relationships/hyperlink" Id="rId103" Target="https://doi.org/10.1016/j.intcom.2010.07.003" TargetMode="External" /><Relationship Type="http://schemas.openxmlformats.org/officeDocument/2006/relationships/hyperlink" Id="rId233" Target="https://doi.org/10.1017/ipo.2021.30" TargetMode="External" /><Relationship Type="http://schemas.openxmlformats.org/officeDocument/2006/relationships/hyperlink" Id="rId172" Target="https://doi.org/10.1038/ejhg.2014.71" TargetMode="External" /><Relationship Type="http://schemas.openxmlformats.org/officeDocument/2006/relationships/hyperlink" Id="rId207" Target="https://doi.org/10.1080/13645579.2012.742280" TargetMode="External" /><Relationship Type="http://schemas.openxmlformats.org/officeDocument/2006/relationships/hyperlink" Id="rId113" Target="https://doi.org/10.1109/icws49710.2020.00017" TargetMode="External" /><Relationship Type="http://schemas.openxmlformats.org/officeDocument/2006/relationships/hyperlink" Id="rId229" Target="https://doi.org/10.1111/j.1467-954x.1990.tb03349.x" TargetMode="External" /><Relationship Type="http://schemas.openxmlformats.org/officeDocument/2006/relationships/hyperlink" Id="rId184" Target="https://doi.org/10.1145/1015530.1015549" TargetMode="External" /><Relationship Type="http://schemas.openxmlformats.org/officeDocument/2006/relationships/hyperlink" Id="rId231" Target="https://doi.org/10.1145/1357054.1357156" TargetMode="External" /><Relationship Type="http://schemas.openxmlformats.org/officeDocument/2006/relationships/hyperlink" Id="rId176" Target="https://doi.org/10.1145/1753846.1754181" TargetMode="External" /><Relationship Type="http://schemas.openxmlformats.org/officeDocument/2006/relationships/hyperlink" Id="rId182" Target="https://doi.org/10.1145/2493432.2493446" TargetMode="External" /><Relationship Type="http://schemas.openxmlformats.org/officeDocument/2006/relationships/hyperlink" Id="rId86" Target="https://doi.org/10.1145/2670528" TargetMode="External" /><Relationship Type="http://schemas.openxmlformats.org/officeDocument/2006/relationships/hyperlink" Id="rId109" Target="https://doi.org/10.1145/3173574.3173710" TargetMode="External" /><Relationship Type="http://schemas.openxmlformats.org/officeDocument/2006/relationships/hyperlink" Id="rId222" Target="https://doi.org/10.1145/329124.329126" TargetMode="External" /><Relationship Type="http://schemas.openxmlformats.org/officeDocument/2006/relationships/hyperlink" Id="rId92" Target="https://doi.org/10.1145/3340764.3344913" TargetMode="External" /><Relationship Type="http://schemas.openxmlformats.org/officeDocument/2006/relationships/hyperlink" Id="rId170" Target="https://doi.org/10.1145/3461702.3462528" TargetMode="External" /><Relationship Type="http://schemas.openxmlformats.org/officeDocument/2006/relationships/hyperlink" Id="rId174" Target="https://doi.org/10.14763/2018.2.791" TargetMode="External" /><Relationship Type="http://schemas.openxmlformats.org/officeDocument/2006/relationships/hyperlink" Id="rId149" Target="https://doi.org/10.1561/XXXXXXXXX.Boris" TargetMode="External" /><Relationship Type="http://schemas.openxmlformats.org/officeDocument/2006/relationships/hyperlink" Id="rId190" Target="https://doi.org/10.2139/ssrn.2508051" TargetMode="External" /><Relationship Type="http://schemas.openxmlformats.org/officeDocument/2006/relationships/hyperlink" Id="rId127" Target="https://doi.org/10.2139/ssrn.2874312" TargetMode="External" /><Relationship Type="http://schemas.openxmlformats.org/officeDocument/2006/relationships/hyperlink" Id="rId96" Target="https://doi.org/10.2139/ssrn.3465680" TargetMode="External" /><Relationship Type="http://schemas.openxmlformats.org/officeDocument/2006/relationships/hyperlink" Id="rId123" Target="https://doi.org/10.3233/isu-210107" TargetMode="External" /><Relationship Type="http://schemas.openxmlformats.org/officeDocument/2006/relationships/hyperlink" Id="rId152" Target="https://doi.org/10.5210/fm.v16i2.3316" TargetMode="External" /><Relationship Type="http://schemas.openxmlformats.org/officeDocument/2006/relationships/hyperlink" Id="rId143" Target="https://en.wikipedia.org/wiki/Facebook&#8211;Cambridge_Analytica_data_scandal" TargetMode="External" /><Relationship Type="http://schemas.openxmlformats.org/officeDocument/2006/relationships/hyperlink" Id="rId107" Target="https://eprints.ncl.ac.uk/273825" TargetMode="External" /><Relationship Type="http://schemas.openxmlformats.org/officeDocument/2006/relationships/hyperlink" Id="rId111" Target="https://eprints.ncl.ac.uk/273832#." TargetMode="External" /><Relationship Type="http://schemas.openxmlformats.org/officeDocument/2006/relationships/hyperlink" Id="rId197" Target="https://eu.usatoday.com/story/tech/columnist/2020/09/07/zoom-work-from-home-future-office-after-coronavirus/5680284002/" TargetMode="External" /><Relationship Type="http://schemas.openxmlformats.org/officeDocument/2006/relationships/hyperlink" Id="rId213" Target="https://eur-lex.europa.eu/eli/reg/2016/679/oj https://eur-lex.europa.eu/legal-content/EN/TXT/PDF/?uri=CELEX:32016R0679&amp;from=ES" TargetMode="External" /><Relationship Type="http://schemas.openxmlformats.org/officeDocument/2006/relationships/hyperlink" Id="rId139" Target="https://exist.io/" TargetMode="External" /><Relationship Type="http://schemas.openxmlformats.org/officeDocument/2006/relationships/hyperlink" Id="rId147" Target="https://gener8ads.com/" TargetMode="External" /><Relationship Type="http://schemas.openxmlformats.org/officeDocument/2006/relationships/hyperlink" Id="rId160" Target="https://hdi-dai.lids.mit.edu/" TargetMode="External" /><Relationship Type="http://schemas.openxmlformats.org/officeDocument/2006/relationships/hyperlink" Id="rId157" Target="https://hdi-network.org/" TargetMode="External" /><Relationship Type="http://schemas.openxmlformats.org/officeDocument/2006/relationships/hyperlink" Id="rId155" Target="https://hdilab.com/" TargetMode="External" /><Relationship Type="http://schemas.openxmlformats.org/officeDocument/2006/relationships/hyperlink" Id="rId133" Target="https://hestialabs.org/en/" TargetMode="External" /><Relationship Type="http://schemas.openxmlformats.org/officeDocument/2006/relationships/hyperlink" Id="rId101" Target="https://iapp.org/news/a/whats-the-definition-of-a-gdpr-complaint-spoiler-alert-no-one-knows/" TargetMode="External" /><Relationship Type="http://schemas.openxmlformats.org/officeDocument/2006/relationships/hyperlink" Id="rId165" Target="https://ico.org.uk/your-data-matters/" TargetMode="External" /><Relationship Type="http://schemas.openxmlformats.org/officeDocument/2006/relationships/hyperlink" Id="rId167" Target="https://ico.org.uk/your-data-matters/your-right-to-get-copies-of-your-data/" TargetMode="External" /><Relationship Type="http://schemas.openxmlformats.org/officeDocument/2006/relationships/hyperlink" Id="rId211"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8" Target="https://medium.com/@JacksonMorgan/making-your-solid-apps-interoperable-with-shaperepo-com-8da512936073" TargetMode="External" /><Relationship Type="http://schemas.openxmlformats.org/officeDocument/2006/relationships/hyperlink" Id="rId194" Target="https://mydata.org/about/" TargetMode="External" /><Relationship Type="http://schemas.openxmlformats.org/officeDocument/2006/relationships/hyperlink" Id="rId192" Target="https://mydata.org/declaration/" TargetMode="External" /><Relationship Type="http://schemas.openxmlformats.org/officeDocument/2006/relationships/hyperlink" Id="rId203" Target="https://policies.google.com/" TargetMode="External" /><Relationship Type="http://schemas.openxmlformats.org/officeDocument/2006/relationships/hyperlink" Id="rId199" Target="https://privacy.linkedin.com/" TargetMode="External" /><Relationship Type="http://schemas.openxmlformats.org/officeDocument/2006/relationships/hyperlink" Id="rId180" Target="https://techcrunch.com/2020/11/05/uks-ico-faces-legal-action-after-closing-adtech-complaint-with-nothing-to-show-for-it/" TargetMode="External" /><Relationship Type="http://schemas.openxmlformats.org/officeDocument/2006/relationships/hyperlink" Id="rId215" Target="https://udaptor.io/assistant.html" TargetMode="External" /><Relationship Type="http://schemas.openxmlformats.org/officeDocument/2006/relationships/hyperlink" Id="rId131" Target="https://wiki.personaldata.io/wiki/Item:Q1800" TargetMode="External" /><Relationship Type="http://schemas.openxmlformats.org/officeDocument/2006/relationships/hyperlink" Id="rId178" Target="https://wiki.personaldata.io/wiki/Item:Q2369" TargetMode="External" /><Relationship Type="http://schemas.openxmlformats.org/officeDocument/2006/relationships/hyperlink" Id="rId226" Target="https://wiki.personaldata.io/wiki/Template:Access" TargetMode="External" /><Relationship Type="http://schemas.openxmlformats.org/officeDocument/2006/relationships/hyperlink" Id="rId201" Target="https://www.apple.com/uk/privacy/" TargetMode="External" /><Relationship Type="http://schemas.openxmlformats.org/officeDocument/2006/relationships/hyperlink" Id="rId105" Target="https://www.bbc.co.uk/rd/projects/human-data-interaction" TargetMode="External" /><Relationship Type="http://schemas.openxmlformats.org/officeDocument/2006/relationships/hyperlink" Id="rId90" Target="https://www.cc.gatech.edu/fce/pubs/abowd-mynatt-tochi-millenium.pdf" TargetMode="External" /><Relationship Type="http://schemas.openxmlformats.org/officeDocument/2006/relationships/hyperlink" Id="rId119" Target="https://www.citizenme.com/for-citizens/" TargetMode="External" /><Relationship Type="http://schemas.openxmlformats.org/officeDocument/2006/relationships/hyperlink" Id="rId129" Target="https://www.datacy.com/personal/about-us" TargetMode="External" /><Relationship Type="http://schemas.openxmlformats.org/officeDocument/2006/relationships/hyperlink" Id="rId137" Target="https://www.ethi.me/" TargetMode="External" /><Relationship Type="http://schemas.openxmlformats.org/officeDocument/2006/relationships/hyperlink" Id="rId141" Target="https://www.facebook.com/about/privacy" TargetMode="External" /><Relationship Type="http://schemas.openxmlformats.org/officeDocument/2006/relationships/hyperlink" Id="rId186" Target="https://www.microsoft.com/en-us/research/project/bali/" TargetMode="External" /><Relationship Type="http://schemas.openxmlformats.org/officeDocument/2006/relationships/hyperlink" Id="rId224" Target="https://www.ubdi.com/blog/whose-data-is-it-anyway" TargetMode="External" /><Relationship Type="http://schemas.openxmlformats.org/officeDocument/2006/relationships/hyperlink" Id="rId117" Target="https://www.vox.com/policy-and-politics/2018/3/23/17151916/facebook-cambridge-analytica-trump-diagram" TargetMode="External" /><Relationship Type="http://schemas.openxmlformats.org/officeDocument/2006/relationships/hyperlink" Id="rId115" Target="https://www.wired.co.uk/article/amazon-gdpr-fine" TargetMode="External" /><Relationship Type="http://schemas.openxmlformats.org/officeDocument/2006/relationships/hyperlink" Id="rId217" Target="https://www.wired.co.uk/article/the-age-of-surveillance-capitalism-facebook-shoshana-zuboff" TargetMode="External" /><Relationship Type="http://schemas.openxmlformats.org/officeDocument/2006/relationships/hyperlink" Id="rId98"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2022-07-25T11:56:08Z</dcterms:created>
  <dcterms:modified xsi:type="dcterms:W3CDTF">2022-07-25T11:56:08Z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