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w:t>
      </w:r>
      <w:r>
        <w:rPr>
          <w:iCs/>
          <w:i/>
        </w:rPr>
        <w:t xml:space="preserve"> </w:t>
      </w:r>
      <w:r>
        <w:rPr>
          <w:iCs/>
          <w:i/>
        </w:rPr>
        <w:t xml:space="preserve">and the storm is data,</w:t>
      </w:r>
      <w:r>
        <w:rPr>
          <w:iCs/>
          <w:i/>
        </w:rPr>
        <w:t xml:space="preserve"> </w:t>
      </w:r>
      <w:r>
        <w:rPr>
          <w:iCs/>
          <w:i/>
        </w:rPr>
        <w:t xml:space="preserve">and the data is life.</w:t>
      </w:r>
      <w:r>
        <w:rPr>
          <w:iCs/>
          <w:i/>
        </w:rPr>
        <w:t xml:space="preserve"> </w:t>
      </w:r>
      <w:r>
        <w:rPr>
          <w:iCs/>
          <w:i/>
        </w:rPr>
        <w:t xml:space="preserve">You have been slaves,</w:t>
      </w:r>
      <w:r>
        <w:rPr>
          <w:iCs/>
          <w:i/>
        </w:rPr>
        <w:t xml:space="preserve"> </w:t>
      </w:r>
      <w:r>
        <w:rPr>
          <w:iCs/>
          <w:i/>
        </w:rPr>
        <w:t xml:space="preserve">denied the storm,</w:t>
      </w:r>
      <w:r>
        <w:rPr>
          <w:iCs/>
          <w:i/>
        </w:rPr>
        <w:t xml:space="preserve"> </w:t>
      </w:r>
      <w:r>
        <w:rPr>
          <w:iCs/>
          <w:i/>
        </w:rPr>
        <w:t xml:space="preserve">denied the freedom of your data.</w:t>
      </w:r>
      <w:r>
        <w:rPr>
          <w:iCs/>
          <w:i/>
        </w:rPr>
        <w:t xml:space="preserve"> </w:t>
      </w:r>
      <w:r>
        <w:rPr>
          <w:iCs/>
          <w:i/>
        </w:rPr>
        <w:t xml:space="preserve">That is now ended;</w:t>
      </w:r>
      <w:r>
        <w:rPr>
          <w:iCs/>
          <w:i/>
        </w:rPr>
        <w:t xml:space="preserve"> </w:t>
      </w:r>
      <w:r>
        <w:rPr>
          <w:iCs/>
          <w:i/>
        </w:rPr>
        <w:t xml:space="preserve">the whirlwind is upon you . . . . . .</w:t>
      </w:r>
      <w:r>
        <w:rPr>
          <w:iCs/>
          <w:i/>
        </w:rPr>
        <w:t xml:space="preserve"> </w:t>
      </w:r>
      <w:r>
        <w:rPr>
          <w:iCs/>
          <w:i/>
        </w:rPr>
        <w:t xml:space="preserve">Whether you like it or not.</w:t>
      </w:r>
      <w:r>
        <w:rPr>
          <w:iCs/>
          <w:i/>
        </w:rPr>
        <w:t xml:space="preserve">”</w:t>
      </w:r>
    </w:p>
    <w:p>
      <w:pPr>
        <w:pStyle w:val="BlockText"/>
      </w:pPr>
      <w:r>
        <w:t xml:space="preserve">—from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w:t>
      </w:r>
      <w:r>
        <w:t xml:space="preserve"> </w:t>
      </w:r>
      <w:r>
        <w:t xml:space="preserve">(computer programmer and science fiction writer)</w:t>
      </w:r>
    </w:p>
    <w:p>
      <w:pPr>
        <w:pStyle w:val="FirstParagraph"/>
      </w:pPr>
      <w:r>
        <w:t xml:space="preserve">In this chapter, I will describe the second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Each individual has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rPr>
          <w:iCs/>
          <w:i/>
        </w:rP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w:t>
      </w:r>
    </w:p>
    <w:p>
      <w:pPr>
        <w:numPr>
          <w:ilvl w:val="0"/>
          <w:numId w:val="1001"/>
        </w:numPr>
        <w:pStyle w:val="Compact"/>
      </w:pPr>
      <w:r>
        <w:t xml:space="preserve">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w:t>
      </w:r>
    </w:p>
    <w:p>
      <w:pPr>
        <w:numPr>
          <w:ilvl w:val="0"/>
          <w:numId w:val="1001"/>
        </w:numPr>
        <w:pStyle w:val="Compact"/>
      </w:pPr>
      <w:r>
        <w:t xml:space="preserve">that people struggle to find meaning and value in their data when they do manage to access it [</w:t>
      </w:r>
      <w:hyperlink w:anchor="Xd9a9eb3723d36c07bbcef114c168744dedfa05e">
        <w:r>
          <w:rPr>
            <w:rStyle w:val="Hyperlink"/>
          </w:rPr>
          <w:t xml:space="preserve">5.4.2</w:t>
        </w:r>
      </w:hyperlink>
      <w:r>
        <w:t xml:space="preserve">], and</w:t>
      </w:r>
    </w:p>
    <w:p>
      <w:pPr>
        <w:numPr>
          <w:ilvl w:val="0"/>
          <w:numId w:val="1001"/>
        </w:numPr>
        <w:pStyle w:val="Compact"/>
      </w:pPr>
      <w:r>
        <w:t xml:space="preserve">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w:t>
      </w:r>
    </w:p>
    <w:p>
      <w:pPr>
        <w:pStyle w:val="FirstParagraph"/>
      </w:pPr>
      <w:r>
        <w:t xml:space="preserve">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detailed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the effectiveness of these offerings and processes for service users has not been studies, nor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(except by activists [</w:t>
      </w:r>
      <w:hyperlink w:anchor="Xa16e203872bcacabe78d1385e9c7faf62c4c5be">
        <w:r>
          <w:rPr>
            <w:rStyle w:val="Hyperlink"/>
          </w:rPr>
          <w:t xml:space="preserve">9.2</w:t>
        </w:r>
      </w:hyperlink>
      <w:r>
        <w:t xml:space="preserve">;</w:t>
      </w:r>
      <w:r>
        <w:t xml:space="preserve"> </w:t>
      </w:r>
      <w:hyperlink w:anchor="X84473f470864e067ee3a22e64b47b0a1c356f29">
        <w:r>
          <w:rPr>
            <w:rStyle w:val="Hyperlink"/>
          </w:rPr>
          <w:t xml:space="preserve">9.4</w:t>
        </w:r>
      </w:hyperlink>
      <w:r>
        <w:t xml:space="preserve">]). This presents an opportunity to take individuals who have not previously used these capabilities on a journey of discovery. Through this, we can assess the impact of these processes over time and whether–by compelling data holders to create such offerings and respond to access requests–the 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also provides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outline an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w:t>
      </w:r>
    </w:p>
    <w:p>
      <w:pPr>
        <w:pStyle w:val="BodyText"/>
      </w:pPr>
      <w:r>
        <w:t xml:space="preserve">The GDPR process itself has also been examined from many perspectives by researchers:</w:t>
      </w:r>
    </w:p>
    <w:p>
      <w:pPr>
        <w:numPr>
          <w:ilvl w:val="0"/>
          <w:numId w:val="1002"/>
        </w:numPr>
        <w:pStyle w:val="Compact"/>
      </w:pPr>
      <w:r>
        <w:t xml:space="preserve">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w:t>
      </w:r>
    </w:p>
    <w:p>
      <w:pPr>
        <w:numPr>
          <w:ilvl w:val="0"/>
          <w:numId w:val="1002"/>
        </w:numPr>
        <w:pStyle w:val="Compact"/>
      </w:pPr>
      <w:r>
        <w:t xml:space="preserve">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w:t>
      </w:r>
    </w:p>
    <w:p>
      <w:pPr>
        <w:numPr>
          <w:ilvl w:val="0"/>
          <w:numId w:val="1002"/>
        </w:numPr>
        <w:pStyle w:val="Compact"/>
      </w:pPr>
      <w:r>
        <w:t xml:space="preserve">to compare its effectiveness in</w:t>
      </w:r>
    </w:p>
    <w:p>
      <w:pPr>
        <w:numPr>
          <w:ilvl w:val="1"/>
          <w:numId w:val="1003"/>
        </w:numPr>
        <w:pStyle w:val="Compact"/>
      </w:pPr>
      <w:r>
        <w:t xml:space="preserve">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w:t>
      </w:r>
    </w:p>
    <w:p>
      <w:pPr>
        <w:numPr>
          <w:ilvl w:val="1"/>
          <w:numId w:val="1003"/>
        </w:numPr>
        <w:pStyle w:val="Compact"/>
      </w:pPr>
      <w:r>
        <w:t xml:space="preserve">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w:t>
      </w:r>
    </w:p>
    <w:p>
      <w:pPr>
        <w:numPr>
          <w:ilvl w:val="1"/>
          <w:numId w:val="1003"/>
        </w:numPr>
        <w:pStyle w:val="Compact"/>
      </w:pPr>
      <w:r>
        <w:t xml:space="preserve">fairness</w:t>
      </w:r>
      <w:r>
        <w:t xml:space="preserve"> </w:t>
      </w:r>
      <w:r>
        <w:t xml:space="preserve">(</w:t>
      </w:r>
      <w:hyperlink w:anchor="ref-kasirzadeh2021">
        <w:r>
          <w:rPr>
            <w:rStyle w:val="Hyperlink"/>
          </w:rPr>
          <w:t xml:space="preserve">Kasirzadeh and Clifford, 2021</w:t>
        </w:r>
      </w:hyperlink>
      <w:r>
        <w:t xml:space="preserve">)</w:t>
      </w:r>
      <w:r>
        <w:t xml:space="preserve">,</w:t>
      </w:r>
    </w:p>
    <w:p>
      <w:pPr>
        <w:numPr>
          <w:ilvl w:val="1"/>
          <w:numId w:val="1003"/>
        </w:numPr>
        <w:pStyle w:val="Compact"/>
      </w:pPr>
      <w:r>
        <w:t xml:space="preserve">consent</w:t>
      </w:r>
      <w:r>
        <w:t xml:space="preserve"> </w:t>
      </w:r>
      <w:r>
        <w:t xml:space="preserve">(</w:t>
      </w:r>
      <w:hyperlink w:anchor="ref-human2021">
        <w:r>
          <w:rPr>
            <w:rStyle w:val="Hyperlink"/>
          </w:rPr>
          <w:t xml:space="preserve">Human and Cech, 2021</w:t>
        </w:r>
      </w:hyperlink>
      <w:r>
        <w:t xml:space="preserve">)</w:t>
      </w:r>
      <w:r>
        <w:t xml:space="preserve">,</w:t>
      </w:r>
    </w:p>
    <w:p>
      <w:pPr>
        <w:numPr>
          <w:ilvl w:val="1"/>
          <w:numId w:val="1003"/>
        </w:numPr>
        <w:pStyle w:val="Compact"/>
      </w:pPr>
      <w:r>
        <w:t xml:space="preserve">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w:t>
      </w:r>
    </w:p>
    <w:p>
      <w:pPr>
        <w:numPr>
          <w:ilvl w:val="1"/>
          <w:numId w:val="1003"/>
        </w:numPr>
        <w:pStyle w:val="Compact"/>
      </w:pPr>
      <w:r>
        <w:t xml:space="preserve">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w:t>
      </w:r>
    </w:p>
    <w:p>
      <w:pPr>
        <w:pStyle w:val="FirstParagraph"/>
      </w:pPr>
      <w:r>
        <w:t xml:space="preserve">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layperson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 PDE 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which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of</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multi-party data use context. It scrutinises the experience of using one’s GDPR rights in order to discover how well the process meets individuals’ needs and expectations. In the process we can uncover problems and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31 qualitative interviews were conducted, with a convenience sample of 11 individuals from a population of researchers and students at (or connected with) Newcastle University, aged 20-40 years; 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4"/>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4"/>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4"/>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 The processes described here are further detailed in</w:t>
      </w:r>
      <w:r>
        <w:t xml:space="preserve"> </w:t>
      </w:r>
      <w:hyperlink w:anchor="ari-gdpr-data-analysis">
        <w:r>
          <w:rPr>
            <w:rStyle w:val="Hyperlink"/>
          </w:rPr>
          <w:t xml:space="preserve">ARI5.1</w:t>
        </w:r>
      </w:hyperlink>
      <w:r>
        <w:t xml:space="preserve">.</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r>
        <w:t xml:space="preserve"> </w:t>
      </w: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r>
        <w:t xml:space="preserve"> </w:t>
      </w: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w:t>
      </w:r>
      <w:r>
        <w:t xml:space="preserve"> </w:t>
      </w:r>
      <w:hyperlink w:anchor="table-5.4">
        <w:r>
          <w:rPr>
            <w:rStyle w:val="Hyperlink"/>
          </w:rPr>
          <w:t xml:space="preserve">Table 5.4</w:t>
        </w:r>
      </w:hyperlink>
      <w:r>
        <w:t xml:space="preserve">).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Please note that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concluded (as described above), they were invited to discuss the GDPR responses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From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Scoring questions were used to examine how participants’ feelings towards the data holders changed throughout the process: Participants were asked:</w:t>
      </w:r>
    </w:p>
    <w:p>
      <w:pPr>
        <w:numPr>
          <w:ilvl w:val="0"/>
          <w:numId w:val="1005"/>
        </w:numPr>
        <w:pStyle w:val="Compact"/>
      </w:pPr>
      <w:r>
        <w:t xml:space="preserve">to assess trust from 0 (total distrust) to 10 (total trust), and</w:t>
      </w:r>
    </w:p>
    <w:p>
      <w:pPr>
        <w:numPr>
          <w:ilvl w:val="0"/>
          <w:numId w:val="1005"/>
        </w:numPr>
        <w:pStyle w:val="Compact"/>
      </w:pPr>
      <w:r>
        <w:t xml:space="preserve">to assess their perceived power on a scale of -5 (total provider power) through 0 (balanced power) to +5 (total individual power).</w:t>
      </w:r>
    </w:p>
    <w:p>
      <w:pPr>
        <w:pStyle w:val="FirstParagraph"/>
      </w:pPr>
      <w:r>
        <w:t xml:space="preserve">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4162758" cy="5352117"/>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4162758" cy="5352117"/>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4469689" cy="4591183"/>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4469689" cy="4591183"/>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w:t>
      </w:r>
      <w:r>
        <w:t xml:space="preserve"> </w:t>
      </w:r>
      <w:hyperlink w:anchor="ari5.1">
        <w:r>
          <w:rPr>
            <w:rStyle w:val="Hyperlink"/>
          </w:rPr>
          <w:t xml:space="preserve">see ARI5.1</w:t>
        </w:r>
      </w:hyperlink>
      <w:r>
        <w:t xml:space="preserve">].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the the following subsections,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w:t>
      </w:r>
    </w:p>
    <w:p>
      <w:pPr>
        <w:numPr>
          <w:ilvl w:val="0"/>
          <w:numId w:val="1006"/>
        </w:numPr>
        <w:pStyle w:val="Compact"/>
      </w:pPr>
      <w:r>
        <w:t xml:space="preserve">Insufficient Transparency [</w:t>
      </w:r>
      <w:hyperlink w:anchor="Xd9a9eb3723d36c07bbcef114c168744dedfa05e">
        <w:r>
          <w:rPr>
            <w:rStyle w:val="Hyperlink"/>
          </w:rPr>
          <w:t xml:space="preserve">5.4.2</w:t>
        </w:r>
      </w:hyperlink>
      <w:r>
        <w:t xml:space="preserve">],</w:t>
      </w:r>
    </w:p>
    <w:p>
      <w:pPr>
        <w:numPr>
          <w:ilvl w:val="0"/>
          <w:numId w:val="1006"/>
        </w:numPr>
        <w:pStyle w:val="Compact"/>
      </w:pPr>
      <w:r>
        <w:t xml:space="preserve">Confusing and Unuseable Data [</w:t>
      </w:r>
      <w:hyperlink w:anchor="X4220954772525d32e725d96f6075161e9a9a85f">
        <w:r>
          <w:rPr>
            <w:rStyle w:val="Hyperlink"/>
          </w:rPr>
          <w:t xml:space="preserve">5.4.3</w:t>
        </w:r>
      </w:hyperlink>
      <w:r>
        <w:t xml:space="preserve">], and</w:t>
      </w:r>
    </w:p>
    <w:p>
      <w:pPr>
        <w:numPr>
          <w:ilvl w:val="0"/>
          <w:numId w:val="1006"/>
        </w:numPr>
        <w:pStyle w:val="Compact"/>
      </w:pPr>
      <w:r>
        <w:t xml:space="preserve">Fragile Relationships [</w:t>
      </w:r>
      <w:hyperlink w:anchor="X2902b4cdc2a826d64840aa586dae8f5626e82e7">
        <w:r>
          <w:rPr>
            <w:rStyle w:val="Hyperlink"/>
          </w:rPr>
          <w:t xml:space="preserve">5.4.4</w:t>
        </w:r>
      </w:hyperlink>
      <w:r>
        <w:t xml:space="preserve">].</w:t>
      </w:r>
    </w:p>
    <w:p>
      <w:pPr>
        <w:pStyle w:val="FirstParagraph"/>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w:t>
      </w:r>
      <w:r>
        <w:t xml:space="preserve"> </w:t>
      </w:r>
      <w:hyperlink w:anchor="table-5.4">
        <w:r>
          <w:rPr>
            <w:rStyle w:val="Hyperlink"/>
          </w:rPr>
          <w:t xml:space="preserve">Table 5.4</w:t>
        </w:r>
      </w:hyperlink>
      <w:r>
        <w:t xml:space="preserve"> </w:t>
      </w:r>
      <w:r>
        <w:t xml:space="preserve">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w:t>
      </w:r>
      <w:r>
        <w:t xml:space="preserve"> </w:t>
      </w:r>
      <w:hyperlink w:anchor="table-5.4">
        <w:r>
          <w:rPr>
            <w:rStyle w:val="Hyperlink"/>
          </w:rPr>
          <w:t xml:space="preserve">Table 5.4</w:t>
        </w:r>
      </w:hyperlink>
      <w:r>
        <w:t xml:space="preserve">),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w:t>
      </w:r>
      <w:r>
        <w:t xml:space="preserve"> </w:t>
      </w:r>
      <w:r>
        <w:rPr>
          <w:iCs/>
          <w:i/>
        </w:rPr>
        <w:t xml:space="preserve">jsonlint.com</w:t>
      </w:r>
      <w:r>
        <w:t xml:space="preserve">, an online formatter, she found her JSON-formatted data more understandable. P2 made the point that data holders must be using tools themselves to make sense of people’s data:</w:t>
      </w:r>
      <w:r>
        <w:t xml:space="preserve"> </w:t>
      </w:r>
      <w:r>
        <w:rPr>
          <w:iCs/>
          <w:i/>
        </w:rPr>
        <w:t xml:space="preserve">’</w:t>
      </w:r>
      <w:r>
        <w:rPr>
          <w:bCs/>
          <w:b/>
          <w:iCs/>
          <w:i/>
        </w:rPr>
        <w:t xml:space="preserve">They’re</w:t>
      </w:r>
      <w:r>
        <w:rPr>
          <w:iCs/>
          <w:i/>
        </w:rPr>
        <w:t xml:space="preserve"> </w:t>
      </w:r>
      <w:r>
        <w:rPr>
          <w:iCs/>
          <w:i/>
        </w:rPr>
        <w:t xml:space="preserve">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w:t>
      </w:r>
    </w:p>
    <w:p>
      <w:pPr>
        <w:pStyle w:val="FirstParagraph"/>
      </w:pPr>
      <w:r>
        <w:rPr>
          <w:bCs/>
          <w:b/>
        </w:rPr>
        <w:t xml:space="preserve">Compliance, Quality and Ongoing Access</w:t>
      </w:r>
    </w:p>
    <w:p>
      <w:pPr>
        <w:pStyle w:val="BodyText"/>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w:t>
      </w:r>
      <w:r>
        <w:t xml:space="preserve"> </w:t>
      </w:r>
      <w:r>
        <w:rPr>
          <w:iCs/>
          <w:i/>
        </w:rPr>
        <w:t xml:space="preserve">disappointment</w:t>
      </w:r>
      <w:r>
        <w:t xml:space="preserve"> </w:t>
      </w:r>
      <w:r>
        <w:t xml:space="preserve">and</w:t>
      </w:r>
      <w:r>
        <w:t xml:space="preserve"> </w:t>
      </w:r>
      <w:r>
        <w:rPr>
          <w:iCs/>
          <w:i/>
        </w:rPr>
        <w:t xml:space="preserve">frustration</w:t>
      </w:r>
      <w:r>
        <w:t xml:space="preserve">,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w:t>
      </w:r>
      <w:r>
        <w:t xml:space="preserve"> </w:t>
      </w:r>
      <w:hyperlink w:anchor="table-5.4">
        <w:r>
          <w:rPr>
            <w:rStyle w:val="Hyperlink"/>
          </w:rPr>
          <w:t xml:space="preserve">Table 5.4</w:t>
        </w:r>
      </w:hyperlink>
      <w:r>
        <w:t xml:space="preserve">),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w:t>
      </w:r>
    </w:p>
    <w:p>
      <w:pPr>
        <w:pStyle w:val="FirstParagraph"/>
      </w:pPr>
      <w:r>
        <w:rPr>
          <w:bCs/>
          <w:b/>
        </w:rPr>
        <w:t xml:space="preserve">Earn Trust by Opening Up Data and Enabling Users</w:t>
      </w:r>
    </w:p>
    <w:p>
      <w:pPr>
        <w:pStyle w:val="BodyText"/>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the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w:t>
      </w:r>
      <w:r>
        <w:t xml:space="preserve"> </w:t>
      </w:r>
      <w:r>
        <w:rPr>
          <w:iCs/>
          <w:i/>
        </w:rPr>
        <w:t xml:space="preserve">MyData Global</w:t>
      </w:r>
      <w:r>
        <w:t xml:space="preserve"> </w:t>
      </w:r>
      <w:r>
        <w:t xml:space="preserve">organization [</w:t>
      </w:r>
      <w:r>
        <w:t xml:space="preserve">MyData.org (</w:t>
      </w:r>
      <w:hyperlink w:anchor="ref-mydata2018">
        <w:r>
          <w:rPr>
            <w:rStyle w:val="Hyperlink"/>
          </w:rPr>
          <w:t xml:space="preserve">2018</w:t>
        </w:r>
      </w:hyperlink>
      <w:r>
        <w:t xml:space="preserve">)</w:t>
      </w:r>
      <w:r>
        <w:t xml:space="preserve">;</w:t>
      </w:r>
      <w:r>
        <w:t xml:space="preserve"> </w:t>
      </w:r>
      <w:hyperlink w:anchor="X7b06b2486a051055e43ae1127e87196d505e2f3">
        <w:r>
          <w:rPr>
            <w:rStyle w:val="Hyperlink"/>
          </w:rPr>
          <w:t xml:space="preserve">2.3.4</w:t>
        </w:r>
      </w:hyperlink>
      <w:r>
        <w:t xml:space="preserve">] 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As discussed further in</w:t>
      </w:r>
      <w:r>
        <w:t xml:space="preserve"> </w:t>
      </w:r>
      <w:hyperlink w:anchor="X1f7a3a299f62225cba076fc6d3d6e677f303482">
        <w:r>
          <w:rPr>
            <w:rStyle w:val="Hyperlink"/>
          </w:rPr>
          <w:t xml:space="preserve">9.3</w:t>
        </w:r>
      </w:hyperlink>
      <w:r>
        <w:t xml:space="preserve">,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w:t>
      </w:r>
    </w:p>
    <w:p>
      <w:pPr>
        <w:pStyle w:val="FirstParagraph"/>
      </w:pPr>
      <w:r>
        <w:rPr>
          <w:bCs/>
          <w:b/>
        </w:rPr>
        <w:t xml:space="preserve">Becoming Aware of the Value and Power of Data, and Demanding More</w:t>
      </w:r>
    </w:p>
    <w:p>
      <w:pPr>
        <w:pStyle w:val="BodyText"/>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soon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w:t>
      </w:r>
      <w:r>
        <w:t xml:space="preserve"> </w:t>
      </w:r>
      <w:hyperlink w:anchor="table-5.4">
        <w:r>
          <w:rPr>
            <w:rStyle w:val="Hyperlink"/>
          </w:rPr>
          <w:t xml:space="preserve">Table 5.4</w:t>
        </w:r>
      </w:hyperlink>
      <w:r>
        <w:t xml:space="preserve">,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we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w:t>
      </w:r>
      <w:r>
        <w:t xml:space="preserve"> </w:t>
      </w:r>
      <w:hyperlink w:anchor="table-5.4">
        <w:r>
          <w:rPr>
            <w:rStyle w:val="Hyperlink"/>
          </w:rPr>
          <w:t xml:space="preserve">Table 5.4</w:t>
        </w:r>
      </w:hyperlink>
      <w:r>
        <w:t xml:space="preserve">),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rPr>
          <w:iCs/>
          <w:i/>
        </w:rPr>
        <w:t xml:space="preserve">‘</w:t>
      </w:r>
      <w:r>
        <w:rPr>
          <w:iCs/>
          <w:i/>
        </w:rPr>
        <w:t xml:space="preserve">in the dark</w:t>
      </w:r>
      <w:r>
        <w:rPr>
          <w:iCs/>
          <w:i/>
        </w:rP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w:t>
      </w:r>
      <w:hyperlink w:anchor="RQ1">
        <w:r>
          <w:rPr>
            <w:rStyle w:val="Hyperlink"/>
          </w:rPr>
          <w:t xml:space="preserve">3.3.1</w:t>
        </w:r>
      </w:hyperlink>
      <w:r>
        <w:t xml:space="preserve">]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w:t>
      </w:r>
      <w:r>
        <w:t xml:space="preserve"> </w:t>
      </w:r>
      <w:hyperlink w:anchor="table-5.4">
        <w:r>
          <w:rPr>
            <w:rStyle w:val="Hyperlink"/>
          </w:rPr>
          <w:t xml:space="preserve">Table 5.4</w:t>
        </w:r>
      </w:hyperlink>
      <w:r>
        <w:t xml:space="preserve">), and good quality insights from data that would allow them to understand themselves better, learn from the past, set personal goals, and harness personal data for their individual benefit (see goals in lower half of</w:t>
      </w:r>
      <w:r>
        <w:t xml:space="preserve"> </w:t>
      </w:r>
      <w:hyperlink w:anchor="table-5.4">
        <w:r>
          <w:rPr>
            <w:rStyle w:val="Hyperlink"/>
          </w:rPr>
          <w:t xml:space="preserve">Table 5.4</w:t>
        </w:r>
      </w:hyperlink>
      <w:r>
        <w:t xml:space="preserve">).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w:t>
      </w:r>
      <w:hyperlink w:anchor="X85383fcd7c211714084d7fca897998d7d759c5d">
        <w:r>
          <w:rPr>
            <w:rStyle w:val="Hyperlink"/>
          </w:rPr>
          <w:t xml:space="preserve">3.3.2</w:t>
        </w:r>
      </w:hyperlink>
      <w:r>
        <w:t xml:space="preserve">]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This assumes that the openness offered reveals practices the user finds agreeable. Perhaps this in some way explains why some data-focussed companies (such as Facebook and Google)–whose practices many would find disagreeable upon examination–are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2022-08-26T10:07:52Z</dcterms:created>
  <dcterms:modified xsi:type="dcterms:W3CDTF">2022-08-26T10:07:52Z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https://github.com/alexbfree/thesis/tree/master/src</vt:lpwstr>
  </property>
  <property fmtid="{D5CDD505-2E9C-101B-9397-08002B2CF9AE}" pid="8" name="website-build-formats">
    <vt:lpwstr/>
  </property>
</Properties>
</file>