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 . . . . . . Whether you like it or not.</w:t>
      </w:r>
      <w:r>
        <w:rPr>
          <w:i/>
        </w:rPr>
        <w:t xml:space="preserve">”</w:t>
      </w:r>
      <w:r>
        <w:t xml:space="preserve"> </w:t>
      </w:r>
      <w:r>
        <w:t xml:space="preserve">– from</w:t>
      </w:r>
      <w:r>
        <w:t xml:space="preserve"> </w:t>
      </w:r>
      <w:r>
        <w:rPr>
          <w:i/>
        </w:rPr>
        <w:t xml:space="preserve">‘</w:t>
      </w:r>
      <w:r>
        <w:rPr>
          <w:i/>
        </w:rPr>
        <w:t xml:space="preserve">The Long Run: A Tale of the Continuing Time</w:t>
      </w:r>
      <w:r>
        <w:rPr>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2022-06-16T12:18:44Z</dcterms:created>
  <dcterms:modified xsi:type="dcterms:W3CDTF">2022-06-16T12:18:44Z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