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w:t>
      </w:r>
      <w:r>
        <w:t xml:space="preserve">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they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the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not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and without explanation or context.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 never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would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and the general principle that transparency allows trust to be earned, which can in turn benefit organisations themselves, could be applied in a wide range of service endeavours that are currently very closed, and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2022-03-28T08:50:23Z</dcterms:created>
  <dcterms:modified xsi:type="dcterms:W3CDTF">2022-03-28T08:50:23Z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