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9" w:name="chapter-6"/>
    <w:p>
      <w:pPr>
        <w:pStyle w:val="Heading1"/>
      </w:pPr>
      <w:r>
        <w:rPr>
          <w:rStyle w:val="SectionNumber"/>
        </w:rPr>
        <w:t xml:space="preserve">1</w:t>
      </w:r>
      <w:r>
        <w:tab/>
      </w:r>
      <w:r>
        <w:t xml:space="preserve">Discussion Part 1: An Understanding of Human Data Relations</w:t>
      </w:r>
    </w:p>
    <w:p>
      <w:pPr>
        <w:pStyle w:val="FirstParagraph"/>
      </w:pPr>
      <w:r>
        <w:t xml:space="preserve">It will be already evident to the reader that there are significant overlaps and parallels to be drawn across the findings and discursive insights in Case Study One and Two. In this mini-discussion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t xml:space="preserve">RQ1:</w:t>
      </w:r>
      <w:r>
        <w:t xml:space="preserve"> </w:t>
      </w:r>
      <w:r>
        <w:t xml:space="preserve">“</w:t>
      </w:r>
      <w:r>
        <w:t xml:space="preserve">What is the human experience of personal data, and what do people want from their data?</w:t>
      </w:r>
      <w:r>
        <w:t xml:space="preserve">”</w:t>
      </w:r>
    </w:p>
    <w:p>
      <w:pPr>
        <w:numPr>
          <w:ilvl w:val="0"/>
          <w:numId w:val="1001"/>
        </w:numPr>
        <w:pStyle w:val="Compact"/>
      </w:pPr>
      <w:r>
        <w:t xml:space="preserve">RQ2:</w:t>
      </w:r>
      <w:r>
        <w:t xml:space="preserve"> </w:t>
      </w:r>
      <w:r>
        <w:t xml:space="preserve">“</w:t>
      </w:r>
      <w:r>
        <w:t xml:space="preserve">What role does data play in people’s service relationships and how could relationships involving data be improved?</w:t>
      </w:r>
      <w:r>
        <w:t xml:space="preserve">”</w:t>
      </w:r>
    </w:p>
    <w:p>
      <w:pPr>
        <w:pStyle w:val="FirstParagraph"/>
      </w:pPr>
      <w:r>
        <w:t xml:space="preserve">The answers to these research questions are best expressed as an understanding of individual</w:t>
      </w:r>
      <w:r>
        <w:t xml:space="preserve"> </w:t>
      </w:r>
      <w:r>
        <w:rPr>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8.</w:t>
      </w:r>
      <w:r>
        <w:t xml:space="preserve"> </w:t>
      </w:r>
      <w:r>
        <w:rPr>
          <w:i/>
        </w:rPr>
        <w:t xml:space="preserve">“</w:t>
      </w:r>
      <w:r>
        <w:rPr>
          <w:i/>
        </w:rPr>
        <w:t xml:space="preserve">Human Data Relations</w:t>
      </w:r>
      <w:r>
        <w:rPr>
          <w:i/>
        </w:rPr>
        <w:t xml:space="preserve">”</w:t>
      </w:r>
      <w:r>
        <w:t xml:space="preserve"> </w:t>
      </w:r>
      <w:r>
        <w:t xml:space="preserve">is a term that I introduce here to expand upon the established theory of Human Data Interaction</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
        </w:rPr>
        <w:t xml:space="preserve">direct</w:t>
      </w:r>
      <w:r>
        <w:t xml:space="preserve"> </w:t>
      </w:r>
      <w:r>
        <w:t xml:space="preserve">interaction (such as through an interface in an app or website) and</w:t>
      </w:r>
      <w:r>
        <w:t xml:space="preserve"> </w:t>
      </w:r>
      <w:r>
        <w:rPr>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3" w:name="Xc76716aeec7f9f7013a1becb61f2c27877fe1ae"/>
    <w:p>
      <w:pPr>
        <w:pStyle w:val="Heading2"/>
      </w:pPr>
      <w:r>
        <w:rPr>
          <w:rStyle w:val="SectionNumber"/>
        </w:rPr>
        <w:t xml:space="preserve">1.1</w:t>
      </w:r>
      <w:r>
        <w:tab/>
      </w:r>
      <w:r>
        <w:t xml:space="preserve">Answering RQ1: What do people want in</w:t>
      </w:r>
      <w:r>
        <w:t xml:space="preserve"> </w:t>
      </w:r>
      <w:r>
        <w:rPr>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
        </w:rPr>
        <w:t xml:space="preserve">direct</w:t>
      </w:r>
      <w:r>
        <w:t xml:space="preserve"> </w:t>
      </w:r>
      <w:r>
        <w:t xml:space="preserve">data relations. All data about them needs to be:</w:t>
      </w:r>
    </w:p>
    <w:p>
      <w:pPr>
        <w:numPr>
          <w:ilvl w:val="0"/>
          <w:numId w:val="1002"/>
        </w:numPr>
        <w:pStyle w:val="Compact"/>
      </w:pPr>
      <w:r>
        <w:rPr>
          <w:i/>
        </w:rPr>
        <w:t xml:space="preserve">Visible</w:t>
      </w:r>
      <w:r>
        <w:t xml:space="preserve">: People need to have knowledge of data about them and an ability to see it and effectively access it;</w:t>
      </w:r>
    </w:p>
    <w:p>
      <w:pPr>
        <w:numPr>
          <w:ilvl w:val="0"/>
          <w:numId w:val="1002"/>
        </w:numPr>
        <w:pStyle w:val="Compact"/>
      </w:pPr>
      <w:r>
        <w:rPr>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visible"/>
    <w:p>
      <w:pPr>
        <w:pStyle w:val="Heading3"/>
      </w:pPr>
      <w:r>
        <w:rPr>
          <w:rStyle w:val="SectionNumber"/>
        </w:rPr>
        <w:t xml:space="preserve">1.1.1</w:t>
      </w:r>
      <w:r>
        <w:tab/>
      </w:r>
      <w:r>
        <w:t xml:space="preserve">Visible</w:t>
      </w:r>
    </w:p>
    <w:p>
      <w:pPr>
        <w:pStyle w:val="FirstParagraph"/>
      </w:pPr>
      <w:r>
        <w:rPr>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(Binns,</w:t>
      </w:r>
      <w:r>
        <w:t xml:space="preserve"> </w:t>
      </w:r>
      <w:hyperlink w:anchor="ref-binns2022">
        <w:r>
          <w:rPr>
            <w:rStyle w:val="Hyperlink"/>
          </w:rPr>
          <w:t xml:space="preserve">2022</w:t>
        </w:r>
      </w:hyperlink>
      <w:r>
        <w:t xml:space="preserve">)</w:t>
      </w:r>
      <w:r>
        <w:t xml:space="preserve">. In both domains, this sacrifice is seen to have an emotional effect on people, ranging from curiosity to fear and distrust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
        </w:rPr>
        <w:t xml:space="preserve">intend</w:t>
      </w:r>
      <w:r>
        <w:t xml:space="preserve"> </w:t>
      </w:r>
      <w:r>
        <w:t xml:space="preserve">to cause harm, data</w:t>
      </w:r>
      <w:r>
        <w:t xml:space="preserve"> </w:t>
      </w:r>
      <w:r>
        <w:rPr>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(Kröger, Miceli and Müller,</w:t>
      </w:r>
      <w:r>
        <w:t xml:space="preserve"> </w:t>
      </w:r>
      <w:hyperlink w:anchor="ref-kroger2021">
        <w:r>
          <w:rPr>
            <w:rStyle w:val="Hyperlink"/>
          </w:rPr>
          <w:t xml:space="preserve">2021</w:t>
        </w:r>
      </w:hyperlink>
      <w:r>
        <w:t xml:space="preserve">; Strohmayer</w:t>
      </w:r>
      <w:r>
        <w:t xml:space="preserve"> </w:t>
      </w:r>
      <w:r>
        <w:rPr>
          <w:i/>
        </w:rPr>
        <w:t xml:space="preserve">et al.</w:t>
      </w:r>
      <w:r>
        <w:t xml:space="preserve">,</w:t>
      </w:r>
      <w:r>
        <w:t xml:space="preserve"> </w:t>
      </w:r>
      <w:hyperlink w:anchor="ref-strohmayer2021">
        <w:r>
          <w:rPr>
            <w:rStyle w:val="Hyperlink"/>
          </w:rPr>
          <w:t xml:space="preserve">2021</w:t>
        </w:r>
      </w:hyperlink>
      <w:r>
        <w:t xml:space="preserve">)</w:t>
      </w:r>
      <w:r>
        <w:t xml:space="preserve">. In providers’ eyes, people are now represented through data. Despite the fact that data is never truly objective</w:t>
      </w:r>
      <w:r>
        <w:t xml:space="preserve"> </w:t>
      </w:r>
      <w:r>
        <w:t xml:space="preserve">(Gitelman,</w:t>
      </w:r>
      <w:r>
        <w:t xml:space="preserve"> </w:t>
      </w:r>
      <w:hyperlink w:anchor="ref-gitelman2013">
        <w:r>
          <w:rPr>
            <w:rStyle w:val="Hyperlink"/>
          </w:rPr>
          <w:t xml:space="preserve">2013</w:t>
        </w:r>
      </w:hyperlink>
      <w:r>
        <w:t xml:space="preserve">; Taylor</w:t>
      </w:r>
      <w:r>
        <w:t xml:space="preserve"> </w:t>
      </w:r>
      <w:r>
        <w:rPr>
          <w:i/>
        </w:rPr>
        <w:t xml:space="preserve">et al.</w:t>
      </w:r>
      <w:r>
        <w:t xml:space="preserve">,</w:t>
      </w:r>
      <w:r>
        <w:t xml:space="preserve"> </w:t>
      </w:r>
      <w:hyperlink w:anchor="ref-taylor2015">
        <w:r>
          <w:rPr>
            <w:rStyle w:val="Hyperlink"/>
          </w:rPr>
          <w:t xml:space="preserve">2015</w:t>
        </w:r>
      </w:hyperlink>
      <w:r>
        <w:t xml:space="preserve">)</w:t>
      </w:r>
      <w:r>
        <w:t xml:space="preserve"> </w:t>
      </w:r>
      <w:r>
        <w:t xml:space="preserve">and a recognition (at least on the public sector side) that a data record can never tell the full story (4.2.6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the data record becomes the object to be administered, rather than the individual</w:t>
      </w:r>
      <w:r>
        <w:t xml:space="preserve"> </w:t>
      </w:r>
      <w:r>
        <w:t xml:space="preserve">(Cornford, Baines and Wilson,</w:t>
      </w:r>
      <w:r>
        <w:t xml:space="preserve"> </w:t>
      </w:r>
      <w:hyperlink w:anchor="ref-cornford2013">
        <w:r>
          <w:rPr>
            <w:rStyle w:val="Hyperlink"/>
          </w:rPr>
          <w:t xml:space="preserve">2013</w:t>
        </w:r>
      </w:hyperlink>
      <w:r>
        <w:t xml:space="preserve">; Zuboff,</w:t>
      </w:r>
      <w:r>
        <w:t xml:space="preserve"> </w:t>
      </w:r>
      <w:hyperlink w:anchor="ref-zuboff2019">
        <w:r>
          <w:rPr>
            <w:rStyle w:val="Hyperlink"/>
          </w:rPr>
          <w:t xml:space="preserve">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
        </w:rPr>
        <w:t xml:space="preserve">fair</w:t>
      </w:r>
      <w:r>
        <w:t xml:space="preserve">, and</w:t>
      </w:r>
      <w:r>
        <w:t xml:space="preserve"> </w:t>
      </w:r>
      <w:r>
        <w:rPr>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(Chang,</w:t>
      </w:r>
      <w:r>
        <w:t xml:space="preserve"> </w:t>
      </w:r>
      <w:hyperlink w:anchor="ref-chang2018">
        <w:r>
          <w:rPr>
            <w:rStyle w:val="Hyperlink"/>
          </w:rPr>
          <w:t xml:space="preserve">2018</w:t>
        </w:r>
      </w:hyperlink>
      <w:r>
        <w:t xml:space="preserve">; McNamee,</w:t>
      </w:r>
      <w:r>
        <w:t xml:space="preserve"> </w:t>
      </w:r>
      <w:hyperlink w:anchor="ref-mcnamee2019">
        <w:r>
          <w:rPr>
            <w:rStyle w:val="Hyperlink"/>
          </w:rPr>
          <w:t xml:space="preserve">2019</w:t>
        </w:r>
      </w:hyperlink>
      <w:r>
        <w:t xml:space="preserve">; Zuckerman,</w:t>
      </w:r>
      <w:r>
        <w:t xml:space="preserve"> </w:t>
      </w:r>
      <w:hyperlink w:anchor="ref-zuckerman2021">
        <w:r>
          <w:rPr>
            <w:rStyle w:val="Hyperlink"/>
          </w:rPr>
          <w:t xml:space="preserve">2021</w:t>
        </w:r>
      </w:hyperlink>
      <w:r>
        <w:t xml:space="preserve">; ‘Data Brokers: Everything You Need to Know’,</w:t>
      </w:r>
      <w:r>
        <w:t xml:space="preserve"> </w:t>
      </w:r>
      <w:hyperlink w:anchor="ref-avast2022databrokers">
        <w:r>
          <w:rPr>
            <w:rStyle w:val="Hyperlink"/>
          </w:rPr>
          <w:t xml:space="preserve">2022</w:t>
        </w:r>
      </w:hyperlink>
      <w:r>
        <w:t xml:space="preserve">)</w:t>
      </w:r>
      <w:r>
        <w:t xml:space="preserve">. Ensuring fairness and accuracy of held data cannot be verified without individuals’ awareness of data held about them.</w:t>
      </w:r>
    </w:p>
    <w:p>
      <w:pPr>
        <w:pStyle w:val="BodyText"/>
      </w:pPr>
      <w:r>
        <w:rPr>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or be able to access it even when they are.</w:t>
      </w:r>
    </w:p>
    <w:p>
      <w:pPr>
        <w:pStyle w:val="BodyText"/>
      </w:pPr>
      <w:r>
        <w:t xml:space="preserve">Across both contexts, we saw that</w:t>
      </w:r>
      <w:r>
        <w:t xml:space="preserve"> </w:t>
      </w:r>
      <w:r>
        <w:rPr>
          <w:b/>
        </w:rPr>
        <w:t xml:space="preserve">people want to see data which is hidden from them</w:t>
      </w:r>
      <w:r>
        <w:t xml:space="preserve">. In the SILVER project (3.4.1.1, 4.2.2), and my prior work with families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(‘Article 13: Information to be provided where personal data are collected from the data subject’,</w:t>
      </w:r>
      <w:r>
        <w:t xml:space="preserve"> </w:t>
      </w:r>
      <w:hyperlink w:anchor="ref-gdpr2018art13">
        <w:r>
          <w:rPr>
            <w:rStyle w:val="Hyperlink"/>
          </w:rPr>
          <w:t xml:space="preserve">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not given to participants of Case Study Two.</w:t>
      </w:r>
    </w:p>
    <w:p>
      <w:pPr>
        <w:pStyle w:val="BodyText"/>
      </w:pPr>
      <w:r>
        <w:rPr>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(Gurstein,</w:t>
      </w:r>
      <w:r>
        <w:t xml:space="preserve"> </w:t>
      </w:r>
      <w:hyperlink w:anchor="ref-gurstein2011">
        <w:r>
          <w:rPr>
            <w:rStyle w:val="Hyperlink"/>
          </w:rPr>
          <w:t xml:space="preserve">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
        </w:rPr>
        <w:t xml:space="preserve">negotiability</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(Gurstein,</w:t>
      </w:r>
      <w:r>
        <w:t xml:space="preserve"> </w:t>
      </w:r>
      <w:hyperlink w:anchor="ref-gurstein2011">
        <w:r>
          <w:rPr>
            <w:rStyle w:val="Hyperlink"/>
          </w:rPr>
          <w:t xml:space="preserve">2011</w:t>
        </w:r>
      </w:hyperlink>
      <w:r>
        <w:t xml:space="preserve">)</w:t>
      </w:r>
      <w:r>
        <w:t xml:space="preserve">. In the Early Help context, families wanted access to their data outside of support meetings; this implies some sort of self-service interfaces being available, that you can use in your own time 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 day delay on request processing guarantees that data will be out of date by the time it is viewed, and individuals must repeatedly make GDPR requests to maintain an up-to-date view (and in doing so, they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that SAR requests and data portals rarely provide insight into some of the most desired types of data including derived and acquired data and data transfers. Effective access and visibility also requires advocacy</w:t>
      </w:r>
      <w:r>
        <w:t xml:space="preserve"> </w:t>
      </w:r>
      <w:r>
        <w:t xml:space="preserve">(Gurstein,</w:t>
      </w:r>
      <w:r>
        <w:t xml:space="preserve"> </w:t>
      </w:r>
      <w:hyperlink w:anchor="ref-gurstein2011">
        <w:r>
          <w:rPr>
            <w:rStyle w:val="Hyperlink"/>
          </w:rPr>
          <w:t xml:space="preserve">2011</w:t>
        </w:r>
      </w:hyperlink>
      <w:r>
        <w:t xml:space="preserve">)</w:t>
      </w:r>
      <w:r>
        <w:t xml:space="preserve">: people require support and training to make use of their data. Furthermore, given the insufficient breadth of returned data from companies (5.3.3,5.4.2.2) and near-total lack of access to data on the public sector side (4.3.2.2, 4.3.2.3), it is clear that external governance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 demand 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Case Study One were caused significant worries by not being able to see their data. People do not want to be treated like</w:t>
      </w:r>
      <w:r>
        <w:t xml:space="preserve"> </w:t>
      </w:r>
      <w:r>
        <w:rPr>
          <w:i/>
        </w:rPr>
        <w:t xml:space="preserve">subjects</w:t>
      </w:r>
      <w:r>
        <w:t xml:space="preserve"> </w:t>
      </w:r>
      <w:r>
        <w:t xml:space="preserve">(in either sense of on being subjugated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 or a topic being discussed) and reducing people to a set of assertions in data causes them to become, in effect</w:t>
      </w:r>
      <w:r>
        <w:t xml:space="preserve"> </w:t>
      </w:r>
      <w:r>
        <w:t xml:space="preserve">‘</w:t>
      </w:r>
      <w:r>
        <w:t xml:space="preserve">objects to be administed</w:t>
      </w:r>
      <w:r>
        <w:t xml:space="preserve">’</w:t>
      </w:r>
      <w:r>
        <w:t xml:space="preserve">, which is harmful and disempering (4.2.3, 4.3.4.2,</w:t>
      </w:r>
      <w:r>
        <w:t xml:space="preserve"> </w:t>
      </w:r>
      <w:r>
        <w:t xml:space="preserve">(Cornford, Baines and Wilson,</w:t>
      </w:r>
      <w:r>
        <w:t xml:space="preserve">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(Larsson,</w:t>
      </w:r>
      <w:r>
        <w:t xml:space="preserve"> </w:t>
      </w:r>
      <w:hyperlink w:anchor="ref-larsson2018">
        <w:r>
          <w:rPr>
            <w:rStyle w:val="Hyperlink"/>
          </w:rPr>
          <w:t xml:space="preserve">2018</w:t>
        </w:r>
      </w:hyperlink>
      <w:r>
        <w:t xml:space="preserve">)</w:t>
      </w:r>
      <w:r>
        <w:t xml:space="preserve">). It is an inherent consequence of representing people through data and then using that data to make decisions (2.1.2,</w:t>
      </w:r>
      <w:r>
        <w:t xml:space="preserve"> </w:t>
      </w:r>
      <w:r>
        <w:t xml:space="preserve">(Cornford, Baines and Wilson,</w:t>
      </w:r>
      <w:r>
        <w:t xml:space="preserve"> </w:t>
      </w:r>
      <w:hyperlink w:anchor="ref-cornford2013">
        <w:r>
          <w:rPr>
            <w:rStyle w:val="Hyperlink"/>
          </w:rPr>
          <w:t xml:space="preserve">2013</w:t>
        </w:r>
      </w:hyperlink>
      <w:r>
        <w:t xml:space="preserve">, p. @bowyer2018b)</w:t>
      </w:r>
      <w:r>
        <w:t xml:space="preserve">) that individuals become sidelined and excluded (2.3.3 and</w:t>
      </w:r>
      <w:r>
        <w:t xml:space="preserve"> </w:t>
      </w:r>
      <w:r>
        <w:t xml:space="preserve">(Crabtree and Mortier,</w:t>
      </w:r>
      <w:r>
        <w:t xml:space="preserve">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understandable"/>
    <w:p>
      <w:pPr>
        <w:pStyle w:val="Heading3"/>
      </w:pPr>
      <w:r>
        <w:rPr>
          <w:rStyle w:val="SectionNumber"/>
        </w:rPr>
        <w:t xml:space="preserve">1.1.2</w:t>
      </w:r>
      <w:r>
        <w:tab/>
      </w:r>
      <w:r>
        <w:t xml:space="preserve">Understandable</w:t>
      </w:r>
    </w:p>
    <w:p>
      <w:pPr>
        <w:pStyle w:val="FirstParagraph"/>
      </w:pPr>
      <w:r>
        <w:rPr>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In line with one of the three core principles of HDI,</w:t>
      </w:r>
      <w:r>
        <w:t xml:space="preserve"> </w:t>
      </w:r>
      <w:r>
        <w:rPr>
          <w:i/>
        </w:rPr>
        <w:t xml:space="preserve">legibility</w:t>
      </w:r>
      <w:r>
        <w:t xml:space="preserve">, data should be understandable by those it concerns</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In both Case Studies (and my prior work), individuals shared a desire to not just be aware of, but to</w:t>
      </w:r>
      <w:r>
        <w:t xml:space="preserve"> </w:t>
      </w:r>
      <w:r>
        <w:rPr>
          <w:b/>
        </w:rPr>
        <w:t xml:space="preserve">understand</w:t>
      </w:r>
      <w:r>
        <w:t xml:space="preserve"> </w:t>
      </w:r>
      <w:r>
        <w:t xml:space="preserve">what data was held about them and how it was used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
        </w:rPr>
        <w:t xml:space="preserve">summaries</w:t>
      </w:r>
      <w:r>
        <w:t xml:space="preserve"> </w:t>
      </w:r>
      <w:r>
        <w:t xml:space="preserve">to help them digest and locate key information. In Case Study Two participants were often overwhelmed or</w:t>
      </w:r>
      <w:r>
        <w:t xml:space="preserve"> </w:t>
      </w:r>
      <w:r>
        <w:t xml:space="preserve">“</w:t>
      </w:r>
      <w:r>
        <w:rPr>
          <w:i/>
        </w:rPr>
        <w:t xml:space="preserve">drowning"</w:t>
      </w:r>
      <w:r>
        <w:t xml:space="preserve"> </w:t>
      </w:r>
      <w:r>
        <w:t xml:space="preserve">(P1) at the volume or technical complexity of the data returned from access requests,</w:t>
      </w:r>
      <w:r>
        <w:t xml:space="preserve"> </w:t>
      </w:r>
      <w:r>
        <w:rPr>
          <w:i/>
        </w:rPr>
        <w:t xml:space="preserve">"so much of it that’s impossible to know what it all means"</w:t>
      </w:r>
      <w:r>
        <w:t xml:space="preserve"> </w:t>
      </w:r>
      <w:r>
        <w:t xml:space="preserve">(P4) (5.4.3.1). These feelings were mirrored in Case Study One, by support workers who feared the liability of having to</w:t>
      </w:r>
      <w:r>
        <w:t xml:space="preserve"> </w:t>
      </w:r>
      <w:r>
        <w:rPr>
          <w:i/>
        </w:rPr>
        <w:t xml:space="preserve">"trawl through"</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files. In both cases, summaries of data would help comprehension. However, the task of creating a summary is not straightforward and places power in the hands of the summary-maker.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(Gitelman,</w:t>
      </w:r>
      <w:r>
        <w:t xml:space="preserve"> </w:t>
      </w:r>
      <w:hyperlink w:anchor="ref-gitelman2013">
        <w:r>
          <w:rPr>
            <w:rStyle w:val="Hyperlink"/>
          </w:rPr>
          <w:t xml:space="preserve">2013</w:t>
        </w:r>
      </w:hyperlink>
      <w:r>
        <w:t xml:space="preserve">)</w:t>
      </w:r>
      <w:r>
        <w:t xml:space="preserve">; in the Early Help context it was clear that opinions as well as facts are recorded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p6)</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contrary to supporting</w:t>
      </w:r>
      <w:r>
        <w:t xml:space="preserve"> </w:t>
      </w:r>
      <w:r>
        <w:rPr>
          <w:i/>
        </w:rPr>
        <w:t xml:space="preserve">sensemaking</w:t>
      </w:r>
      <w:r>
        <w:t xml:space="preserve">;</w:t>
      </w:r>
      <w:r>
        <w:t xml:space="preserve">”</w:t>
      </w:r>
      <w:r>
        <w:t xml:space="preserve">Information presentation should be as clear as possible so that people can interpret their data and extract meaningful information from it."</w:t>
      </w:r>
      <w:r>
        <w:t xml:space="preserve"> </w:t>
      </w:r>
      <w:r>
        <w:t xml:space="preserve">(Gurstein,</w:t>
      </w:r>
      <w:r>
        <w:t xml:space="preserve"> </w:t>
      </w:r>
      <w:hyperlink w:anchor="ref-gurstein2011">
        <w:r>
          <w:rPr>
            <w:rStyle w:val="Hyperlink"/>
          </w:rPr>
          <w:t xml:space="preserve">2011</w:t>
        </w:r>
      </w:hyperlink>
      <w:r>
        <w:t xml:space="preserve">)</w:t>
      </w:r>
    </w:p>
    <w:p>
      <w:pPr>
        <w:numPr>
          <w:ilvl w:val="0"/>
          <w:numId w:val="1003"/>
        </w:numPr>
        <w:pStyle w:val="Compact"/>
      </w:pPr>
      <w:r>
        <w:t xml:space="preserve">Information and visualisations should be arranged and optimised for understanding.</w:t>
      </w:r>
    </w:p>
    <w:p>
      <w:pPr>
        <w:numPr>
          <w:ilvl w:val="0"/>
          <w:numId w:val="1003"/>
        </w:numPr>
        <w:pStyle w:val="Compact"/>
      </w:pPr>
      <w:r>
        <w:t xml:space="preserve">Information becomes most meaningful when it is recognisable and relatable and can be mapped back to life experiences.</w:t>
      </w:r>
    </w:p>
    <w:p>
      <w:pPr>
        <w:numPr>
          <w:ilvl w:val="0"/>
          <w:numId w:val="1003"/>
        </w:numPr>
        <w:pStyle w:val="Compact"/>
      </w:pPr>
      <w:r>
        <w:t xml:space="preserve">In practice, ongoing human support is needed to facilitate the understanding of data.</w:t>
      </w:r>
    </w:p>
    <w:p>
      <w:pPr>
        <w:numPr>
          <w:ilvl w:val="0"/>
          <w:numId w:val="1004"/>
        </w:numPr>
        <w:pStyle w:val="Compact"/>
      </w:pPr>
      <w:r>
        <w:t xml:space="preserve">If data is not understandable, distrust can arise.</w:t>
      </w:r>
    </w:p>
    <w:bookmarkEnd w:id="21"/>
    <w:bookmarkStart w:id="22" w:name="useable"/>
    <w:p>
      <w:pPr>
        <w:pStyle w:val="Heading3"/>
      </w:pPr>
      <w:r>
        <w:rPr>
          <w:rStyle w:val="SectionNumber"/>
        </w:rPr>
        <w:t xml:space="preserve">1.1.3</w:t>
      </w:r>
      <w:r>
        <w:tab/>
      </w:r>
      <w:r>
        <w:t xml:space="preserve">Useable</w:t>
      </w:r>
    </w:p>
    <w:p>
      <w:pPr>
        <w:numPr>
          <w:ilvl w:val="0"/>
          <w:numId w:val="1005"/>
        </w:numPr>
        <w:pStyle w:val="Compact"/>
      </w:pPr>
      <w:r>
        <w:t xml:space="preserve">People need to be able to explore and interrogate data and ask questions of it.</w:t>
      </w:r>
    </w:p>
    <w:p>
      <w:pPr>
        <w:numPr>
          <w:ilvl w:val="0"/>
          <w:numId w:val="1005"/>
        </w:numPr>
        <w:pStyle w:val="Compact"/>
      </w:pPr>
      <w:r>
        <w:t xml:space="preserve">The data needs to be useable, which means correctly formatted and explained in a portable and standardised form.</w:t>
      </w:r>
    </w:p>
    <w:p>
      <w:pPr>
        <w:numPr>
          <w:ilvl w:val="0"/>
          <w:numId w:val="1005"/>
        </w:numPr>
        <w:pStyle w:val="Compact"/>
      </w:pPr>
      <w:r>
        <w:t xml:space="preserve">The data needs to be explorable from a temporal perspective, which implies the ability to interact with the data is necessary.</w:t>
      </w:r>
    </w:p>
    <w:p>
      <w:pPr>
        <w:numPr>
          <w:ilvl w:val="0"/>
          <w:numId w:val="1005"/>
        </w:numPr>
        <w:pStyle w:val="Compact"/>
      </w:pPr>
      <w:r>
        <w:t xml:space="preserve">If holders make data unusable, this is a barrier to individual agency and power.</w:t>
      </w:r>
    </w:p>
    <w:p>
      <w:pPr>
        <w:numPr>
          <w:ilvl w:val="0"/>
          <w:numId w:val="1005"/>
        </w:numPr>
        <w:pStyle w:val="Compact"/>
      </w:pPr>
      <w:r>
        <w:t xml:space="preserve">Unusable data leads to disengagement and impairs individual independent action in society.</w:t>
      </w:r>
    </w:p>
    <w:bookmarkEnd w:id="22"/>
    <w:bookmarkEnd w:id="23"/>
    <w:bookmarkStart w:id="27" w:name="Xaec3de104d33aa6f988b732dce243089d0bdddd"/>
    <w:p>
      <w:pPr>
        <w:pStyle w:val="Heading2"/>
      </w:pPr>
      <w:r>
        <w:rPr>
          <w:rStyle w:val="SectionNumber"/>
        </w:rPr>
        <w:t xml:space="preserve">1.2</w:t>
      </w:r>
      <w:r>
        <w:tab/>
      </w:r>
      <w:r>
        <w:t xml:space="preserve">Answering RQ2: What do people want in</w:t>
      </w:r>
      <w:r>
        <w:t xml:space="preserve"> </w:t>
      </w:r>
      <w:r>
        <w:rPr>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
        </w:rPr>
        <w:t xml:space="preserve">indirect</w:t>
      </w:r>
      <w:r>
        <w:t xml:space="preserve"> </w:t>
      </w:r>
      <w:r>
        <w:t xml:space="preserve">data relations:</w:t>
      </w:r>
    </w:p>
    <w:p>
      <w:pPr>
        <w:numPr>
          <w:ilvl w:val="0"/>
          <w:numId w:val="1006"/>
        </w:numPr>
        <w:pStyle w:val="Compact"/>
      </w:pPr>
      <w:r>
        <w:rPr>
          <w:i/>
        </w:rPr>
        <w:t xml:space="preserve">Transparency</w:t>
      </w:r>
      <w:r>
        <w:t xml:space="preserve">: People need to know what data is being collected or held, and critically how it is being used, for accountability and safety and in order to have trust in data holders;</w:t>
      </w:r>
    </w:p>
    <w:p>
      <w:pPr>
        <w:numPr>
          <w:ilvl w:val="0"/>
          <w:numId w:val="1006"/>
        </w:numPr>
        <w:pStyle w:val="Compact"/>
      </w:pPr>
      <w:r>
        <w:rPr>
          <w:i/>
        </w:rPr>
        <w:t xml:space="preserve">Oversight</w:t>
      </w:r>
      <w:r>
        <w:t xml:space="preserve">: People need the ability to affect what data is held and how it is used, including reacting to changing circumstances, deleting data or withdrawing consent for certain uses; and</w:t>
      </w:r>
    </w:p>
    <w:p>
      <w:pPr>
        <w:numPr>
          <w:ilvl w:val="0"/>
          <w:numId w:val="1006"/>
        </w:numPr>
        <w:pStyle w:val="Compact"/>
      </w:pPr>
      <w:r>
        <w:rPr>
          <w:i/>
        </w:rPr>
        <w:t xml:space="preserve">Involvement</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4" w:name="transparency"/>
    <w:p>
      <w:pPr>
        <w:pStyle w:val="Heading3"/>
      </w:pPr>
      <w:r>
        <w:rPr>
          <w:rStyle w:val="SectionNumber"/>
        </w:rPr>
        <w:t xml:space="preserve">1.2.1</w:t>
      </w:r>
      <w:r>
        <w:tab/>
      </w:r>
      <w:r>
        <w:t xml:space="preserve">Transparency</w:t>
      </w:r>
    </w:p>
    <w:p>
      <w:pPr>
        <w:numPr>
          <w:ilvl w:val="0"/>
          <w:numId w:val="1007"/>
        </w:numPr>
        <w:pStyle w:val="Compact"/>
      </w:pPr>
      <w:r>
        <w:t xml:space="preserve">People need a window into how their data is used; this means transparency not just of data but of processes.</w:t>
      </w:r>
    </w:p>
    <w:p>
      <w:pPr>
        <w:numPr>
          <w:ilvl w:val="0"/>
          <w:numId w:val="1008"/>
        </w:numPr>
        <w:pStyle w:val="Compact"/>
      </w:pPr>
      <w:r>
        <w:t xml:space="preserve">Process transparency is required to enable accountability.</w:t>
      </w:r>
    </w:p>
    <w:p>
      <w:pPr>
        <w:numPr>
          <w:ilvl w:val="0"/>
          <w:numId w:val="1008"/>
        </w:numPr>
        <w:pStyle w:val="Compact"/>
      </w:pPr>
      <w:r>
        <w:t xml:space="preserve">There is no accountability, processes are not transparent, and thus power remains imbalanced.</w:t>
      </w:r>
    </w:p>
    <w:p>
      <w:pPr>
        <w:numPr>
          <w:ilvl w:val="0"/>
          <w:numId w:val="1008"/>
        </w:numPr>
        <w:pStyle w:val="Compact"/>
      </w:pPr>
      <w:r>
        <w:t xml:space="preserve">Even after using available transparency rights, people face an incomplete picture from and of their data.</w:t>
      </w:r>
    </w:p>
    <w:p>
      <w:pPr>
        <w:numPr>
          <w:ilvl w:val="0"/>
          <w:numId w:val="1008"/>
        </w:numPr>
        <w:pStyle w:val="Compact"/>
      </w:pPr>
      <w:r>
        <w:t xml:space="preserve">Trust of data holders is needed, and gaps in transparency create distrust and a risk of broken expectations, harming relations.</w:t>
      </w:r>
    </w:p>
    <w:p>
      <w:pPr>
        <w:numPr>
          <w:ilvl w:val="0"/>
          <w:numId w:val="1008"/>
        </w:numPr>
        <w:pStyle w:val="Compact"/>
      </w:pPr>
      <w:r>
        <w:t xml:space="preserve">Trust can be gained through transparency, which offers an opportunity to improve relations.</w:t>
      </w:r>
    </w:p>
    <w:p>
      <w:pPr>
        <w:numPr>
          <w:ilvl w:val="0"/>
          <w:numId w:val="1008"/>
        </w:numPr>
        <w:pStyle w:val="Compact"/>
      </w:pPr>
      <w:r>
        <w:t xml:space="preserve">Transparency of data and processes enables individual action and facilitates the levelling of power balance.</w:t>
      </w:r>
    </w:p>
    <w:bookmarkEnd w:id="24"/>
    <w:bookmarkStart w:id="25" w:name="oversight"/>
    <w:p>
      <w:pPr>
        <w:pStyle w:val="Heading3"/>
      </w:pPr>
      <w:r>
        <w:rPr>
          <w:rStyle w:val="SectionNumber"/>
        </w:rPr>
        <w:t xml:space="preserve">1.2.2</w:t>
      </w:r>
      <w:r>
        <w:tab/>
      </w:r>
      <w:r>
        <w:t xml:space="preserve">Oversight</w:t>
      </w:r>
    </w:p>
    <w:p>
      <w:pPr>
        <w:numPr>
          <w:ilvl w:val="0"/>
          <w:numId w:val="1009"/>
        </w:numPr>
        <w:pStyle w:val="Compact"/>
      </w:pPr>
      <w:r>
        <w:t xml:space="preserve">Data visibility + Process transparency naturally leads to a desire for individual oversight - if you see something that is</w:t>
      </w:r>
      <w:r>
        <w:t xml:space="preserve"> </w:t>
      </w:r>
      <w:r>
        <w:t xml:space="preserve">‘</w:t>
      </w:r>
      <w:r>
        <w:t xml:space="preserve">not right</w:t>
      </w:r>
      <w:r>
        <w:t xml:space="preserve">’</w:t>
      </w:r>
      <w:r>
        <w:t xml:space="preserve">, you are motivated to want to fix it.</w:t>
      </w:r>
    </w:p>
    <w:p>
      <w:pPr>
        <w:numPr>
          <w:ilvl w:val="0"/>
          <w:numId w:val="1009"/>
        </w:numPr>
        <w:pStyle w:val="Compact"/>
      </w:pPr>
      <w:r>
        <w:t xml:space="preserve">We need to be able to oversee data use for fairness, accuracy and the reduction of risk.</w:t>
      </w:r>
    </w:p>
    <w:p>
      <w:pPr>
        <w:numPr>
          <w:ilvl w:val="0"/>
          <w:numId w:val="1009"/>
        </w:numPr>
        <w:pStyle w:val="Compact"/>
      </w:pPr>
      <w:r>
        <w:t xml:space="preserve">The ability for individuals to meaningfully oversee the use of their data requires governance, so that they can effect the changes they desire.</w:t>
      </w:r>
    </w:p>
    <w:p>
      <w:pPr>
        <w:numPr>
          <w:ilvl w:val="0"/>
          <w:numId w:val="1009"/>
        </w:numPr>
        <w:pStyle w:val="Compact"/>
      </w:pPr>
      <w:r>
        <w:t xml:space="preserve">Individual oversight of data use brings the individual back to the centre of their data ecosystem as as an active participant.</w:t>
      </w:r>
    </w:p>
    <w:p>
      <w:pPr>
        <w:numPr>
          <w:ilvl w:val="0"/>
          <w:numId w:val="1009"/>
        </w:numPr>
        <w:pStyle w:val="Compact"/>
      </w:pPr>
      <w:r>
        <w:t xml:space="preserve">Given the changing nature of human life, all data is dynamic, consent is never complete, so longitudinal participation and oversight is needed.</w:t>
      </w:r>
    </w:p>
    <w:p>
      <w:pPr>
        <w:numPr>
          <w:ilvl w:val="0"/>
          <w:numId w:val="1009"/>
        </w:numPr>
        <w:pStyle w:val="Compact"/>
      </w:pPr>
      <w:r>
        <w:t xml:space="preserve">There is very little oversight and governance available today.</w:t>
      </w:r>
    </w:p>
    <w:p>
      <w:pPr>
        <w:numPr>
          <w:ilvl w:val="0"/>
          <w:numId w:val="1009"/>
        </w:numPr>
        <w:pStyle w:val="Compact"/>
      </w:pPr>
      <w:r>
        <w:t xml:space="preserve">Ultimately oversight means having choices, which is essential in the data-centric world. Without individual oversight, there is no choice and people remain powerless.</w:t>
      </w:r>
    </w:p>
    <w:bookmarkEnd w:id="25"/>
    <w:bookmarkStart w:id="26" w:name="involvement"/>
    <w:p>
      <w:pPr>
        <w:pStyle w:val="Heading3"/>
      </w:pPr>
      <w:r>
        <w:rPr>
          <w:rStyle w:val="SectionNumber"/>
        </w:rPr>
        <w:t xml:space="preserve">1.2.3</w:t>
      </w:r>
      <w:r>
        <w:tab/>
      </w:r>
      <w:r>
        <w:t xml:space="preserve">Involvement</w:t>
      </w:r>
    </w:p>
    <w:p>
      <w:pPr>
        <w:numPr>
          <w:ilvl w:val="0"/>
          <w:numId w:val="1010"/>
        </w:numPr>
        <w:pStyle w:val="Compact"/>
      </w:pPr>
      <w:r>
        <w:t xml:space="preserve">There is a need to consider the human behind the data, people are not records and can never be fully reduced to data.</w:t>
      </w:r>
    </w:p>
    <w:p>
      <w:pPr>
        <w:numPr>
          <w:ilvl w:val="0"/>
          <w:numId w:val="1010"/>
        </w:numPr>
        <w:pStyle w:val="Compact"/>
      </w:pPr>
      <w:r>
        <w:t xml:space="preserve">Consent to access and use data needs to be dynamic and meaningful, which can only happen through ongoing involvement.</w:t>
      </w:r>
    </w:p>
    <w:p>
      <w:pPr>
        <w:numPr>
          <w:ilvl w:val="0"/>
          <w:numId w:val="1010"/>
        </w:numPr>
        <w:pStyle w:val="Compact"/>
      </w:pPr>
      <w:r>
        <w:t xml:space="preserve">A human channel for conversation is needed, to enable explanations, questions, and consultation.</w:t>
      </w:r>
    </w:p>
    <w:p>
      <w:pPr>
        <w:numPr>
          <w:ilvl w:val="0"/>
          <w:numId w:val="1010"/>
        </w:numPr>
        <w:pStyle w:val="Compact"/>
      </w:pPr>
      <w:r>
        <w:t xml:space="preserve">Individuals should be consulted in decision-making, which improves accuracy, consideration, and fairness.</w:t>
      </w:r>
    </w:p>
    <w:p>
      <w:pPr>
        <w:numPr>
          <w:ilvl w:val="0"/>
          <w:numId w:val="1010"/>
        </w:numPr>
        <w:pStyle w:val="Compact"/>
      </w:pPr>
      <w:r>
        <w:t xml:space="preserve">Effective collaboration can be achieved by bringing data subject and data holder together around the data, using it as evidence (of facts or opinions) and as a boundary object.</w:t>
      </w:r>
    </w:p>
    <w:p>
      <w:pPr>
        <w:pStyle w:val="FirstParagraph"/>
      </w:pPr>
      <w:r>
        <w:t xml:space="preserve">[reference the fact that individuals’ viewpoints of data may differ but be valid (6.1.2)]</w:t>
      </w:r>
    </w:p>
    <w:p>
      <w:pPr>
        <w:numPr>
          <w:ilvl w:val="0"/>
          <w:numId w:val="1011"/>
        </w:numPr>
        <w:pStyle w:val="Compact"/>
      </w:pPr>
      <w:r>
        <w:t xml:space="preserve">Being involved means being able to learn and act at any time, including on one’s own and away from official contact or interactions with service representatives.</w:t>
      </w:r>
    </w:p>
    <w:p>
      <w:pPr>
        <w:numPr>
          <w:ilvl w:val="0"/>
          <w:numId w:val="1011"/>
        </w:numPr>
        <w:pStyle w:val="Compact"/>
      </w:pPr>
      <w:r>
        <w:t xml:space="preserve">Data use enforces an uneasy trust; services need a human face or point of contact, in order to earn trust and improve relations.</w:t>
      </w:r>
    </w:p>
    <w:p>
      <w:pPr>
        <w:numPr>
          <w:ilvl w:val="0"/>
          <w:numId w:val="1011"/>
        </w:numPr>
        <w:pStyle w:val="Compact"/>
      </w:pPr>
      <w:r>
        <w:t xml:space="preserve">Without involvement, people can never take a full and equitable role in processes that affect their life.</w:t>
      </w:r>
    </w:p>
    <w:bookmarkEnd w:id="26"/>
    <w:bookmarkEnd w:id="27"/>
    <w:bookmarkStart w:id="28" w:name="achieving-individual-empowerment"/>
    <w:p>
      <w:pPr>
        <w:pStyle w:val="Heading2"/>
      </w:pPr>
      <w:r>
        <w:rPr>
          <w:rStyle w:val="SectionNumber"/>
        </w:rPr>
        <w:t xml:space="preserve">1.3</w:t>
      </w:r>
      <w:r>
        <w:tab/>
      </w:r>
      <w:r>
        <w:t xml:space="preserve">Achieving Individual Empowerment</w:t>
      </w:r>
    </w:p>
    <w:p>
      <w:pPr>
        <w:numPr>
          <w:ilvl w:val="0"/>
          <w:numId w:val="1012"/>
        </w:numPr>
      </w:pPr>
      <w:r>
        <w:t xml:space="preserve">Through these summarised insights, I have shown a multifacted set of needs and opportunities around data access and use. While all six of these data wants can produce improvements in their own right, the combination of all six is likely to produce more than the sum of its parts, an empowered form of digital citizen.</w:t>
      </w:r>
    </w:p>
    <w:p>
      <w:pPr>
        <w:numPr>
          <w:ilvl w:val="0"/>
          <w:numId w:val="1012"/>
        </w:numPr>
      </w:pPr>
      <w:r>
        <w:t xml:space="preserve">Giving people a role as co-stewards of their own data and involved in decision-making would be progressive and transformative, and this could be applied in different domains across society.</w:t>
      </w:r>
    </w:p>
    <w:p>
      <w:pPr>
        <w:numPr>
          <w:ilvl w:val="0"/>
          <w:numId w:val="1012"/>
        </w:numPr>
      </w:pPr>
      <w:r>
        <w:t xml:space="preserve">We can envision from this a new fully human-centred (or at least power-balanced) future - cooperative data stewardship and empowered, involved citizens.</w:t>
      </w:r>
    </w:p>
    <w:bookmarkEnd w:id="28"/>
    <w:bookmarkEnd w:id="29"/>
    <w:bookmarkStart w:id="69" w:name="bibliography"/>
    <w:p>
      <w:pPr>
        <w:pStyle w:val="Heading1"/>
      </w:pPr>
      <w:r>
        <w:t xml:space="preserve">Bibliography</w:t>
      </w:r>
    </w:p>
    <w:bookmarkStart w:id="68" w:name="refs"/>
    <w:bookmarkStart w:id="31" w:name="ref-gdpr2018art13"/>
    <w:p>
      <w:pPr>
        <w:pStyle w:val="Bibliography"/>
      </w:pPr>
      <w:r>
        <w:t xml:space="preserve">‘Article 13: Information to be provided where personal data are collected from the data subject’ (2020). doi:</w:t>
      </w:r>
      <w:r>
        <w:t xml:space="preserve"> </w:t>
      </w:r>
      <w:hyperlink r:id="rId30">
        <w:r>
          <w:rPr>
            <w:rStyle w:val="Hyperlink"/>
          </w:rPr>
          <w:t xml:space="preserve">10.1093/oso/9780198826491.003.0044</w:t>
        </w:r>
      </w:hyperlink>
      <w:r>
        <w:t xml:space="preserve">.</w:t>
      </w:r>
    </w:p>
    <w:bookmarkEnd w:id="31"/>
    <w:bookmarkStart w:id="33" w:name="ref-binns2022"/>
    <w:p>
      <w:pPr>
        <w:pStyle w:val="Bibliography"/>
      </w:pPr>
      <w:r>
        <w:t xml:space="preserve">Binns, R. (2022) ‘Tracking on the Web, Mobile and the Internet-of-Things’. Available at:</w:t>
      </w:r>
      <w:r>
        <w:t xml:space="preserve"> </w:t>
      </w:r>
      <w:hyperlink r:id="rId32">
        <w:r>
          <w:rPr>
            <w:rStyle w:val="Hyperlink"/>
          </w:rPr>
          <w:t xml:space="preserve">http://arxiv.org/abs/2201.10831</w:t>
        </w:r>
      </w:hyperlink>
      <w:r>
        <w:t xml:space="preserve">.</w:t>
      </w:r>
    </w:p>
    <w:bookmarkEnd w:id="33"/>
    <w:bookmarkStart w:id="35"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34">
        <w:r>
          <w:rPr>
            <w:rStyle w:val="Hyperlink"/>
          </w:rPr>
          <w:t xml:space="preserve">10.1145/3173574.3173710</w:t>
        </w:r>
      </w:hyperlink>
      <w:r>
        <w:t xml:space="preserve">.</w:t>
      </w:r>
    </w:p>
    <w:bookmarkEnd w:id="35"/>
    <w:bookmarkStart w:id="37" w:name="ref-chang2018"/>
    <w:p>
      <w:pPr>
        <w:pStyle w:val="Bibliography"/>
      </w:pPr>
      <w:r>
        <w:t xml:space="preserve">Chang, A. (2018) ‘The Facebook and Cambridge Analytica scandal, explained with a simple diagram - Vox’. Available at:</w:t>
      </w:r>
      <w:r>
        <w:t xml:space="preserve"> </w:t>
      </w:r>
      <w:hyperlink r:id="rId36">
        <w:r>
          <w:rPr>
            <w:rStyle w:val="Hyperlink"/>
          </w:rPr>
          <w:t xml:space="preserve">https://www.vox.com/policy-and-politics/2018/3/23/17151916/facebook-cambridge-analytica-trump-diagram</w:t>
        </w:r>
      </w:hyperlink>
      <w:r>
        <w:t xml:space="preserve">.</w:t>
      </w:r>
    </w:p>
    <w:bookmarkEnd w:id="37"/>
    <w:bookmarkStart w:id="39"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38">
        <w:r>
          <w:rPr>
            <w:rStyle w:val="Hyperlink"/>
          </w:rPr>
          <w:t xml:space="preserve">10.1332/030557312X645838</w:t>
        </w:r>
      </w:hyperlink>
      <w:r>
        <w:t xml:space="preserve">.</w:t>
      </w:r>
    </w:p>
    <w:bookmarkEnd w:id="39"/>
    <w:bookmarkStart w:id="41"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40">
        <w:r>
          <w:rPr>
            <w:rStyle w:val="Hyperlink"/>
          </w:rPr>
          <w:t xml:space="preserve">10.2139/ssrn.2874312</w:t>
        </w:r>
      </w:hyperlink>
      <w:r>
        <w:t xml:space="preserve">.</w:t>
      </w:r>
    </w:p>
    <w:bookmarkEnd w:id="41"/>
    <w:bookmarkStart w:id="43" w:name="ref-avast2022databrokers"/>
    <w:p>
      <w:pPr>
        <w:pStyle w:val="Bibliography"/>
      </w:pPr>
      <w:r>
        <w:t xml:space="preserve">‘Data Brokers: Everything You Need to Know’ (2022). Available at:</w:t>
      </w:r>
      <w:r>
        <w:t xml:space="preserve"> </w:t>
      </w:r>
      <w:hyperlink r:id="rId42">
        <w:r>
          <w:rPr>
            <w:rStyle w:val="Hyperlink"/>
          </w:rPr>
          <w:t xml:space="preserve">https://www.avast.com/c-data-brokers</w:t>
        </w:r>
      </w:hyperlink>
      <w:r>
        <w:t xml:space="preserve"> </w:t>
      </w:r>
      <w:r>
        <w:t xml:space="preserve">(Accessed: 11 February 2022).</w:t>
      </w:r>
    </w:p>
    <w:bookmarkEnd w:id="43"/>
    <w:bookmarkStart w:id="45"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44">
        <w:r>
          <w:rPr>
            <w:rStyle w:val="Hyperlink"/>
          </w:rPr>
          <w:t xml:space="preserve">https://mitpress.mit.edu/books/raw-data-oxymoron</w:t>
        </w:r>
      </w:hyperlink>
      <w:r>
        <w:t xml:space="preserve">.</w:t>
      </w:r>
    </w:p>
    <w:bookmarkEnd w:id="45"/>
    <w:bookmarkStart w:id="47"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46">
        <w:r>
          <w:rPr>
            <w:rStyle w:val="Hyperlink"/>
          </w:rPr>
          <w:t xml:space="preserve">10.5210/fm.v16i2.3316</w:t>
        </w:r>
      </w:hyperlink>
      <w:r>
        <w:t xml:space="preserve">.</w:t>
      </w:r>
    </w:p>
    <w:bookmarkEnd w:id="47"/>
    <w:bookmarkStart w:id="49" w:name="ref-kroger2021"/>
    <w:p>
      <w:pPr>
        <w:pStyle w:val="Bibliography"/>
      </w:pPr>
      <w:r>
        <w:t xml:space="preserve">Kröger, J. L., Miceli, M. and Müller, F. (2021) ‘How Data Can Be Used Against People: A Classification of Personal Data Misuses’,</w:t>
      </w:r>
      <w:r>
        <w:t xml:space="preserve"> </w:t>
      </w:r>
      <w:r>
        <w:rPr>
          <w:i/>
        </w:rPr>
        <w:t xml:space="preserve">SSRN Electronic Journal</w:t>
      </w:r>
      <w:r>
        <w:t xml:space="preserve">, (December). doi:</w:t>
      </w:r>
      <w:r>
        <w:t xml:space="preserve"> </w:t>
      </w:r>
      <w:hyperlink r:id="rId48">
        <w:r>
          <w:rPr>
            <w:rStyle w:val="Hyperlink"/>
          </w:rPr>
          <w:t xml:space="preserve">10.2139/ssrn.3887097</w:t>
        </w:r>
      </w:hyperlink>
      <w:r>
        <w:t xml:space="preserve">.</w:t>
      </w:r>
    </w:p>
    <w:bookmarkEnd w:id="49"/>
    <w:bookmarkStart w:id="51"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50">
        <w:r>
          <w:rPr>
            <w:rStyle w:val="Hyperlink"/>
          </w:rPr>
          <w:t xml:space="preserve">10.14763/2018.2.791</w:t>
        </w:r>
      </w:hyperlink>
      <w:r>
        <w:t xml:space="preserve">.</w:t>
      </w:r>
    </w:p>
    <w:bookmarkEnd w:id="51"/>
    <w:bookmarkStart w:id="53"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52">
        <w:r>
          <w:rPr>
            <w:rStyle w:val="Hyperlink"/>
          </w:rPr>
          <w:t xml:space="preserve">10.1145/2493432.2493446</w:t>
        </w:r>
      </w:hyperlink>
      <w:r>
        <w:t xml:space="preserve">.</w:t>
      </w:r>
    </w:p>
    <w:bookmarkEnd w:id="53"/>
    <w:bookmarkStart w:id="54" w:name="ref-mcnamee2019"/>
    <w:p>
      <w:pPr>
        <w:pStyle w:val="Bibliography"/>
      </w:pPr>
      <w:r>
        <w:t xml:space="preserve">McNamee, R. (2019)</w:t>
      </w:r>
      <w:r>
        <w:t xml:space="preserve"> </w:t>
      </w:r>
      <w:r>
        <w:rPr>
          <w:i/>
        </w:rPr>
        <w:t xml:space="preserve">Zucked: Waking up to the Facebook Catasrophe</w:t>
      </w:r>
      <w:r>
        <w:t xml:space="preserve">, p. 336.</w:t>
      </w:r>
    </w:p>
    <w:bookmarkEnd w:id="54"/>
    <w:bookmarkStart w:id="56"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55">
        <w:r>
          <w:rPr>
            <w:rStyle w:val="Hyperlink"/>
          </w:rPr>
          <w:t xml:space="preserve">10.5210/fm.v17i5.4013</w:t>
        </w:r>
      </w:hyperlink>
      <w:r>
        <w:t xml:space="preserve">.</w:t>
      </w:r>
    </w:p>
    <w:bookmarkEnd w:id="56"/>
    <w:bookmarkStart w:id="58"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57">
        <w:r>
          <w:rPr>
            <w:rStyle w:val="Hyperlink"/>
          </w:rPr>
          <w:t xml:space="preserve">10.2139/ssrn.2508051</w:t>
        </w:r>
      </w:hyperlink>
      <w:r>
        <w:t xml:space="preserve">.</w:t>
      </w:r>
    </w:p>
    <w:bookmarkEnd w:id="58"/>
    <w:bookmarkStart w:id="60"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59">
        <w:r>
          <w:rPr>
            <w:rStyle w:val="Hyperlink"/>
          </w:rPr>
          <w:t xml:space="preserve">10.1089/big.2013.0029</w:t>
        </w:r>
      </w:hyperlink>
      <w:r>
        <w:t xml:space="preserve">.</w:t>
      </w:r>
    </w:p>
    <w:bookmarkEnd w:id="60"/>
    <w:bookmarkStart w:id="61" w:name="ref-strohmayer2021"/>
    <w:p>
      <w:pPr>
        <w:pStyle w:val="Bibliography"/>
      </w:pPr>
      <w:r>
        <w:t xml:space="preserve">Strohmayer, A.</w:t>
      </w:r>
      <w:r>
        <w:t xml:space="preserve"> </w:t>
      </w:r>
      <w:r>
        <w:rPr>
          <w:i/>
        </w:rPr>
        <w:t xml:space="preserve">et al.</w:t>
      </w:r>
      <w:r>
        <w:t xml:space="preserve"> </w:t>
      </w:r>
      <w:r>
        <w:t xml:space="preserve">(2021)</w:t>
      </w:r>
      <w:r>
        <w:t xml:space="preserve"> </w:t>
      </w:r>
      <w:r>
        <w:rPr>
          <w:i/>
        </w:rPr>
        <w:t xml:space="preserve">Trust and Abusability Toolkit: Centering Safety in Human-Data Interactions</w:t>
      </w:r>
      <w:r>
        <w:t xml:space="preserve">.</w:t>
      </w:r>
    </w:p>
    <w:bookmarkEnd w:id="61"/>
    <w:bookmarkStart w:id="63" w:name="ref-taylor2015"/>
    <w:p>
      <w:pPr>
        <w:pStyle w:val="Bibliography"/>
      </w:pPr>
      <w:r>
        <w:t xml:space="preserve">Taylor, A. S.</w:t>
      </w:r>
      <w:r>
        <w:t xml:space="preserve"> </w:t>
      </w:r>
      <w:r>
        <w:rPr>
          <w:i/>
        </w:rPr>
        <w:t xml:space="preserve">et al.</w:t>
      </w:r>
      <w:r>
        <w:t xml:space="preserve"> </w:t>
      </w:r>
      <w:r>
        <w:t xml:space="preserve">(2015) ‘Data-in-place: Thinking through the relations between data and community’, in</w:t>
      </w:r>
      <w:r>
        <w:t xml:space="preserve"> </w:t>
      </w:r>
      <w:r>
        <w:rPr>
          <w:i/>
        </w:rPr>
        <w:t xml:space="preserve">Conference on human factors in computing systems - proceedings</w:t>
      </w:r>
      <w:r>
        <w:t xml:space="preserve">, pp. 2863–2872. doi:</w:t>
      </w:r>
      <w:r>
        <w:t xml:space="preserve"> </w:t>
      </w:r>
      <w:hyperlink r:id="rId62">
        <w:r>
          <w:rPr>
            <w:rStyle w:val="Hyperlink"/>
          </w:rPr>
          <w:t xml:space="preserve">10.1145/2702123.2702558</w:t>
        </w:r>
      </w:hyperlink>
      <w:r>
        <w:t xml:space="preserve">.</w:t>
      </w:r>
    </w:p>
    <w:bookmarkEnd w:id="63"/>
    <w:bookmarkStart w:id="65"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64">
        <w:r>
          <w:rPr>
            <w:rStyle w:val="Hyperlink"/>
          </w:rPr>
          <w:t xml:space="preserve">https://books.google.co.uk/books?id=W7ZEDgAAQBAJ</w:t>
        </w:r>
      </w:hyperlink>
      <w:r>
        <w:t xml:space="preserve">.</w:t>
      </w:r>
    </w:p>
    <w:bookmarkEnd w:id="65"/>
    <w:bookmarkStart w:id="67" w:name="ref-zuckerman2021"/>
    <w:p>
      <w:pPr>
        <w:pStyle w:val="Bibliography"/>
      </w:pPr>
      <w:r>
        <w:t xml:space="preserve">Zuckerman, E. (2021)</w:t>
      </w:r>
      <w:r>
        <w:t xml:space="preserve"> </w:t>
      </w:r>
      <w:r>
        <w:rPr>
          <w:i/>
        </w:rPr>
        <w:t xml:space="preserve">Mistrust: Why Losing Faith In Institutions Provides The Tools To Transform Them</w:t>
      </w:r>
      <w:r>
        <w:t xml:space="preserve">. New York, NY, USA: W. W. Norton &amp; Company, pp. 1–3. doi:</w:t>
      </w:r>
      <w:r>
        <w:t xml:space="preserve"> </w:t>
      </w:r>
      <w:hyperlink r:id="rId66">
        <w:r>
          <w:rPr>
            <w:rStyle w:val="Hyperlink"/>
          </w:rPr>
          <w:t xml:space="preserve">10.1017/ipo.2021.30</w:t>
        </w:r>
      </w:hyperlink>
      <w:r>
        <w:t xml:space="preserve">.</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6">
    <w:nsid w:val="b3cbbde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1">
    <w:nsid w:val="4fbe01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91a27d8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arxiv.org/abs/2201.10831" TargetMode="External" /><Relationship Type="http://schemas.openxmlformats.org/officeDocument/2006/relationships/hyperlink" Id="rId64" Target="https://books.google.co.uk/books?id=W7ZEDgAAQBAJ" TargetMode="External" /><Relationship Type="http://schemas.openxmlformats.org/officeDocument/2006/relationships/hyperlink" Id="rId66" Target="https://doi.org/10.1017/ipo.2021.30" TargetMode="External" /><Relationship Type="http://schemas.openxmlformats.org/officeDocument/2006/relationships/hyperlink" Id="rId59" Target="https://doi.org/10.1089/big.2013.0029" TargetMode="External" /><Relationship Type="http://schemas.openxmlformats.org/officeDocument/2006/relationships/hyperlink" Id="rId30" Target="https://doi.org/10.1093/oso/9780198826491.003.0044" TargetMode="External" /><Relationship Type="http://schemas.openxmlformats.org/officeDocument/2006/relationships/hyperlink" Id="rId52" Target="https://doi.org/10.1145/2493432.2493446" TargetMode="External" /><Relationship Type="http://schemas.openxmlformats.org/officeDocument/2006/relationships/hyperlink" Id="rId62" Target="https://doi.org/10.1145/2702123.2702558" TargetMode="External" /><Relationship Type="http://schemas.openxmlformats.org/officeDocument/2006/relationships/hyperlink" Id="rId34" Target="https://doi.org/10.1145/3173574.3173710" TargetMode="External" /><Relationship Type="http://schemas.openxmlformats.org/officeDocument/2006/relationships/hyperlink" Id="rId38" Target="https://doi.org/10.1332/030557312X645838" TargetMode="External" /><Relationship Type="http://schemas.openxmlformats.org/officeDocument/2006/relationships/hyperlink" Id="rId50" Target="https://doi.org/10.14763/2018.2.791" TargetMode="External" /><Relationship Type="http://schemas.openxmlformats.org/officeDocument/2006/relationships/hyperlink" Id="rId57" Target="https://doi.org/10.2139/ssrn.2508051" TargetMode="External" /><Relationship Type="http://schemas.openxmlformats.org/officeDocument/2006/relationships/hyperlink" Id="rId40" Target="https://doi.org/10.2139/ssrn.2874312" TargetMode="External" /><Relationship Type="http://schemas.openxmlformats.org/officeDocument/2006/relationships/hyperlink" Id="rId48" Target="https://doi.org/10.2139/ssrn.3887097" TargetMode="External" /><Relationship Type="http://schemas.openxmlformats.org/officeDocument/2006/relationships/hyperlink" Id="rId46" Target="https://doi.org/10.5210/fm.v16i2.3316" TargetMode="External" /><Relationship Type="http://schemas.openxmlformats.org/officeDocument/2006/relationships/hyperlink" Id="rId55" Target="https://doi.org/10.5210/fm.v17i5.4013" TargetMode="External" /><Relationship Type="http://schemas.openxmlformats.org/officeDocument/2006/relationships/hyperlink" Id="rId44" Target="https://mitpress.mit.edu/books/raw-data-oxymoron" TargetMode="External" /><Relationship Type="http://schemas.openxmlformats.org/officeDocument/2006/relationships/hyperlink" Id="rId42" Target="https://www.avast.com/c-data-brokers" TargetMode="External" /><Relationship Type="http://schemas.openxmlformats.org/officeDocument/2006/relationships/hyperlink" Id="rId36" Target="https://www.vox.com/policy-and-politics/2018/3/23/17151916/facebook-cambridge-analytica-trump-diagram" TargetMode="External" /></Relationships>
</file>

<file path=word/_rels/footnotes.xml.rels><?xml version="1.0" encoding="UTF-8"?>
<Relationships xmlns="http://schemas.openxmlformats.org/package/2006/relationships"><Relationship Type="http://schemas.openxmlformats.org/officeDocument/2006/relationships/hyperlink" Id="rId32" Target="http://arxiv.org/abs/2201.10831" TargetMode="External" /><Relationship Type="http://schemas.openxmlformats.org/officeDocument/2006/relationships/hyperlink" Id="rId64" Target="https://books.google.co.uk/books?id=W7ZEDgAAQBAJ" TargetMode="External" /><Relationship Type="http://schemas.openxmlformats.org/officeDocument/2006/relationships/hyperlink" Id="rId66" Target="https://doi.org/10.1017/ipo.2021.30" TargetMode="External" /><Relationship Type="http://schemas.openxmlformats.org/officeDocument/2006/relationships/hyperlink" Id="rId59" Target="https://doi.org/10.1089/big.2013.0029" TargetMode="External" /><Relationship Type="http://schemas.openxmlformats.org/officeDocument/2006/relationships/hyperlink" Id="rId30" Target="https://doi.org/10.1093/oso/9780198826491.003.0044" TargetMode="External" /><Relationship Type="http://schemas.openxmlformats.org/officeDocument/2006/relationships/hyperlink" Id="rId52" Target="https://doi.org/10.1145/2493432.2493446" TargetMode="External" /><Relationship Type="http://schemas.openxmlformats.org/officeDocument/2006/relationships/hyperlink" Id="rId62" Target="https://doi.org/10.1145/2702123.2702558" TargetMode="External" /><Relationship Type="http://schemas.openxmlformats.org/officeDocument/2006/relationships/hyperlink" Id="rId34" Target="https://doi.org/10.1145/3173574.3173710" TargetMode="External" /><Relationship Type="http://schemas.openxmlformats.org/officeDocument/2006/relationships/hyperlink" Id="rId38" Target="https://doi.org/10.1332/030557312X645838" TargetMode="External" /><Relationship Type="http://schemas.openxmlformats.org/officeDocument/2006/relationships/hyperlink" Id="rId50" Target="https://doi.org/10.14763/2018.2.791" TargetMode="External" /><Relationship Type="http://schemas.openxmlformats.org/officeDocument/2006/relationships/hyperlink" Id="rId57" Target="https://doi.org/10.2139/ssrn.2508051" TargetMode="External" /><Relationship Type="http://schemas.openxmlformats.org/officeDocument/2006/relationships/hyperlink" Id="rId40" Target="https://doi.org/10.2139/ssrn.2874312" TargetMode="External" /><Relationship Type="http://schemas.openxmlformats.org/officeDocument/2006/relationships/hyperlink" Id="rId48" Target="https://doi.org/10.2139/ssrn.3887097" TargetMode="External" /><Relationship Type="http://schemas.openxmlformats.org/officeDocument/2006/relationships/hyperlink" Id="rId46" Target="https://doi.org/10.5210/fm.v16i2.3316" TargetMode="External" /><Relationship Type="http://schemas.openxmlformats.org/officeDocument/2006/relationships/hyperlink" Id="rId55" Target="https://doi.org/10.5210/fm.v17i5.4013" TargetMode="External" /><Relationship Type="http://schemas.openxmlformats.org/officeDocument/2006/relationships/hyperlink" Id="rId44" Target="https://mitpress.mit.edu/books/raw-data-oxymoron" TargetMode="External" /><Relationship Type="http://schemas.openxmlformats.org/officeDocument/2006/relationships/hyperlink" Id="rId42" Target="https://www.avast.com/c-data-brokers" TargetMode="External" /><Relationship Type="http://schemas.openxmlformats.org/officeDocument/2006/relationships/hyperlink" Id="rId36" Target="https://www.vox.com/policy-and-politics/2018/3/23/17151916/facebook-cambridge-analytica-trump-dia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2022-02-19T10:52:54Z</dcterms:created>
  <dcterms:modified xsi:type="dcterms:W3CDTF">2022-02-19T10:52:54Z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