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 questions RQ1 and RQ2.</w:t>
      </w:r>
      <w:r>
        <w:t xml:space="preserve"> </w:t>
      </w:r>
      <w:r>
        <w:t xml:space="preserve">To recap on the research objectives expressed in</w:t>
      </w:r>
      <w:r>
        <w:t xml:space="preserve"> </w:t>
      </w:r>
      <w:hyperlink w:anchor="X9c68c54449dd45e3ffc6d16d2e2e55125c2895d">
        <w:r>
          <w:rPr>
            <w:rStyle w:val="Hyperlink"/>
          </w:rPr>
          <w:t xml:space="preserve">3.3</w:t>
        </w:r>
      </w:hyperlink>
      <w:r>
        <w:t xml:space="preserve">,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bCs/>
          <w:b/>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bCs/>
          <w:b/>
        </w:rPr>
        <w:t xml:space="preserve">lack of something that would be beneficial</w:t>
      </w:r>
      <w:r>
        <w:t xml:space="preserve"> </w:t>
      </w:r>
      <w:r>
        <w:t xml:space="preserve">(which may or may not be accompanied by conscious desire). Framing the accumulated understandings from the Case Studies in this way, both exposes both</w:t>
      </w:r>
      <w:r>
        <w:t xml:space="preserve"> </w:t>
      </w:r>
      <w:r>
        <w:rPr>
          <w:bCs/>
          <w:b/>
        </w:rPr>
        <w:t xml:space="preserve">the problem</w:t>
      </w:r>
      <w:r>
        <w:t xml:space="preserve"> </w:t>
      </w:r>
      <w:r>
        <w:t xml:space="preserve">(the things that individuals do not have or cannot do) and also provides</w:t>
      </w:r>
      <w:r>
        <w:t xml:space="preserve"> </w:t>
      </w:r>
      <w:r>
        <w:rPr>
          <w:bCs/>
          <w:b/>
        </w:rPr>
        <w:t xml:space="preserve">clear goals</w:t>
      </w:r>
      <w:r>
        <w:t xml:space="preserve"> </w:t>
      </w:r>
      <w:r>
        <w:t xml:space="preserve">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provides a working conceptualisation of</w:t>
      </w:r>
      <w:r>
        <w:t xml:space="preserve"> </w:t>
      </w:r>
      <w:r>
        <w:rPr>
          <w:iCs/>
          <w:i/>
        </w:rPr>
        <w:t xml:space="preserve">“</w:t>
      </w:r>
      <w:r>
        <w:rPr>
          <w:iCs/>
          <w:i/>
        </w:rPr>
        <w:t xml:space="preserve">Human Data Relations</w:t>
      </w:r>
      <w:r>
        <w:rPr>
          <w:iCs/>
          <w:i/>
        </w:rPr>
        <w:t xml:space="preserve">”</w:t>
      </w:r>
      <w:r>
        <w:rPr>
          <w:iCs/>
          <w:i/>
        </w:rPr>
        <w:t xml:space="preserve"> </w:t>
      </w:r>
      <w:r>
        <w:rPr>
          <w:iCs/>
          <w:i/>
        </w:rPr>
        <w:t xml:space="preserve">(HDR)</w:t>
      </w:r>
      <w:r>
        <w:t xml:space="preserve"> </w:t>
      </w:r>
      <w:r>
        <w:t xml:space="preserve">as alluded to in the title of this thesis. Furthermore these wants allow us to understand what</w:t>
      </w:r>
      <w:r>
        <w:t xml:space="preserve"> </w:t>
      </w:r>
      <w:r>
        <w:t xml:space="preserve">‘</w:t>
      </w:r>
      <w:r>
        <w:t xml:space="preserve">better</w:t>
      </w:r>
      <w:r>
        <w:t xml:space="preserve">’</w:t>
      </w:r>
      <w:r>
        <w:t xml:space="preserve"> </w:t>
      </w:r>
      <w:r>
        <w:t xml:space="preserve">means, serving as a yardstick against which progress can be measured. The concept of HDR will be developed further in</w:t>
      </w:r>
      <w:r>
        <w:t xml:space="preserve"> </w:t>
      </w:r>
      <w:hyperlink w:anchor="Xd90f00e19f5543904caf9ab2abd5b800e0613c0">
        <w:r>
          <w:rPr>
            <w:rStyle w:val="Hyperlink"/>
          </w:rPr>
          <w:t xml:space="preserve">7.2</w:t>
        </w:r>
      </w:hyperlink>
      <w:r>
        <w:t xml:space="preserve">, but in the context of this chapter can be understood in terms of the two kinds of relationship people have with their data:</w:t>
      </w:r>
    </w:p>
    <w:p>
      <w:pPr>
        <w:numPr>
          <w:ilvl w:val="0"/>
          <w:numId w:val="1002"/>
        </w:numPr>
        <w:pStyle w:val="Compact"/>
      </w:pPr>
      <w:r>
        <w:rPr>
          <w:iCs/>
          <w:i/>
          <w:bCs/>
          <w:b/>
        </w:rPr>
        <w:t xml:space="preserve">direct</w:t>
      </w:r>
      <w:r>
        <w:rPr>
          <w:bCs/>
          <w:b/>
        </w:rPr>
        <w:t xml:space="preserve"> </w:t>
      </w:r>
      <w:r>
        <w:rPr>
          <w:bCs/>
          <w:b/>
        </w:rPr>
        <w:t xml:space="preserve">interaction</w:t>
      </w:r>
      <w:r>
        <w:t xml:space="preserve"> </w:t>
      </w:r>
      <w:r>
        <w:t xml:space="preserve">(such as through an interface in an app or website) and</w:t>
      </w:r>
    </w:p>
    <w:p>
      <w:pPr>
        <w:numPr>
          <w:ilvl w:val="0"/>
          <w:numId w:val="1002"/>
        </w:numPr>
        <w:pStyle w:val="Compact"/>
      </w:pPr>
      <w:r>
        <w:rPr>
          <w:iCs/>
          <w:i/>
          <w:bCs/>
          <w:b/>
        </w:rPr>
        <w:t xml:space="preserve">indirect</w:t>
      </w:r>
      <w:r>
        <w:rPr>
          <w:bCs/>
          <w:b/>
        </w:rPr>
        <w:t xml:space="preserve"> </w:t>
      </w:r>
      <w:r>
        <w:rPr>
          <w:bCs/>
          <w:b/>
        </w:rPr>
        <w:t xml:space="preserve">interaction</w:t>
      </w:r>
      <w:r>
        <w:t xml:space="preserve"> </w:t>
      </w:r>
      <w:r>
        <w:t xml:space="preserve">(through interacting with services, providers or individual representatives who themselves have access to personal data about the individual).</w:t>
      </w:r>
    </w:p>
    <w:p>
      <w:pPr>
        <w:pStyle w:val="FirstParagraph"/>
      </w:pP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map cleanly onto these two types of Human Data Relations: to answer RQ1 we must identify what people want from direct data relations - which is the focus of</w:t>
      </w:r>
      <w:r>
        <w:t xml:space="preserve"> </w:t>
      </w:r>
      <w:hyperlink w:anchor="X8258c05de79d267cff0777b650c09dd0e24396f">
        <w:r>
          <w:rPr>
            <w:rStyle w:val="Hyperlink"/>
          </w:rPr>
          <w:t xml:space="preserve">6.1</w:t>
        </w:r>
      </w:hyperlink>
      <w:r>
        <w:t xml:space="preserve"> </w:t>
      </w:r>
      <w:r>
        <w:t xml:space="preserve">- while to answer RQ2 we must understand what people want from indirect data relations - which is the focus of</w:t>
      </w:r>
      <w:r>
        <w:t xml:space="preserve"> </w:t>
      </w:r>
      <w:hyperlink w:anchor="X86a6a7bbe6a4ae5c1502558f013f6ed6b9ae6f2">
        <w:r>
          <w:rPr>
            <w:rStyle w:val="Hyperlink"/>
          </w:rPr>
          <w:t xml:space="preserve">6.2</w:t>
        </w:r>
      </w:hyperlink>
      <w:r>
        <w:t xml:space="preserve">. Once those two questions are answered, these new understandings can then be contextualised [</w:t>
      </w:r>
      <w:hyperlink w:anchor="X3c10c50990743199cc887aaacd3f88a0a0a026e">
        <w:r>
          <w:rPr>
            <w:rStyle w:val="Hyperlink"/>
          </w:rPr>
          <w:t xml:space="preserve">6.3</w:t>
        </w:r>
      </w:hyperlink>
      <w:r>
        <w:t xml:space="preserve">] as an answer to the overall research question and a conclusion to the academic inquiry part of this thesis.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3"/>
        </w:numPr>
        <w:pStyle w:val="Compact"/>
      </w:pPr>
      <w:r>
        <w:rPr>
          <w:iCs/>
          <w:i/>
        </w:rPr>
        <w:t xml:space="preserve">Visible</w:t>
      </w:r>
      <w:r>
        <w:t xml:space="preserve">: People need to have knowledge of data about them and an ability to see it and effectively access it;</w:t>
      </w:r>
    </w:p>
    <w:p>
      <w:pPr>
        <w:numPr>
          <w:ilvl w:val="0"/>
          <w:numId w:val="1003"/>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3"/>
        </w:numPr>
        <w:pStyle w:val="Compact"/>
      </w:pPr>
      <w:r>
        <w:rPr>
          <w:iCs/>
          <w:i/>
        </w:rPr>
        <w:t xml:space="preserve">Useable</w:t>
      </w:r>
      <w:r>
        <w:t xml:space="preserve">: People need to be able to act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want-d1"/>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(3.4.1.1, 4.2.2),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 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negligible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w:t>
      </w:r>
      <w:hyperlink w:anchor="ref-cornford2013">
        <w:r>
          <w:rPr>
            <w:rStyle w:val="Hyperlink"/>
          </w:rPr>
          <w:t xml:space="preserve">Cornford, Baines and Wilson, 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0"/>
    <w:bookmarkStart w:id="21" w:name="want-d2"/>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(5.4.3.1).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want-d3"/>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Cs/>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Cs/>
          <w:i/>
        </w:rPr>
        <w:t xml:space="preserve">“</w:t>
      </w:r>
      <w:r>
        <w:rPr>
          <w:iCs/>
          <w:i/>
        </w:rPr>
        <w:t xml:space="preserve">If you want to view the data they have about you, it’s quite usable. If you want to do something [analytical], then it’s not</w:t>
      </w:r>
      <w:r>
        <w:rPr>
          <w:iCs/>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(5.4.3.1).</w:t>
      </w:r>
    </w:p>
    <w:p>
      <w:pPr>
        <w:pStyle w:val="BodyText"/>
      </w:pPr>
      <w:r>
        <w:rPr>
          <w:bCs/>
          <w:b/>
        </w:rPr>
        <w:t xml:space="preserve">People need to be able to interact with data, which means interfaces are needed</w:t>
      </w:r>
      <w:r>
        <w:t xml:space="preserve">. By themselves, even standardised files as described above are not practically usable. As discussed in 4.4.2 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Cs/>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w:t>
      </w:r>
      <w:hyperlink w:anchor="ref-bowyer2011filesdie">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4"/>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4"/>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4"/>
        </w:numPr>
        <w:pStyle w:val="Compact"/>
      </w:pPr>
      <w:r>
        <w:rPr>
          <w:iCs/>
          <w:i/>
        </w:rPr>
        <w:t xml:space="preserve">Involvement in Decision Making</w:t>
      </w:r>
      <w:r>
        <w:t xml:space="preserve">: People need to be invited and involved in decision 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archaeologist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(5.5.1).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to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 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 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 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(4.3.3.4)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to ensure a fairer and more complete view can be obtained than the limited view presented by the data record (4.3.3.1).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negligible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 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(5.4.4.2, 5.4.4.3); Edwards and Elwyn, in their paper on shared decision 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 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Summation: Six Wants That Would Empower Individuals with Better HDR</w:t>
      </w:r>
    </w:p>
    <w:p>
      <w:pPr>
        <w:pStyle w:val="FirstParagraph"/>
      </w:pPr>
      <w:r>
        <w:t xml:space="preserve">In this chapter, the separate Case Study findings and insights from Chapters</w:t>
      </w:r>
      <w:r>
        <w:t xml:space="preserve"> </w:t>
      </w:r>
      <w:hyperlink w:anchor="chapter-4">
        <w:r>
          <w:rPr>
            <w:rStyle w:val="Hyperlink"/>
          </w:rPr>
          <w:t xml:space="preserve">4</w:t>
        </w:r>
      </w:hyperlink>
      <w:r>
        <w:t xml:space="preserve"> </w:t>
      </w:r>
      <w:r>
        <w:t xml:space="preserve">and</w:t>
      </w:r>
      <w:r>
        <w:t xml:space="preserve"> </w:t>
      </w:r>
      <w:hyperlink w:anchor="chapter-5">
        <w:r>
          <w:rPr>
            <w:rStyle w:val="Hyperlink"/>
          </w:rPr>
          <w:t xml:space="preserve">5</w:t>
        </w:r>
      </w:hyperlink>
      <w:r>
        <w:t xml:space="preserve"> </w:t>
      </w:r>
      <w:r>
        <w:t xml:space="preserve">have been synthesised to identify six specific capabilities that people need in their relationship with their personal data - both from the direct perspective of</w:t>
      </w:r>
      <w:r>
        <w:t xml:space="preserve"> </w:t>
      </w:r>
      <w:hyperlink w:anchor="RQ1">
        <w:r>
          <w:rPr>
            <w:rStyle w:val="Hyperlink"/>
          </w:rPr>
          <w:t xml:space="preserve">RQ1</w:t>
        </w:r>
      </w:hyperlink>
      <w:r>
        <w:t xml:space="preserve">, where people want for</w:t>
      </w:r>
      <w:r>
        <w:t xml:space="preserve"> </w:t>
      </w:r>
      <w:r>
        <w:rPr>
          <w:bCs/>
          <w:b/>
        </w:rPr>
        <w:t xml:space="preserve">visible, understandable and useable</w:t>
      </w:r>
      <w:hyperlink w:anchor="fn13">
        <w:r>
          <w:rPr>
            <w:rStyle w:val="Hyperlink"/>
            <w:bCs/>
            <w:b/>
          </w:rPr>
          <w:t xml:space="preserve">13</w:t>
        </w:r>
      </w:hyperlink>
      <w:r>
        <w:rPr>
          <w:bCs/>
          <w:b/>
        </w:rPr>
        <w:t xml:space="preserve"> </w:t>
      </w:r>
      <w:r>
        <w:rPr>
          <w:bCs/>
          <w:b/>
        </w:rPr>
        <w:t xml:space="preserve">data</w:t>
      </w:r>
      <w:r>
        <w:t xml:space="preserve">, and from the indirect perspective of</w:t>
      </w:r>
      <w:r>
        <w:t xml:space="preserve"> </w:t>
      </w:r>
      <w:hyperlink w:anchor="RQ2">
        <w:r>
          <w:rPr>
            <w:rStyle w:val="Hyperlink"/>
          </w:rPr>
          <w:t xml:space="preserve">RQ2</w:t>
        </w:r>
      </w:hyperlink>
      <w:r>
        <w:t xml:space="preserve">, where people want for</w:t>
      </w:r>
      <w:r>
        <w:t xml:space="preserve"> </w:t>
      </w:r>
      <w:r>
        <w:rPr>
          <w:bCs/>
          <w:b/>
        </w:rPr>
        <w:t xml:space="preserve">process transparency, individual oversight and decision-making involvement</w:t>
      </w:r>
      <w:r>
        <w:t xml:space="preserve">.</w:t>
      </w:r>
    </w:p>
    <w:p>
      <w:pPr>
        <w:pStyle w:val="BodyText"/>
      </w:pPr>
      <w:r>
        <w:t xml:space="preserve">In line with the pragmatist, individualist outlook of this thesis [</w:t>
      </w:r>
      <w:hyperlink w:anchor="X16a3b37862d25c71eb7293f7b653e91636f92a7">
        <w:r>
          <w:rPr>
            <w:rStyle w:val="Hyperlink"/>
          </w:rPr>
          <w:t xml:space="preserve">3.1</w:t>
        </w:r>
      </w:hyperlink>
      <w:r>
        <w:t xml:space="preserve">], these six wants amount to</w:t>
      </w:r>
      <w:r>
        <w:t xml:space="preserve"> </w:t>
      </w:r>
      <w:r>
        <w:rPr>
          <w:bCs/>
          <w:b/>
        </w:rPr>
        <w:t xml:space="preserve">a desire for empowerment</w:t>
      </w:r>
      <w:r>
        <w:t xml:space="preserve">, motivated by a desire to pursue one’s own happiness and self-interest. 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In essence, empowerment is achieved when the individual, in consideration of the question</w:t>
      </w:r>
      <w:r>
        <w:t xml:space="preserve"> </w:t>
      </w:r>
      <w:r>
        <w:rPr>
          <w:iCs/>
          <w:i/>
        </w:rPr>
        <w:t xml:space="preserve">“</w:t>
      </w:r>
      <w:r>
        <w:rPr>
          <w:iCs/>
          <w:i/>
        </w:rPr>
        <w:t xml:space="preserve">what can I do?</w:t>
      </w:r>
      <w:r>
        <w:rPr>
          <w:iCs/>
          <w:i/>
        </w:rPr>
        <w:t xml:space="preserve">”</w:t>
      </w:r>
      <w:r>
        <w:t xml:space="preserve">, judges that they can do more. Power, it transpires, is a double-edged concept. The power imbalance over personal data [</w:t>
      </w:r>
      <w:hyperlink w:anchor="X2fecb37588747cdb8227230edc41ff2ca6557e1">
        <w:r>
          <w:rPr>
            <w:rStyle w:val="Hyperlink"/>
          </w:rPr>
          <w:t xml:space="preserve">2.1.2</w:t>
        </w:r>
      </w:hyperlink>
      <w:r>
        <w:t xml:space="preserve">] encompasses both</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These are best considered as two sides of the same coin or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what both parties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 Concepts of power are explored further in</w:t>
      </w:r>
      <w:r>
        <w:t xml:space="preserve"> </w:t>
      </w:r>
      <w:hyperlink w:anchor="Xeb34d101d5161623ed77334cea0f47e8a0c0af7">
        <w:r>
          <w:rPr>
            <w:rStyle w:val="Hyperlink"/>
          </w:rPr>
          <w:t xml:space="preserve">7.3.4.1</w:t>
        </w:r>
      </w:hyperlink>
      <w:r>
        <w:t xml:space="preserve">.</w:t>
      </w:r>
    </w:p>
    <w:p>
      <w:pPr>
        <w:pStyle w:val="BodyText"/>
      </w:pPr>
      <w:r>
        <w:t xml:space="preserve">Not only do these six wants lead to individual empowerment, there is a clear correlation.</w:t>
      </w:r>
      <w:r>
        <w:t xml:space="preserve"> </w:t>
      </w:r>
      <w:r>
        <w:rPr>
          <w:bCs/>
          <w:b/>
        </w:rPr>
        <w:t xml:space="preserve">The more that the six data wants can be addressed, the more empowering it is to individuals.</w:t>
      </w:r>
      <w:r>
        <w:t xml:space="preserve"> </w:t>
      </w:r>
      <w:r>
        <w:t xml:space="preserve">From the case studies it is clear that the status quo of the data-centric world (2.1) is that lack of these six capabilities reduces individual capacity to act, individuals are</w:t>
      </w:r>
      <w:r>
        <w:t xml:space="preserve"> </w:t>
      </w:r>
      <w:r>
        <w:rPr>
          <w:bCs/>
          <w:b/>
        </w:rPr>
        <w:t xml:space="preserve">disempowered</w:t>
      </w:r>
      <w:r>
        <w:t xml:space="preserve">. People are treated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w:t>
      </w:r>
      <w:hyperlink w:anchor="X9a7597c10f2e831aaf8a6526fb9a13e25ea680e">
        <w:r>
          <w:rPr>
            <w:rStyle w:val="Hyperlink"/>
          </w:rPr>
          <w:t xml:space="preserve">4.5</w:t>
        </w:r>
      </w:hyperlink>
      <w:r>
        <w:t xml:space="preserve">,</w:t>
      </w:r>
      <w:r>
        <w:t xml:space="preserve"> </w:t>
      </w:r>
      <w:hyperlink w:anchor="X61668d6575f2536b8984a471ac570156abd14ef">
        <w:r>
          <w:rPr>
            <w:rStyle w:val="Hyperlink"/>
          </w:rPr>
          <w:t xml:space="preserve">5.4.2.1</w:t>
        </w:r>
      </w:hyperlink>
      <w:r>
        <w:t xml:space="preserve">,</w:t>
      </w:r>
      <w:r>
        <w:t xml:space="preserve"> </w:t>
      </w:r>
      <w:hyperlink w:anchor="X8ff615c03fc2afb91384f9ef05bab6acdbbe9e9">
        <w:r>
          <w:rPr>
            <w:rStyle w:val="Hyperlink"/>
          </w:rPr>
          <w:t xml:space="preserve">5.4.3.3</w:t>
        </w:r>
      </w:hyperlink>
      <w:r>
        <w:t xml:space="preserve">,</w:t>
      </w:r>
      <w:r>
        <w:t xml:space="preserve"> </w:t>
      </w:r>
      <w:hyperlink w:anchor="X38f625be2c0c748970e0e254c020e238dedd97d">
        <w:r>
          <w:rPr>
            <w:rStyle w:val="Hyperlink"/>
          </w:rPr>
          <w:t xml:space="preserve">5.4.4.1</w:t>
        </w:r>
      </w:hyperlink>
      <w:r>
        <w:t xml:space="preserve">]. While in both Case Studies many of the findings are based on the</w:t>
      </w:r>
      <w:r>
        <w:t xml:space="preserve"> </w:t>
      </w:r>
      <w:r>
        <w:rPr>
          <w:iCs/>
          <w:i/>
        </w:rPr>
        <w:t xml:space="preserve">opinions</w:t>
      </w:r>
      <w:r>
        <w:t xml:space="preserve"> </w:t>
      </w:r>
      <w:r>
        <w:t xml:space="preserve">of participants as to what they believe</w:t>
      </w:r>
      <w:r>
        <w:t xml:space="preserve"> </w:t>
      </w:r>
      <w:r>
        <w:rPr>
          <w:iCs/>
          <w:i/>
        </w:rPr>
        <w:t xml:space="preserve">would</w:t>
      </w:r>
      <w:r>
        <w:t xml:space="preserve"> </w:t>
      </w:r>
      <w:r>
        <w:t xml:space="preserve">be desirable, preferable or more successful, in the case of data visibility [</w:t>
      </w:r>
      <w:hyperlink w:anchor="X7f3cb9988fc4f21a782e780e51ff565a0b00582">
        <w:r>
          <w:rPr>
            <w:rStyle w:val="Hyperlink"/>
          </w:rPr>
          <w:t xml:space="preserve">6.1.3</w:t>
        </w:r>
      </w:hyperlink>
      <w:r>
        <w:t xml:space="preserve">] and process transparency [</w:t>
      </w:r>
      <w:hyperlink w:anchor="Xffca9b2145cbe8b44269c74219f807eace99c3e">
        <w:r>
          <w:rPr>
            <w:rStyle w:val="Hyperlink"/>
          </w:rPr>
          <w:t xml:space="preserve">6.2.1</w:t>
        </w:r>
      </w:hyperlink>
      <w:r>
        <w:t xml:space="preserve">] there is clear evidence that it</w:t>
      </w:r>
      <w:r>
        <w:t xml:space="preserve"> </w:t>
      </w:r>
      <w:r>
        <w:rPr>
          <w:iCs/>
          <w:i/>
        </w:rPr>
        <w:t xml:space="preserve">does</w:t>
      </w:r>
      <w:r>
        <w:t xml:space="preserve"> </w:t>
      </w:r>
      <w:r>
        <w:t xml:space="preserve">have an impact on individual’s subjective assessment of their own empowerment: In Case Study Two, 45% of cases saw people experience a change in power after examining privacy policies and scrutinising GDPR responses. 29% felt a decrease in power, and 17% an increase. Data visibility and process transparency seem to be key first steps towards empowerment, as they allow a more accurate assessment of one’s own capability. In 52% of cases Case Study Two participants felt more distrustful, having discovered unsatisfactory exertions of power by providers [</w:t>
      </w:r>
      <w:hyperlink w:anchor="X17fee6fbf9ee82826dccbd5118d485029a82ebe">
        <w:r>
          <w:rPr>
            <w:rStyle w:val="Hyperlink"/>
          </w:rPr>
          <w:t xml:space="preserve">5.3.4</w:t>
        </w:r>
      </w:hyperlink>
      <w:r>
        <w:t xml:space="preserve">]. Once visibility and transparency have been achieved, it is clear that this should be followed soon after with understanding [</w:t>
      </w:r>
      <w:hyperlink w:anchor="Xecaf8be5654f259a19f021dd696c8aed0425326">
        <w:r>
          <w:rPr>
            <w:rStyle w:val="Hyperlink"/>
          </w:rPr>
          <w:t xml:space="preserve">6.1.1</w:t>
        </w:r>
      </w:hyperlink>
      <w:r>
        <w:t xml:space="preserve">], agency [</w:t>
      </w:r>
      <w:hyperlink w:anchor="X7f3cb9988fc4f21a782e780e51ff565a0b00582">
        <w:r>
          <w:rPr>
            <w:rStyle w:val="Hyperlink"/>
          </w:rPr>
          <w:t xml:space="preserve">6.1.3</w:t>
        </w:r>
      </w:hyperlink>
      <w:r>
        <w:t xml:space="preserve">,</w:t>
      </w:r>
      <w:r>
        <w:t xml:space="preserve"> </w:t>
      </w:r>
      <w:hyperlink w:anchor="Xa12d3bdce91425575a83cf92ced2c2e796b4046">
        <w:r>
          <w:rPr>
            <w:rStyle w:val="Hyperlink"/>
          </w:rPr>
          <w:t xml:space="preserve">6.2.2</w:t>
        </w:r>
      </w:hyperlink>
      <w:r>
        <w:t xml:space="preserve">] and involvement [</w:t>
      </w:r>
      <w:hyperlink w:anchor="X7481ad987ac6949d28340eb658a28e09f325713">
        <w:r>
          <w:rPr>
            <w:rStyle w:val="Hyperlink"/>
          </w:rPr>
          <w:t xml:space="preserve">6.2.3</w:t>
        </w:r>
      </w:hyperlink>
      <w:r>
        <w:t xml:space="preserve">]. Any one of the six wants can improve HDR for the individual, but the combination of all six is likely to produce more than the sum of its parts –</w:t>
      </w:r>
      <w:r>
        <w:t xml:space="preserve"> </w:t>
      </w:r>
      <w:r>
        <w:rPr>
          <w:bCs/>
          <w:b/>
        </w:rPr>
        <w:t xml:space="preserve">an empowered digital citizen</w:t>
      </w:r>
      <w:r>
        <w:t xml:space="preserve">.</w:t>
      </w:r>
    </w:p>
    <w:p>
      <w:pPr>
        <w:pStyle w:val="BodyText"/>
      </w:pPr>
      <w:r>
        <w:t xml:space="preserve">Considering the societal level, these six wants show</w:t>
      </w:r>
      <w:r>
        <w:t xml:space="preserve"> </w:t>
      </w:r>
      <w:r>
        <w:rPr>
          <w:bCs/>
          <w:b/>
        </w:rPr>
        <w:t xml:space="preserve">how society should be reconfigured to improve HDR</w:t>
      </w:r>
      <w:r>
        <w:t xml:space="preserve">. 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w:t>
      </w:r>
      <w:hyperlink w:anchor="Xe0d88c5002b6cf7664052f1fc7d652cbdadccec">
        <w:r>
          <w:rPr>
            <w:rStyle w:val="Hyperlink"/>
          </w:rPr>
          <w:t xml:space="preserve">2.3</w:t>
        </w:r>
      </w:hyperlink>
      <w:r>
        <w:t xml:space="preserve">] model where people are controllers at the centre of their own personal data ecosystem [</w:t>
      </w:r>
      <w:hyperlink w:anchor="X7b06b2486a051055e43ae1127e87196d505e2f3">
        <w:r>
          <w:rPr>
            <w:rStyle w:val="Hyperlink"/>
          </w:rPr>
          <w:t xml:space="preserve">2.3.4</w:t>
        </w:r>
      </w:hyperlink>
      <w:r>
        <w:t xml:space="preserve">] would be progressive and transformative, and not without cost, education, deployment and uptake challenges. Nonetheless participants in both studies could easily imagine more human-centric interfaces and more empowering service interactions and demanded those improvements. And it is possible; just as some human-centric practices were beginning to emerge among support services in Case Study One [</w:t>
      </w:r>
      <w:hyperlink w:anchor="X5c213d3f7d5eb3b3913f2bcc99b547ab52233a9">
        <w:r>
          <w:rPr>
            <w:rStyle w:val="Hyperlink"/>
          </w:rPr>
          <w:t xml:space="preserve">4.3.1</w:t>
        </w:r>
      </w:hyperlink>
      <w:r>
        <w:t xml:space="preserve">], so some companies targeted in Case Study Two are already beginning to move in this direction: some offer privacy hubs and explanations of data practices, while others offer interfaces solely for accessing data and exerting data rights [</w:t>
      </w:r>
      <w:hyperlink w:anchor="X18d96849acd4f3914538408fbb4a3dca66ff25c">
        <w:r>
          <w:rPr>
            <w:rStyle w:val="Hyperlink"/>
          </w:rPr>
          <w:t xml:space="preserve">5.1.1</w:t>
        </w:r>
      </w:hyperlink>
      <w:r>
        <w:t xml:space="preserve">]. In both Case Studies there was a clear demand for this initial forays by service providers to be expanded: be it through more pro-active data practices in the care context [</w:t>
      </w:r>
      <w:hyperlink w:anchor="X33b0e93f97f87fa3bb3c4df915c0729032ea608">
        <w:r>
          <w:rPr>
            <w:rStyle w:val="Hyperlink"/>
          </w:rPr>
          <w:t xml:space="preserve">4.3.4.3</w:t>
        </w:r>
      </w:hyperlink>
      <w:r>
        <w:t xml:space="preserve">], or new models of data involvement in the commercial context [</w:t>
      </w:r>
      <w:hyperlink w:anchor="X279d3e70c4a8279cdfb499a60bef2c4f405d995">
        <w:r>
          <w:rPr>
            <w:rStyle w:val="Hyperlink"/>
          </w:rPr>
          <w:t xml:space="preserve">5.5.2</w:t>
        </w:r>
      </w:hyperlink>
      <w:r>
        <w:t xml:space="preserve">]. If the locus of decision making [</w:t>
      </w:r>
      <w:hyperlink w:anchor="X8a50e98458a9c28886ed15ffb2cc666b2d3d49b">
        <w:r>
          <w:rPr>
            <w:rStyle w:val="Hyperlink"/>
          </w:rPr>
          <w:t xml:space="preserve">4.4.3</w:t>
        </w:r>
      </w:hyperlink>
      <w:r>
        <w:t xml:space="preserve">] could be shifted towards individuals through such reconfigurations of existing practices, this would give them a role to play as agents in the life of their data, allowing them to curate their own data self, the representation of them used in decision making,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a50e98458a9c28886ed15ffb2cc666b2d3d49b">
        <w:r>
          <w:rPr>
            <w:rStyle w:val="Hyperlink"/>
          </w:rPr>
          <w:t xml:space="preserve">4.4.3</w:t>
        </w:r>
      </w:hyperlink>
      <w:r>
        <w:t xml:space="preserve">].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better HDR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w:t>
      </w:r>
      <w:hyperlink w:anchor="X279d3e70c4a8279cdfb499a60bef2c4f405d995">
        <w:r>
          <w:rPr>
            <w:rStyle w:val="Hyperlink"/>
          </w:rPr>
          <w:t xml:space="preserve">5.5.2</w:t>
        </w:r>
      </w:hyperlink>
      <w:r>
        <w:t xml:space="preserve">], and potentially to capitalise on new demands for data insight tools [</w:t>
      </w:r>
      <w:hyperlink w:anchor="X41dd5411c3ac1e32b00fee73de26a508f888c5b">
        <w:r>
          <w:rPr>
            <w:rStyle w:val="Hyperlink"/>
          </w:rPr>
          <w:t xml:space="preserve">5.5.3</w:t>
        </w:r>
      </w:hyperlink>
      <w:r>
        <w:t xml:space="preserve">].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w:t>
      </w:r>
      <w:hyperlink w:anchor="X6442478f1f952d62cb89e1b634d5937a7d2863f">
        <w:r>
          <w:rPr>
            <w:rStyle w:val="Hyperlink"/>
          </w:rPr>
          <w:t xml:space="preserve">4.1.2</w:t>
        </w:r>
      </w:hyperlink>
      <w:r>
        <w:t xml:space="preserve">], or satisfying GDPR requests [</w:t>
      </w:r>
      <w:hyperlink w:anchor="X18b35402f3fbcb74b8e5bbc8aa2c0e3e784e473">
        <w:r>
          <w:rPr>
            <w:rStyle w:val="Hyperlink"/>
          </w:rPr>
          <w:t xml:space="preserve">5.5.1</w:t>
        </w:r>
      </w:hyperlink>
      <w:r>
        <w:t xml:space="preserve">])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pPr>
        <w:pStyle w:val="BodyText"/>
      </w:pPr>
      <w:r>
        <w:t xml:space="preserve">The vision of these new empowered individuals, given new inclusive roles in the lives of their data, therefore, is the ultimate answer to</w:t>
      </w:r>
      <w:r>
        <w:t xml:space="preserve"> </w:t>
      </w:r>
      <w:hyperlink w:anchor="RQ">
        <w:r>
          <w:rPr>
            <w:rStyle w:val="Hyperlink"/>
          </w:rPr>
          <w:t xml:space="preserve">the research question</w:t>
        </w:r>
      </w:hyperlink>
      <w:r>
        <w:t xml:space="preserve"> </w:t>
      </w:r>
      <w:r>
        <w:t xml:space="preserve">this thesis set out to answer: This data-empowered and process-involved future is what better HDR looks like.</w:t>
      </w:r>
    </w:p>
    <w:p>
      <w:r>
        <w:pict>
          <v:rect style="width:0;height:1.5pt" o:hralign="center" o:hrstd="t" o:hr="t"/>
        </w:pict>
      </w:r>
    </w:p>
    <w:bookmarkEnd w:id="29"/>
    <w:bookmarkEnd w:id="30"/>
    <w:bookmarkStart w:id="141" w:name="bibliography"/>
    <w:p>
      <w:pPr>
        <w:pStyle w:val="Heading1"/>
      </w:pPr>
      <w:r>
        <w:t xml:space="preserve">Bibliography</w:t>
      </w:r>
    </w:p>
    <w:bookmarkStart w:id="140"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5">
        <w:r>
          <w:rPr>
            <w:rStyle w:val="Hyperlink"/>
          </w:rPr>
          <w:t xml:space="preserve">http://www.weforum.org/reports/personal-data-emergence-new-asset-class</w:t>
        </w:r>
      </w:hyperlink>
      <w:r>
        <w:t xml:space="preserve">.</w:t>
      </w:r>
    </w:p>
    <w:bookmarkEnd w:id="86"/>
    <w:bookmarkStart w:id="88"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87">
        <w:r>
          <w:rPr>
            <w:rStyle w:val="Hyperlink"/>
          </w:rPr>
          <w:t xml:space="preserve">http://www3.weforum.org/docs/WEF_RethinkingPersonalData_ANewLens_Report_2014.pdf</w:t>
        </w:r>
      </w:hyperlink>
      <w:r>
        <w:t xml:space="preserve">.</w:t>
      </w:r>
    </w:p>
    <w:bookmarkEnd w:id="88"/>
    <w:bookmarkStart w:id="90"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89">
        <w:r>
          <w:rPr>
            <w:rStyle w:val="Hyperlink"/>
          </w:rPr>
          <w:t xml:space="preserve">http://www3.weforum.org/docs/WEF_RethinkingPersonalData_TrustandContext_Report_2014.pdf</w:t>
        </w:r>
      </w:hyperlink>
      <w:r>
        <w:t xml:space="preserve">.</w:t>
      </w:r>
    </w:p>
    <w:bookmarkEnd w:id="90"/>
    <w:bookmarkStart w:id="9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1">
        <w:r>
          <w:rPr>
            <w:rStyle w:val="Hyperlink"/>
          </w:rPr>
          <w:t xml:space="preserve">https://ico.org.uk/your-data-matters/</w:t>
        </w:r>
      </w:hyperlink>
      <w:r>
        <w:t xml:space="preserve">.</w:t>
      </w:r>
    </w:p>
    <w:bookmarkEnd w:id="92"/>
    <w:bookmarkStart w:id="94"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3">
        <w:r>
          <w:rPr>
            <w:rStyle w:val="Hyperlink"/>
          </w:rPr>
          <w:t xml:space="preserve">10.1038/ejhg.2014.71</w:t>
        </w:r>
      </w:hyperlink>
      <w:r>
        <w:t xml:space="preserve">.</w:t>
      </w:r>
    </w:p>
    <w:bookmarkEnd w:id="94"/>
    <w:bookmarkStart w:id="96"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5">
        <w:r>
          <w:rPr>
            <w:rStyle w:val="Hyperlink"/>
          </w:rPr>
          <w:t xml:space="preserve">10.2139/ssrn.3887097</w:t>
        </w:r>
      </w:hyperlink>
      <w:r>
        <w:t xml:space="preserve">.</w:t>
      </w:r>
    </w:p>
    <w:bookmarkEnd w:id="96"/>
    <w:bookmarkStart w:id="98"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97">
        <w:r>
          <w:rPr>
            <w:rStyle w:val="Hyperlink"/>
          </w:rPr>
          <w:t xml:space="preserve">10.14763/2018.2.791</w:t>
        </w:r>
      </w:hyperlink>
      <w:r>
        <w:t xml:space="preserve">.</w:t>
      </w:r>
    </w:p>
    <w:bookmarkEnd w:id="98"/>
    <w:bookmarkStart w:id="10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99">
        <w:r>
          <w:rPr>
            <w:rStyle w:val="Hyperlink"/>
          </w:rPr>
          <w:t xml:space="preserve">10.1145/1753846.1754181</w:t>
        </w:r>
      </w:hyperlink>
      <w:r>
        <w:t xml:space="preserve">.</w:t>
      </w:r>
    </w:p>
    <w:bookmarkEnd w:id="100"/>
    <w:bookmarkStart w:id="10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1">
        <w:r>
          <w:rPr>
            <w:rStyle w:val="Hyperlink"/>
          </w:rPr>
          <w:t xml:space="preserve">10.1145/2493432.2493446</w:t>
        </w:r>
      </w:hyperlink>
      <w:r>
        <w:t xml:space="preserve">.</w:t>
      </w:r>
    </w:p>
    <w:bookmarkEnd w:id="102"/>
    <w:bookmarkStart w:id="103" w:name="ref-mcnamee2019"/>
    <w:p>
      <w:pPr>
        <w:pStyle w:val="Bibliography"/>
      </w:pPr>
      <w:r>
        <w:t xml:space="preserve">McNamee, R. (2019)</w:t>
      </w:r>
      <w:r>
        <w:t xml:space="preserve"> </w:t>
      </w:r>
      <w:r>
        <w:rPr>
          <w:iCs/>
          <w:i/>
        </w:rPr>
        <w:t xml:space="preserve">Zucked: Waking up to the Facebook Catasrophe</w:t>
      </w:r>
      <w:r>
        <w:t xml:space="preserve">, p. 336.</w:t>
      </w:r>
    </w:p>
    <w:bookmarkEnd w:id="103"/>
    <w:bookmarkStart w:id="105"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4">
        <w:r>
          <w:rPr>
            <w:rStyle w:val="Hyperlink"/>
          </w:rPr>
          <w:t xml:space="preserve">https://www.fastcompany.com/90310803/here-are-the-data-brokers-quietly-buying-and-selling-your-personal-information</w:t>
        </w:r>
      </w:hyperlink>
      <w:r>
        <w:t xml:space="preserve">.</w:t>
      </w:r>
    </w:p>
    <w:bookmarkEnd w:id="105"/>
    <w:bookmarkStart w:id="107"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6">
        <w:r>
          <w:rPr>
            <w:rStyle w:val="Hyperlink"/>
          </w:rPr>
          <w:t xml:space="preserve">https://www.merriam-webster.com/dictionary/usability</w:t>
        </w:r>
      </w:hyperlink>
      <w:r>
        <w:t xml:space="preserve">.</w:t>
      </w:r>
    </w:p>
    <w:bookmarkEnd w:id="107"/>
    <w:bookmarkStart w:id="109"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08">
        <w:r>
          <w:rPr>
            <w:rStyle w:val="Hyperlink"/>
          </w:rPr>
          <w:t xml:space="preserve">https://www.merriam-webster.com/dictionary/usable</w:t>
        </w:r>
      </w:hyperlink>
      <w:r>
        <w:t xml:space="preserve">.</w:t>
      </w:r>
    </w:p>
    <w:bookmarkEnd w:id="109"/>
    <w:bookmarkStart w:id="111"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0">
        <w:r>
          <w:rPr>
            <w:rStyle w:val="Hyperlink"/>
          </w:rPr>
          <w:t xml:space="preserve">10.5210/fm.v17i5.4013</w:t>
        </w:r>
      </w:hyperlink>
      <w:r>
        <w:t xml:space="preserve">.</w:t>
      </w:r>
    </w:p>
    <w:bookmarkEnd w:id="111"/>
    <w:bookmarkStart w:id="113"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2">
        <w:r>
          <w:rPr>
            <w:rStyle w:val="Hyperlink"/>
          </w:rPr>
          <w:t xml:space="preserve">10.2139/ssrn.2508051</w:t>
        </w:r>
      </w:hyperlink>
      <w:r>
        <w:t xml:space="preserve">.</w:t>
      </w:r>
    </w:p>
    <w:bookmarkEnd w:id="113"/>
    <w:bookmarkStart w:id="115"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4">
        <w:r>
          <w:rPr>
            <w:rStyle w:val="Hyperlink"/>
          </w:rPr>
          <w:t xml:space="preserve">10.1089/big.2013.0029</w:t>
        </w:r>
      </w:hyperlink>
      <w:r>
        <w:t xml:space="preserve">.</w:t>
      </w:r>
    </w:p>
    <w:bookmarkEnd w:id="115"/>
    <w:bookmarkStart w:id="117"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6">
        <w:r>
          <w:rPr>
            <w:rStyle w:val="Hyperlink"/>
          </w:rPr>
          <w:t xml:space="preserve">https://www.nngroup.com/articles/usability-101-introduction-to-usability/</w:t>
        </w:r>
      </w:hyperlink>
      <w:r>
        <w:t xml:space="preserve">.</w:t>
      </w:r>
    </w:p>
    <w:bookmarkEnd w:id="117"/>
    <w:bookmarkStart w:id="119"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18">
        <w:r>
          <w:rPr>
            <w:rStyle w:val="Hyperlink"/>
          </w:rPr>
          <w:t xml:space="preserve">www.ofsted.gov.uk https://www.gov.uk/government/uploads/system/uploads/attachment_data/file/410378/Early_help_whose_responsibility.pdf</w:t>
        </w:r>
      </w:hyperlink>
      <w:r>
        <w:t xml:space="preserve">.</w:t>
      </w:r>
    </w:p>
    <w:bookmarkEnd w:id="119"/>
    <w:bookmarkStart w:id="12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0">
        <w:r>
          <w:rPr>
            <w:rStyle w:val="Hyperlink"/>
          </w:rPr>
          <w:t xml:space="preserve">https://www.oecd.org/digital/ieconomy/oecdguidelinesontheprotectionofprivacyandtransborderflowsofpersonaldata.htm</w:t>
        </w:r>
      </w:hyperlink>
      <w:r>
        <w:t xml:space="preserve">.</w:t>
      </w:r>
    </w:p>
    <w:bookmarkEnd w:id="121"/>
    <w:bookmarkStart w:id="123"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2">
        <w:r>
          <w:rPr>
            <w:rStyle w:val="Hyperlink"/>
          </w:rPr>
          <w:t xml:space="preserve">10.1080/2158379X.2012.658278</w:t>
        </w:r>
      </w:hyperlink>
      <w:r>
        <w:t xml:space="preserve">.</w:t>
      </w:r>
    </w:p>
    <w:bookmarkEnd w:id="123"/>
    <w:bookmarkStart w:id="124"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4"/>
    <w:bookmarkStart w:id="126"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5">
        <w:r>
          <w:rPr>
            <w:rStyle w:val="Hyperlink"/>
          </w:rPr>
          <w:t xml:space="preserve">10.1177/0162243910377624</w:t>
        </w:r>
      </w:hyperlink>
      <w:r>
        <w:t xml:space="preserve">.</w:t>
      </w:r>
    </w:p>
    <w:bookmarkEnd w:id="126"/>
    <w:bookmarkStart w:id="127"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27"/>
    <w:bookmarkStart w:id="129"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28">
        <w:r>
          <w:rPr>
            <w:rStyle w:val="Hyperlink"/>
          </w:rPr>
          <w:t xml:space="preserve">10.1145/2702123.2702558</w:t>
        </w:r>
      </w:hyperlink>
      <w:r>
        <w:t xml:space="preserve">.</w:t>
      </w:r>
    </w:p>
    <w:bookmarkEnd w:id="129"/>
    <w:bookmarkStart w:id="131"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0">
        <w:r>
          <w:rPr>
            <w:rStyle w:val="Hyperlink"/>
          </w:rPr>
          <w:t xml:space="preserve">https://www.wired.com/insights/2014/07/data-new-oil-digital-economy/</w:t>
        </w:r>
      </w:hyperlink>
      <w:r>
        <w:t xml:space="preserve">.</w:t>
      </w:r>
    </w:p>
    <w:bookmarkEnd w:id="131"/>
    <w:bookmarkStart w:id="133"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2">
        <w:r>
          <w:rPr>
            <w:rStyle w:val="Hyperlink"/>
          </w:rPr>
          <w:t xml:space="preserve">10.2196/medinform.3525</w:t>
        </w:r>
      </w:hyperlink>
      <w:r>
        <w:t xml:space="preserve">.</w:t>
      </w:r>
    </w:p>
    <w:bookmarkEnd w:id="133"/>
    <w:bookmarkStart w:id="135"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4">
        <w:r>
          <w:rPr>
            <w:rStyle w:val="Hyperlink"/>
          </w:rPr>
          <w:t xml:space="preserve">10.1016/j.cose.2022.102605</w:t>
        </w:r>
      </w:hyperlink>
      <w:r>
        <w:t xml:space="preserve">.</w:t>
      </w:r>
    </w:p>
    <w:bookmarkEnd w:id="135"/>
    <w:bookmarkStart w:id="137"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6">
        <w:r>
          <w:rPr>
            <w:rStyle w:val="Hyperlink"/>
          </w:rPr>
          <w:t xml:space="preserve">https://books.google.co.uk/books?id=W7ZEDgAAQBAJ</w:t>
        </w:r>
      </w:hyperlink>
      <w:r>
        <w:t xml:space="preserve">.</w:t>
      </w:r>
    </w:p>
    <w:bookmarkEnd w:id="137"/>
    <w:bookmarkStart w:id="139"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38">
        <w:r>
          <w:rPr>
            <w:rStyle w:val="Hyperlink"/>
          </w:rPr>
          <w:t xml:space="preserve">10.1017/ipo.2021.30</w:t>
        </w:r>
      </w:hyperlink>
      <w:r>
        <w:t xml:space="preserve">.</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2022-08-18T16:30:54Z</dcterms:created>
  <dcterms:modified xsi:type="dcterms:W3CDTF">2022-08-18T16:30:54Z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