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chapter-6"/>
    <w:p>
      <w:pPr>
        <w:pStyle w:val="Heading1"/>
      </w:pPr>
      <w:r>
        <w:rPr>
          <w:rStyle w:val="SectionNumber"/>
        </w:rPr>
        <w:t xml:space="preserve">1</w:t>
      </w:r>
      <w:r>
        <w:tab/>
      </w:r>
      <w:r>
        <w:t xml:space="preserve">Discussion I: An Understanding of Human Data Relations</w:t>
      </w:r>
    </w:p>
    <w:p>
      <w:pPr>
        <w:pStyle w:val="BlockText"/>
      </w:pPr>
      <w:r>
        <w:rPr>
          <w:iCs/>
          <w:i/>
        </w:rPr>
        <w:t xml:space="preserve">“</w:t>
      </w:r>
      <w:r>
        <w:rPr>
          <w:iCs/>
          <w:i/>
        </w:rPr>
        <w:t xml:space="preserve">For a participatory system to work, you need: a plausible promise, an effective tool, and an acceptable bargain.</w:t>
      </w:r>
      <w:r>
        <w:rPr>
          <w:iCs/>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 questions RQ1 and RQ2.</w:t>
      </w:r>
      <w:r>
        <w:t xml:space="preserve"> </w:t>
      </w:r>
      <w:r>
        <w:t xml:space="preserve">To recap on the research objectives expressed in</w:t>
      </w:r>
      <w:r>
        <w:t xml:space="preserve"> </w:t>
      </w:r>
      <w:hyperlink w:anchor="X9c68c54449dd45e3ffc6d16d2e2e55125c2895d">
        <w:r>
          <w:rPr>
            <w:rStyle w:val="Hyperlink"/>
          </w:rPr>
          <w:t xml:space="preserve">3.3</w:t>
        </w:r>
      </w:hyperlink>
      <w:r>
        <w:t xml:space="preserve">, these two RQs are:</w:t>
      </w:r>
    </w:p>
    <w:p>
      <w:pPr>
        <w:numPr>
          <w:ilvl w:val="0"/>
          <w:numId w:val="1001"/>
        </w:numPr>
        <w:pStyle w:val="Compact"/>
      </w:pPr>
      <w:r>
        <w:rPr>
          <w:bCs/>
          <w:b/>
        </w:rPr>
        <w:t xml:space="preserve">RQ1:</w:t>
      </w:r>
      <w:r>
        <w:rPr>
          <w:bCs/>
          <w:b/>
        </w:rPr>
        <w:t xml:space="preserve"> </w:t>
      </w:r>
      <w:r>
        <w:rPr>
          <w:bCs/>
          <w:b/>
        </w:rPr>
        <w:t xml:space="preserve">“</w:t>
      </w:r>
      <w:r>
        <w:rPr>
          <w:bCs/>
          <w:b/>
        </w:rPr>
        <w:t xml:space="preserve">What is the human experience of personal data, and what do people want from their data?</w:t>
      </w:r>
      <w:r>
        <w:rPr>
          <w:bCs/>
          <w:b/>
        </w:rPr>
        <w:t xml:space="preserve">”</w:t>
      </w:r>
    </w:p>
    <w:p>
      <w:pPr>
        <w:numPr>
          <w:ilvl w:val="0"/>
          <w:numId w:val="1001"/>
        </w:numPr>
        <w:pStyle w:val="Compact"/>
      </w:pPr>
      <w:r>
        <w:rPr>
          <w:bCs/>
          <w:b/>
        </w:rPr>
        <w:t xml:space="preserve">RQ2:</w:t>
      </w:r>
      <w:r>
        <w:rPr>
          <w:bCs/>
          <w:b/>
        </w:rPr>
        <w:t xml:space="preserve"> </w:t>
      </w:r>
      <w:r>
        <w:rPr>
          <w:bCs/>
          <w:b/>
        </w:rPr>
        <w:t xml:space="preserve">“</w:t>
      </w:r>
      <w:r>
        <w:rPr>
          <w:bCs/>
          <w:b/>
        </w:rPr>
        <w:t xml:space="preserve">What role does data play in people’s service relationships and how could relationships involving data be improved?</w:t>
      </w:r>
      <w:r>
        <w:rPr>
          <w:bCs/>
          <w:b/>
        </w:rPr>
        <w:t xml:space="preserve">”</w:t>
      </w:r>
    </w:p>
    <w:p>
      <w:pPr>
        <w:pStyle w:val="FirstParagraph"/>
      </w:pPr>
      <w:r>
        <w:t xml:space="preserve">The answers to these research questions are best expressed as an understanding of individual</w:t>
      </w:r>
      <w:r>
        <w:t xml:space="preserve"> </w:t>
      </w:r>
      <w:r>
        <w:rPr>
          <w:bCs/>
          <w:b/>
          <w:iCs/>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bCs/>
          <w:b/>
        </w:rPr>
        <w:t xml:space="preserve">lack of something that would be beneficial</w:t>
      </w:r>
      <w:r>
        <w:t xml:space="preserve"> </w:t>
      </w:r>
      <w:r>
        <w:t xml:space="preserve">(which may or may not be accompanied by conscious desire). Framing the accumulated understandings from the Case Studies in this way, both exposes both</w:t>
      </w:r>
      <w:r>
        <w:t xml:space="preserve"> </w:t>
      </w:r>
      <w:r>
        <w:rPr>
          <w:bCs/>
          <w:b/>
        </w:rPr>
        <w:t xml:space="preserve">the problem</w:t>
      </w:r>
      <w:r>
        <w:t xml:space="preserve"> </w:t>
      </w:r>
      <w:r>
        <w:t xml:space="preserve">(the things that individuals do not have or cannot do) and also provides</w:t>
      </w:r>
      <w:r>
        <w:t xml:space="preserve"> </w:t>
      </w:r>
      <w:r>
        <w:rPr>
          <w:bCs/>
          <w:b/>
        </w:rPr>
        <w:t xml:space="preserve">clear goals</w:t>
      </w:r>
      <w:r>
        <w:t xml:space="preserve"> </w:t>
      </w:r>
      <w:r>
        <w:t xml:space="preserve">that any imagined solutions or improvements to the status quo would need to address. It logically follows that any solution that better delivers on individual</w:t>
      </w:r>
      <w:r>
        <w:t xml:space="preserve"> </w:t>
      </w:r>
      <w:r>
        <w:rPr>
          <w:iCs/>
          <w:i/>
        </w:rPr>
        <w:t xml:space="preserve">data wants</w:t>
      </w:r>
      <w:r>
        <w:t xml:space="preserve"> </w:t>
      </w:r>
      <w:r>
        <w:t xml:space="preserve">will lead to improved relations between individuals and their data. This provides a working conceptualisation of</w:t>
      </w:r>
      <w:r>
        <w:t xml:space="preserve"> </w:t>
      </w:r>
      <w:r>
        <w:rPr>
          <w:iCs/>
          <w:i/>
        </w:rPr>
        <w:t xml:space="preserve">“</w:t>
      </w:r>
      <w:r>
        <w:rPr>
          <w:iCs/>
          <w:i/>
        </w:rPr>
        <w:t xml:space="preserve">Human Data Relations</w:t>
      </w:r>
      <w:r>
        <w:rPr>
          <w:iCs/>
          <w:i/>
        </w:rPr>
        <w:t xml:space="preserve">”</w:t>
      </w:r>
      <w:r>
        <w:rPr>
          <w:iCs/>
          <w:i/>
        </w:rPr>
        <w:t xml:space="preserve"> </w:t>
      </w:r>
      <w:r>
        <w:rPr>
          <w:iCs/>
          <w:i/>
        </w:rPr>
        <w:t xml:space="preserve">(HDR)</w:t>
      </w:r>
      <w:r>
        <w:t xml:space="preserve"> </w:t>
      </w:r>
      <w:r>
        <w:t xml:space="preserve">as alluded to in the title of this thesis. Furthermore these wants allow us to understand what</w:t>
      </w:r>
      <w:r>
        <w:t xml:space="preserve"> </w:t>
      </w:r>
      <w:r>
        <w:t xml:space="preserve">‘</w:t>
      </w:r>
      <w:r>
        <w:t xml:space="preserve">better</w:t>
      </w:r>
      <w:r>
        <w:t xml:space="preserve">’</w:t>
      </w:r>
      <w:r>
        <w:t xml:space="preserve"> </w:t>
      </w:r>
      <w:r>
        <w:t xml:space="preserve">means, serving as a yardstick against which progress can be measured. The concept of HDR will be developed further in</w:t>
      </w:r>
      <w:r>
        <w:t xml:space="preserve"> </w:t>
      </w:r>
      <w:hyperlink w:anchor="Xd90f00e19f5543904caf9ab2abd5b800e0613c0">
        <w:r>
          <w:rPr>
            <w:rStyle w:val="Hyperlink"/>
          </w:rPr>
          <w:t xml:space="preserve">7.2</w:t>
        </w:r>
      </w:hyperlink>
      <w:r>
        <w:t xml:space="preserve">, but in the context of this chapter can be understood in terms of the two kinds of relationship people have with their data:</w:t>
      </w:r>
    </w:p>
    <w:p>
      <w:pPr>
        <w:numPr>
          <w:ilvl w:val="0"/>
          <w:numId w:val="1002"/>
        </w:numPr>
        <w:pStyle w:val="Compact"/>
      </w:pPr>
      <w:r>
        <w:rPr>
          <w:iCs/>
          <w:i/>
          <w:bCs/>
          <w:b/>
        </w:rPr>
        <w:t xml:space="preserve">direct</w:t>
      </w:r>
      <w:r>
        <w:rPr>
          <w:bCs/>
          <w:b/>
        </w:rPr>
        <w:t xml:space="preserve"> </w:t>
      </w:r>
      <w:r>
        <w:rPr>
          <w:bCs/>
          <w:b/>
        </w:rPr>
        <w:t xml:space="preserve">interaction</w:t>
      </w:r>
      <w:r>
        <w:t xml:space="preserve"> </w:t>
      </w:r>
      <w:r>
        <w:t xml:space="preserve">(such as through an interface in an app or website) and</w:t>
      </w:r>
    </w:p>
    <w:p>
      <w:pPr>
        <w:numPr>
          <w:ilvl w:val="0"/>
          <w:numId w:val="1002"/>
        </w:numPr>
        <w:pStyle w:val="Compact"/>
      </w:pPr>
      <w:r>
        <w:rPr>
          <w:iCs/>
          <w:i/>
          <w:bCs/>
          <w:b/>
        </w:rPr>
        <w:t xml:space="preserve">indirect</w:t>
      </w:r>
      <w:r>
        <w:rPr>
          <w:bCs/>
          <w:b/>
        </w:rPr>
        <w:t xml:space="preserve"> </w:t>
      </w:r>
      <w:r>
        <w:rPr>
          <w:bCs/>
          <w:b/>
        </w:rPr>
        <w:t xml:space="preserve">interaction</w:t>
      </w:r>
      <w:r>
        <w:t xml:space="preserve"> </w:t>
      </w:r>
      <w:r>
        <w:t xml:space="preserve">(through interacting with services, providers or individual representatives who themselves have access to personal data about the individual).</w:t>
      </w:r>
    </w:p>
    <w:p>
      <w:pPr>
        <w:pStyle w:val="FirstParagraph"/>
      </w:pP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map cleanly onto these two types of Human Data Relations: to answer RQ1 we must identify what people want from direct data relations - which is the focus of</w:t>
      </w:r>
      <w:r>
        <w:t xml:space="preserve"> </w:t>
      </w:r>
      <w:hyperlink w:anchor="X8258c05de79d267cff0777b650c09dd0e24396f">
        <w:r>
          <w:rPr>
            <w:rStyle w:val="Hyperlink"/>
          </w:rPr>
          <w:t xml:space="preserve">6.1</w:t>
        </w:r>
      </w:hyperlink>
      <w:r>
        <w:t xml:space="preserve"> </w:t>
      </w:r>
      <w:r>
        <w:t xml:space="preserve">- while to answer RQ2 we must understand what people want from indirect data relations - which is the focus of</w:t>
      </w:r>
      <w:r>
        <w:t xml:space="preserve"> </w:t>
      </w:r>
      <w:hyperlink w:anchor="X86a6a7bbe6a4ae5c1502558f013f6ed6b9ae6f2">
        <w:r>
          <w:rPr>
            <w:rStyle w:val="Hyperlink"/>
          </w:rPr>
          <w:t xml:space="preserve">6.2</w:t>
        </w:r>
      </w:hyperlink>
      <w:r>
        <w:t xml:space="preserve">. Once those two questions are answered, these new understandings can then be contextualised [</w:t>
      </w:r>
      <w:hyperlink w:anchor="X3c10c50990743199cc887aaacd3f88a0a0a026e">
        <w:r>
          <w:rPr>
            <w:rStyle w:val="Hyperlink"/>
          </w:rPr>
          <w:t xml:space="preserve">6.3</w:t>
        </w:r>
      </w:hyperlink>
      <w:r>
        <w:t xml:space="preserve">] as an answer to the overall research question and a conclusion to the academic inquiry part of this thesis.</w:t>
      </w:r>
    </w:p>
    <w:bookmarkStart w:id="24" w:name="X8258c05de79d267cff0777b650c09dd0e24396f"/>
    <w:p>
      <w:pPr>
        <w:pStyle w:val="Heading2"/>
      </w:pPr>
      <w:r>
        <w:rPr>
          <w:rStyle w:val="SectionNumber"/>
        </w:rPr>
        <w:t xml:space="preserve">1.1</w:t>
      </w:r>
      <w:r>
        <w:tab/>
      </w:r>
      <w:r>
        <w:t xml:space="preserve">Answering RQ1: What do people want in</w:t>
      </w:r>
      <w:r>
        <w:t xml:space="preserve"> </w:t>
      </w:r>
      <w:r>
        <w:rPr>
          <w:iCs/>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Cs/>
          <w:i/>
        </w:rPr>
        <w:t xml:space="preserve">direct</w:t>
      </w:r>
      <w:r>
        <w:t xml:space="preserve"> </w:t>
      </w:r>
      <w:r>
        <w:t xml:space="preserve">data relations. All data about individuals needs to be:</w:t>
      </w:r>
    </w:p>
    <w:p>
      <w:pPr>
        <w:numPr>
          <w:ilvl w:val="0"/>
          <w:numId w:val="1003"/>
        </w:numPr>
        <w:pStyle w:val="Compact"/>
      </w:pPr>
      <w:r>
        <w:rPr>
          <w:iCs/>
          <w:i/>
        </w:rPr>
        <w:t xml:space="preserve">Visible</w:t>
      </w:r>
      <w:r>
        <w:t xml:space="preserve">: People need to have knowledge of data about them and an ability to see it and effectively access it;</w:t>
      </w:r>
    </w:p>
    <w:p>
      <w:pPr>
        <w:numPr>
          <w:ilvl w:val="0"/>
          <w:numId w:val="1003"/>
        </w:numPr>
        <w:pStyle w:val="Compact"/>
      </w:pPr>
      <w:r>
        <w:rPr>
          <w:iCs/>
          <w:i/>
        </w:rPr>
        <w:t xml:space="preserve">Understandable</w:t>
      </w:r>
      <w:r>
        <w:t xml:space="preserve">: People need to be able to interpret this data to extract meaningful information from it (and about it), including through visualisations and summaries; and</w:t>
      </w:r>
    </w:p>
    <w:p>
      <w:pPr>
        <w:numPr>
          <w:ilvl w:val="0"/>
          <w:numId w:val="1003"/>
        </w:numPr>
        <w:pStyle w:val="Compact"/>
      </w:pPr>
      <w:r>
        <w:rPr>
          <w:iCs/>
          <w:i/>
        </w:rPr>
        <w:t xml:space="preserve">Useable</w:t>
      </w:r>
      <w:r>
        <w:t xml:space="preserve">: People need to be able to act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want-d1"/>
    <w:p>
      <w:pPr>
        <w:pStyle w:val="Heading3"/>
      </w:pPr>
      <w:r>
        <w:rPr>
          <w:rStyle w:val="SectionNumber"/>
        </w:rPr>
        <w:t xml:space="preserve">1.1.1</w:t>
      </w:r>
      <w:r>
        <w:tab/>
      </w:r>
      <w:r>
        <w:t xml:space="preserve">Visible Data</w:t>
      </w:r>
    </w:p>
    <w:p>
      <w:pPr>
        <w:pStyle w:val="FirstParagraph"/>
      </w:pPr>
      <w:r>
        <w:rPr>
          <w:bCs/>
          <w:b/>
        </w:rPr>
        <w:t xml:space="preserve">Data matters to every individual now, in a way that previously it did not.</w:t>
      </w:r>
      <w:r>
        <w:t xml:space="preserve"> </w:t>
      </w:r>
      <w:r>
        <w:t xml:space="preserve">As described in</w:t>
      </w:r>
      <w:r>
        <w:t xml:space="preserve"> </w:t>
      </w:r>
      <w:hyperlink w:anchor="X2fecb37588747cdb8227230edc41ff2ca6557e1">
        <w:r>
          <w:rPr>
            <w:rStyle w:val="Hyperlink"/>
          </w:rPr>
          <w:t xml:space="preserve">2.1.2</w:t>
        </w:r>
      </w:hyperlink>
      <w:r>
        <w:t xml:space="preserve">, the role of data in our everyday lives has changed; data has become a material used by businesses to shape our world. In</w:t>
      </w:r>
      <w:r>
        <w:t xml:space="preserve"> </w:t>
      </w:r>
      <w:hyperlink w:anchor="X3847c48faeb5e255ebcdd1a4762a53f7163d7f0">
        <w:r>
          <w:rPr>
            <w:rStyle w:val="Hyperlink"/>
          </w:rPr>
          <w:t xml:space="preserve">2.2.2</w:t>
        </w:r>
      </w:hyperlink>
      <w:r>
        <w:t xml:space="preserve"> </w:t>
      </w:r>
      <w:r>
        <w:t xml:space="preserve">and</w:t>
      </w:r>
      <w:r>
        <w:t xml:space="preserve"> </w:t>
      </w:r>
      <w:hyperlink w:anchor="X7ac56ccfa5b6db61c32cb48c2dda8cc64d242cb">
        <w:r>
          <w:rPr>
            <w:rStyle w:val="Hyperlink"/>
          </w:rPr>
          <w:t xml:space="preserve">2.2.4</w:t>
        </w:r>
      </w:hyperlink>
      <w:r>
        <w:t xml:space="preserve"> </w:t>
      </w:r>
      <w:r>
        <w:t xml:space="preserve">I outlined how this change has practically manifested itself in people’s lives; where once data was viewed as</w:t>
      </w:r>
      <w:r>
        <w:t xml:space="preserve"> </w:t>
      </w:r>
      <w:r>
        <w:rPr>
          <w:iCs/>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hyperlink w:anchor="X7d362c1e174c59583bc075f9c4f790b095f0935">
        <w:r>
          <w:rPr>
            <w:rStyle w:val="Hyperlink"/>
          </w:rPr>
          <w:t xml:space="preserve">4.3.3</w:t>
        </w:r>
      </w:hyperlink>
      <w:r>
        <w:t xml:space="preserve">] and the private sector [</w:t>
      </w:r>
      <w:hyperlink w:anchor="X8ff615c03fc2afb91384f9ef05bab6acdbbe9e9">
        <w:r>
          <w:rPr>
            <w:rStyle w:val="Hyperlink"/>
          </w:rPr>
          <w:t xml:space="preserve">5.4.3</w:t>
        </w:r>
      </w:hyperlink>
      <w:r>
        <w:t xml:space="preserve">] has shown. In both domains, people do not have awareness, let alone access, to the extent of data that exists about them. In</w:t>
      </w:r>
      <w:r>
        <w:t xml:space="preserve"> </w:t>
      </w:r>
      <w:hyperlink w:anchor="X38f625be2c0c748970e0e254c020e238dedd97d">
        <w:r>
          <w:rPr>
            <w:rStyle w:val="Hyperlink"/>
          </w:rPr>
          <w:t xml:space="preserve">5.4.4</w:t>
        </w:r>
      </w:hyperlink>
      <w:r>
        <w:t xml:space="preserve"> </w:t>
      </w:r>
      <w:r>
        <w:t xml:space="preserve">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Cs/>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w:t>
      </w:r>
      <w:hyperlink w:anchor="X6442478f1f952d62cb89e1b634d5937a7d2863f">
        <w:r>
          <w:rPr>
            <w:rStyle w:val="Hyperlink"/>
          </w:rPr>
          <w:t xml:space="preserve">4.1.2</w:t>
        </w:r>
      </w:hyperlink>
      <w:r>
        <w:t xml:space="preserve">], or the contact details, payment information and preferences provided when individuals register with commercial service providers such as insurance providers or streaming media platforms [</w:t>
      </w:r>
      <w:hyperlink w:anchor="X38f625be2c0c748970e0e254c020e238dedd97d">
        <w:r>
          <w:rPr>
            <w:rStyle w:val="Hyperlink"/>
          </w:rPr>
          <w:t xml:space="preserve">5.4.4</w:t>
        </w:r>
      </w:hyperlink>
      <w:r>
        <w:t xml:space="preserve">],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w:t>
      </w:r>
      <w:hyperlink w:anchor="X8cbcb7cef9521c96c80a1a730e6569d6e1dfa4d">
        <w:r>
          <w:rPr>
            <w:rStyle w:val="Hyperlink"/>
          </w:rPr>
          <w:t xml:space="preserve">4.2.3</w:t>
        </w:r>
      </w:hyperlink>
      <w:r>
        <w:t xml:space="preserve">;</w:t>
      </w:r>
      <w:r>
        <w:t xml:space="preserve"> </w:t>
      </w:r>
      <w:hyperlink w:anchor="X2924b50fa0eb4c179281a1a665ffae8de515714">
        <w:r>
          <w:rPr>
            <w:rStyle w:val="Hyperlink"/>
          </w:rPr>
          <w:t xml:space="preserve">4.2.6</w:t>
        </w:r>
      </w:hyperlink>
      <w:r>
        <w:t xml:space="preserve">], or commercial providers using trackers to gain more insight about users that they can exploit for advertising</w:t>
      </w:r>
      <w:r>
        <w:t xml:space="preserve"> </w:t>
      </w:r>
      <w:r>
        <w:t xml:space="preserve">(</w:t>
      </w:r>
      <w:hyperlink w:anchor="ref-binns2022">
        <w:r>
          <w:rPr>
            <w:rStyle w:val="Hyperlink"/>
          </w:rPr>
          <w:t xml:space="preserve">Binns, 2022</w:t>
        </w:r>
      </w:hyperlink>
      <w:r>
        <w:t xml:space="preserve">)</w:t>
      </w:r>
      <w:r>
        <w:t xml:space="preserve">. In both domains, this sacrifice is seen to have an emotional effect on people, ranging from curiosity to fear and distrust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2902b4cdc2a826d64840aa586dae8f5626e82e7">
        <w:r>
          <w:rPr>
            <w:rStyle w:val="Hyperlink"/>
          </w:rPr>
          <w:t xml:space="preserve">5.4.4</w:t>
        </w:r>
      </w:hyperlink>
      <w:r>
        <w:t xml:space="preserve">]. Such fears are well-founded, with mistreatment through incorrect data known in both settings [</w:t>
      </w:r>
      <w:hyperlink w:anchor="Xb367cc24dc19d310f9af1157021067beef77465">
        <w:r>
          <w:rPr>
            <w:rStyle w:val="Hyperlink"/>
          </w:rPr>
          <w:t xml:space="preserve">4.2.2</w:t>
        </w:r>
      </w:hyperlink>
      <w:r>
        <w:t xml:space="preserve">;</w:t>
      </w:r>
      <w:hyperlink w:anchor="X38f625be2c0c748970e0e254c020e238dedd97d">
        <w:r>
          <w:rPr>
            <w:rStyle w:val="Hyperlink"/>
          </w:rPr>
          <w:t xml:space="preserve">5.4.4</w:t>
        </w:r>
      </w:hyperlink>
      <w:r>
        <w:t xml:space="preserve">]. While data holders almost certainly do not</w:t>
      </w:r>
      <w:r>
        <w:t xml:space="preserve"> </w:t>
      </w:r>
      <w:r>
        <w:rPr>
          <w:iCs/>
          <w:i/>
        </w:rPr>
        <w:t xml:space="preserve">intend</w:t>
      </w:r>
      <w:r>
        <w:t xml:space="preserve"> </w:t>
      </w:r>
      <w:r>
        <w:t xml:space="preserve">to cause harm, data</w:t>
      </w:r>
      <w:r>
        <w:t xml:space="preserve"> </w:t>
      </w:r>
      <w:r>
        <w:rPr>
          <w:iCs/>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w:t>
      </w:r>
      <w:r>
        <w:t xml:space="preserve"> </w:t>
      </w:r>
      <w:hyperlink w:anchor="X38f625be2c0c748970e0e254c020e238dedd97d">
        <w:r>
          <w:rPr>
            <w:rStyle w:val="Hyperlink"/>
          </w:rPr>
          <w:t xml:space="preserve">5.4.4</w:t>
        </w:r>
      </w:hyperlink>
      <w:r>
        <w:t xml:space="preserve">)</w:t>
      </w:r>
      <w:r>
        <w:t xml:space="preserve"> </w:t>
      </w:r>
      <w:r>
        <w:t xml:space="preserve">(</w:t>
      </w:r>
      <w:hyperlink w:anchor="ref-kroger2021">
        <w:r>
          <w:rPr>
            <w:rStyle w:val="Hyperlink"/>
          </w:rPr>
          <w:t xml:space="preserve">Kröger, Miceli and Müller, 2021</w:t>
        </w:r>
      </w:hyperlink>
      <w:r>
        <w:t xml:space="preserve">;</w:t>
      </w:r>
      <w:r>
        <w:t xml:space="preserve"> </w:t>
      </w:r>
      <w:hyperlink w:anchor="ref-strohmayer2021">
        <w:r>
          <w:rPr>
            <w:rStyle w:val="Hyperlink"/>
          </w:rPr>
          <w:t xml:space="preserve">Strohmayer</w:t>
        </w:r>
        <w:r>
          <w:rPr>
            <w:rStyle w:val="Hyperlink"/>
          </w:rPr>
          <w:t xml:space="preserve"> </w:t>
        </w:r>
        <w:r>
          <w:rPr>
            <w:rStyle w:val="Hyperlink"/>
            <w:iCs/>
            <w:i/>
          </w:rPr>
          <w:t xml:space="preserve">et al.</w:t>
        </w:r>
        <w:r>
          <w:rPr>
            <w:rStyle w:val="Hyperlink"/>
          </w:rPr>
          <w:t xml:space="preserve">, 2021</w:t>
        </w:r>
      </w:hyperlink>
      <w:r>
        <w:t xml:space="preserve">)</w:t>
      </w:r>
      <w:r>
        <w:t xml:space="preserve">. In providers’ eyes, people are now represented through data [</w:t>
      </w:r>
      <w:hyperlink w:anchor="X2fecb37588747cdb8227230edc41ff2ca6557e1">
        <w:r>
          <w:rPr>
            <w:rStyle w:val="Hyperlink"/>
          </w:rPr>
          <w:t xml:space="preserve">2.1.2</w:t>
        </w:r>
      </w:hyperlink>
      <w:r>
        <w:t xml:space="preserve">]. Despite the fact that data is never truly objective</w:t>
      </w:r>
      <w:r>
        <w:t xml:space="preserve"> </w:t>
      </w:r>
      <w:r>
        <w:t xml:space="preserve">(</w:t>
      </w:r>
      <w:hyperlink w:anchor="ref-gitelman2013">
        <w:r>
          <w:rPr>
            <w:rStyle w:val="Hyperlink"/>
          </w:rPr>
          <w:t xml:space="preserve">Gitelman, 2013</w:t>
        </w:r>
      </w:hyperlink>
      <w:r>
        <w:t xml:space="preserve">;</w:t>
      </w:r>
      <w:r>
        <w:t xml:space="preserve"> </w:t>
      </w:r>
      <w:hyperlink w:anchor="ref-taylor2015">
        <w:r>
          <w:rPr>
            <w:rStyle w:val="Hyperlink"/>
          </w:rPr>
          <w:t xml:space="preserve">Taylor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and a recognition (at least on the public sector side) that a data record can never tell the full story [</w:t>
      </w:r>
      <w:hyperlink w:anchor="X2924b50fa0eb4c179281a1a665ffae8de515714">
        <w:r>
          <w:rPr>
            <w:rStyle w:val="Hyperlink"/>
          </w:rPr>
          <w:t xml:space="preserve">4.2.6</w:t>
        </w:r>
      </w:hyperlink>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the data record becomes the object to be administered, rather than the individual</w:t>
      </w:r>
      <w:r>
        <w:t xml:space="preserve"> </w:t>
      </w:r>
      <w:r>
        <w:t xml:space="preserve">(</w:t>
      </w:r>
      <w:hyperlink w:anchor="ref-cornford2013">
        <w:r>
          <w:rPr>
            <w:rStyle w:val="Hyperlink"/>
          </w:rPr>
          <w:t xml:space="preserve">Cornford, Baines and Wilson, 2013</w:t>
        </w:r>
      </w:hyperlink>
      <w:r>
        <w:t xml:space="preserve">;</w:t>
      </w:r>
      <w:r>
        <w:t xml:space="preserve"> </w:t>
      </w:r>
      <w:hyperlink w:anchor="ref-zuboff2019">
        <w:r>
          <w:rPr>
            <w:rStyle w:val="Hyperlink"/>
          </w:rPr>
          <w:t xml:space="preserve">Zuboff, 2019</w:t>
        </w:r>
      </w:hyperlink>
      <w:r>
        <w:t xml:space="preserve">)</w:t>
      </w:r>
      <w:r>
        <w:t xml:space="preserve">, and this in itself creates risk - through mishandling or inaccuracy. Given the data record is seen as a source of truth [</w:t>
      </w:r>
      <w:hyperlink w:anchor="X6442478f1f952d62cb89e1b634d5937a7d2863f">
        <w:r>
          <w:rPr>
            <w:rStyle w:val="Hyperlink"/>
          </w:rPr>
          <w:t xml:space="preserve">4.1.2</w:t>
        </w:r>
      </w:hyperlink>
      <w:r>
        <w:t xml:space="preserve">;</w:t>
      </w:r>
      <w:r>
        <w:t xml:space="preserve"> </w:t>
      </w:r>
      <w:hyperlink w:anchor="X41dd5411c3ac1e32b00fee73de26a508f888c5b">
        <w:r>
          <w:rPr>
            <w:rStyle w:val="Hyperlink"/>
          </w:rPr>
          <w:t xml:space="preserve">5.5.3</w:t>
        </w:r>
      </w:hyperlink>
      <w:r>
        <w:t xml:space="preserve">], it is vital that such information remains</w:t>
      </w:r>
      <w:r>
        <w:t xml:space="preserve"> </w:t>
      </w:r>
      <w:r>
        <w:rPr>
          <w:iCs/>
          <w:i/>
        </w:rPr>
        <w:t xml:space="preserve">fair</w:t>
      </w:r>
      <w:r>
        <w:t xml:space="preserve">, and</w:t>
      </w:r>
      <w:r>
        <w:t xml:space="preserve"> </w:t>
      </w:r>
      <w:r>
        <w:rPr>
          <w:iCs/>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w:t>
      </w:r>
      <w:hyperlink w:anchor="ref-chang2018">
        <w:r>
          <w:rPr>
            <w:rStyle w:val="Hyperlink"/>
          </w:rPr>
          <w:t xml:space="preserve">Chang, 2018</w:t>
        </w:r>
      </w:hyperlink>
      <w:r>
        <w:t xml:space="preserve">;</w:t>
      </w:r>
      <w:r>
        <w:t xml:space="preserve"> </w:t>
      </w:r>
      <w:hyperlink w:anchor="ref-mcnamee2019">
        <w:r>
          <w:rPr>
            <w:rStyle w:val="Hyperlink"/>
          </w:rPr>
          <w:t xml:space="preserve">McNamee, 2019</w:t>
        </w:r>
      </w:hyperlink>
      <w:r>
        <w:t xml:space="preserve">;</w:t>
      </w:r>
      <w:r>
        <w:t xml:space="preserve"> </w:t>
      </w:r>
      <w:hyperlink w:anchor="ref-zuckerman2021">
        <w:r>
          <w:rPr>
            <w:rStyle w:val="Hyperlink"/>
          </w:rPr>
          <w:t xml:space="preserve">Zuckerman, 2021</w:t>
        </w:r>
      </w:hyperlink>
      <w:r>
        <w:t xml:space="preserve">;</w:t>
      </w:r>
      <w:r>
        <w:t xml:space="preserve"> </w:t>
      </w:r>
      <w:hyperlink w:anchor="ref-avast2022databrokers">
        <w:r>
          <w:rPr>
            <w:rStyle w:val="Hyperlink"/>
          </w:rPr>
          <w:t xml:space="preserve">‘</w:t>
        </w:r>
        <w:r>
          <w:rPr>
            <w:rStyle w:val="Hyperlink"/>
          </w:rPr>
          <w:t xml:space="preserve">Data Brokers: Everything You Need to Know</w:t>
        </w:r>
        <w:r>
          <w:rPr>
            <w:rStyle w:val="Hyperlink"/>
          </w:rPr>
          <w:t xml:space="preserve">’</w:t>
        </w:r>
        <w:r>
          <w:rPr>
            <w:rStyle w:val="Hyperlink"/>
          </w:rPr>
          <w:t xml:space="preserve">, 2022</w:t>
        </w:r>
      </w:hyperlink>
      <w:r>
        <w:t xml:space="preserve">)</w:t>
      </w:r>
      <w:r>
        <w:t xml:space="preserve">. Ensuring fairness and accuracy of held data cannot be verified without individuals’ awareness of data held about them.</w:t>
      </w:r>
    </w:p>
    <w:p>
      <w:pPr>
        <w:pStyle w:val="BodyText"/>
      </w:pPr>
      <w:r>
        <w:rPr>
          <w:bCs/>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w:t>
      </w:r>
      <w:hyperlink w:anchor="ref-luger2013">
        <w:r>
          <w:rPr>
            <w:rStyle w:val="Hyperlink"/>
          </w:rPr>
          <w:t xml:space="preserve">Luger and Rodden, 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w:t>
      </w:r>
      <w:hyperlink w:anchor="Xba1cdcd02c8fe15ffff21ff0cb646a3324830ca">
        <w:r>
          <w:rPr>
            <w:rStyle w:val="Hyperlink"/>
          </w:rPr>
          <w:t xml:space="preserve">4.1.1</w:t>
        </w:r>
      </w:hyperlink>
      <w:r>
        <w:t xml:space="preserve">;</w:t>
      </w:r>
      <w:r>
        <w:t xml:space="preserve"> </w:t>
      </w:r>
      <w:hyperlink w:anchor="X9a7597c10f2e831aaf8a6526fb9a13e25ea680e">
        <w:r>
          <w:rPr>
            <w:rStyle w:val="Hyperlink"/>
          </w:rPr>
          <w:t xml:space="preserve">4.5</w:t>
        </w:r>
      </w:hyperlink>
      <w:r>
        <w:t xml:space="preserve">].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w:t>
      </w:r>
      <w:hyperlink w:anchor="Xb52ada446f84acb5529ace8fe4f25e203a5dddb">
        <w:r>
          <w:rPr>
            <w:rStyle w:val="Hyperlink"/>
          </w:rPr>
          <w:t xml:space="preserve">5.3.2</w:t>
        </w:r>
      </w:hyperlink>
      <w:r>
        <w:t xml:space="preserve">].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Cs/>
          <w:b/>
        </w:rPr>
        <w:t xml:space="preserve">People want to see data which is hidden from them</w:t>
      </w:r>
      <w:r>
        <w:t xml:space="preserve">. In the SILVER project [</w:t>
      </w:r>
      <w:hyperlink w:anchor="Xd1b935e29e3fe3be100369af902a8e47d687d29">
        <w:r>
          <w:rPr>
            <w:rStyle w:val="Hyperlink"/>
          </w:rPr>
          <w:t xml:space="preserve">3.4.1</w:t>
        </w:r>
      </w:hyperlink>
      <w:r>
        <w:t xml:space="preserve">;</w:t>
      </w:r>
      <w:r>
        <w:t xml:space="preserve"> </w:t>
      </w:r>
      <w:hyperlink w:anchor="Xb367cc24dc19d310f9af1157021067beef77465">
        <w:r>
          <w:rPr>
            <w:rStyle w:val="Hyperlink"/>
          </w:rPr>
          <w:t xml:space="preserve">4.2.2</w:t>
        </w:r>
      </w:hyperlink>
      <w:r>
        <w:t xml:space="preserve">], and my prior work with families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and in Case Study One [</w:t>
      </w:r>
      <w:hyperlink w:anchor="X2924b50fa0eb4c179281a1a665ffae8de515714">
        <w:r>
          <w:rPr>
            <w:rStyle w:val="Hyperlink"/>
          </w:rPr>
          <w:t xml:space="preserve">4.2.6</w:t>
        </w:r>
      </w:hyperlink>
      <w:r>
        <w:t xml:space="preserve">;</w:t>
      </w:r>
      <w:r>
        <w:t xml:space="preserve"> </w:t>
      </w:r>
      <w:hyperlink w:anchor="X4bf33bfd9c3793655f2a19fca0ee1ca41e62e6e">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w:t>
      </w:r>
      <w:hyperlink w:anchor="X41dd5411c3ac1e32b00fee73de26a508f888c5b">
        <w:r>
          <w:rPr>
            <w:rStyle w:val="Hyperlink"/>
          </w:rPr>
          <w:t xml:space="preserve">5.5.3</w:t>
        </w:r>
      </w:hyperlink>
      <w:r>
        <w:t xml:space="preserve">].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w:t>
      </w:r>
      <w:hyperlink w:anchor="ref-gdpr2018art13">
        <w:r>
          <w:rPr>
            <w:rStyle w:val="Hyperlink"/>
          </w:rPr>
          <w:t xml:space="preserve">‘</w:t>
        </w:r>
        <w:r>
          <w:rPr>
            <w:rStyle w:val="Hyperlink"/>
          </w:rPr>
          <w:t xml:space="preserve">Article 13: Information to be provided where personal data are collected from the data subject</w:t>
        </w:r>
        <w:r>
          <w:rPr>
            <w:rStyle w:val="Hyperlink"/>
          </w:rPr>
          <w:t xml:space="preserve">’</w:t>
        </w:r>
        <w:r>
          <w:rPr>
            <w:rStyle w:val="Hyperlink"/>
          </w:rPr>
          <w:t xml:space="preserve">, 2020</w:t>
        </w:r>
      </w:hyperlink>
      <w:r>
        <w:t xml:space="preserve">)</w:t>
      </w:r>
      <w:r>
        <w:t xml:space="preserve"> </w:t>
      </w:r>
      <w:r>
        <w:t xml:space="preserve">states that, at least in the case of automated decision making, people are entitled to meaningful information about the significance of the processing of their data, yet such explanations were typically not given to participants of Case Study Two.</w:t>
      </w:r>
    </w:p>
    <w:p>
      <w:pPr>
        <w:pStyle w:val="BodyText"/>
      </w:pPr>
      <w:r>
        <w:rPr>
          <w:bCs/>
          <w:b/>
        </w:rPr>
        <w:t xml:space="preserve">Effective access to held data is required for visibility</w:t>
      </w:r>
      <w:r>
        <w:t xml:space="preserve">. Having gained awareness of data held and of the significance of it, people want that to be accompanied by meaningful access to the data itself. In Case Study One [</w:t>
      </w:r>
      <w:hyperlink w:anchor="X9eceb9e9c217634ec9f895ac06d6365d53b4cb7">
        <w:r>
          <w:rPr>
            <w:rStyle w:val="Hyperlink"/>
          </w:rPr>
          <w:t xml:space="preserve">4.3.2</w:t>
        </w:r>
      </w:hyperlink>
      <w:r>
        <w:t xml:space="preserve">;</w:t>
      </w:r>
      <w:r>
        <w:t xml:space="preserve"> </w:t>
      </w:r>
      <w:hyperlink w:anchor="X2ad50ca4cbd63a3f83ddbd28315b55b52f600fb">
        <w:r>
          <w:rPr>
            <w:rStyle w:val="Hyperlink"/>
          </w:rPr>
          <w:t xml:space="preserve">4.4.2</w:t>
        </w:r>
      </w:hyperlink>
      <w:r>
        <w:t xml:space="preserve">],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w:t>
      </w:r>
      <w:hyperlink w:anchor="ref-gurstein2011">
        <w:r>
          <w:rPr>
            <w:rStyle w:val="Hyperlink"/>
          </w:rPr>
          <w:t xml:space="preserve">Gurstein, 2011</w:t>
        </w:r>
      </w:hyperlink>
      <w:r>
        <w:t xml:space="preserve">)</w:t>
      </w:r>
      <w:r>
        <w:t xml:space="preserve">, which was detailed in</w:t>
      </w:r>
      <w:r>
        <w:t xml:space="preserve"> </w:t>
      </w:r>
      <w:hyperlink w:anchor="Xbff12eeb621c3f4c18ae1d2809b3860778910f4">
        <w:r>
          <w:rPr>
            <w:rStyle w:val="Hyperlink"/>
          </w:rPr>
          <w:t xml:space="preserve">2.1.4</w:t>
        </w:r>
      </w:hyperlink>
      <w:r>
        <w:t xml:space="preserve">. Four aspects in particular are relevant here: the content and formatting of the data (which should support different levels of linguistic and computer literacy), the capabilities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w:t>
      </w:r>
      <w:hyperlink w:anchor="X1dbeb22450733a0c08e419e0b9d08ee870168d8">
        <w:r>
          <w:rPr>
            <w:rStyle w:val="Hyperlink"/>
          </w:rPr>
          <w:t xml:space="preserve">5.4.3</w:t>
        </w:r>
      </w:hyperlink>
      <w:r>
        <w:t xml:space="preserve">], or that they lacked the skill to properly interpret the data [</w:t>
      </w:r>
      <w:hyperlink w:anchor="Xb44f5ba5716f847f201fcf0acc0e7b504876f28">
        <w:r>
          <w:rPr>
            <w:rStyle w:val="Hyperlink"/>
          </w:rPr>
          <w:t xml:space="preserve">5.4.3</w:t>
        </w:r>
      </w:hyperlink>
      <w:r>
        <w:t xml:space="preserve">]. Effective access and interpreting data goes beyond visibility of data and includes understandability, which is explored in the next section.</w:t>
      </w:r>
    </w:p>
    <w:p>
      <w:pPr>
        <w:pStyle w:val="BodyText"/>
      </w:pPr>
      <w:r>
        <w:rPr>
          <w:bCs/>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Cs/>
          <w:i/>
        </w:rPr>
        <w:t xml:space="preserve">negotiability</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w:t>
      </w:r>
      <w:hyperlink w:anchor="ref-gurstein2011">
        <w:r>
          <w:rPr>
            <w:rStyle w:val="Hyperlink"/>
          </w:rPr>
          <w:t xml:space="preserve">Gurstein, 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Cs/>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w:t>
      </w:r>
      <w:hyperlink w:anchor="X2285808197953ac457f39dc4e219915ef5b5145">
        <w:r>
          <w:rPr>
            <w:rStyle w:val="Hyperlink"/>
          </w:rPr>
          <w:t xml:space="preserve">4.3.2</w:t>
        </w:r>
      </w:hyperlink>
      <w:r>
        <w:t xml:space="preserve">].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w:t>
      </w:r>
      <w:hyperlink w:anchor="X765544707e63d114a5f98236a33a1ab147f236f">
        <w:r>
          <w:rPr>
            <w:rStyle w:val="Hyperlink"/>
          </w:rPr>
          <w:t xml:space="preserve">4.3.3</w:t>
        </w:r>
      </w:hyperlink>
      <w:r>
        <w:t xml:space="preserve">],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w:t>
      </w:r>
      <w:r>
        <w:t xml:space="preserve"> </w:t>
      </w:r>
      <w:hyperlink w:anchor="X18b35402f3fbcb74b8e5bbc8aa2c0e3e784e473">
        <w:r>
          <w:rPr>
            <w:rStyle w:val="Hyperlink"/>
          </w:rPr>
          <w:t xml:space="preserve">5.5.1</w:t>
        </w:r>
      </w:hyperlink>
      <w:r>
        <w:t xml:space="preserve">, that they should offer ongoing access rather than the one-off delivery of data packages.</w:t>
      </w:r>
    </w:p>
    <w:p>
      <w:pPr>
        <w:pStyle w:val="BodyText"/>
      </w:pPr>
      <w:r>
        <w:rPr>
          <w:bCs/>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w:t>
      </w:r>
      <w:hyperlink w:anchor="X8d5a662eacbe04476712d7d613e0eac674cbffc">
        <w:r>
          <w:rPr>
            <w:rStyle w:val="Hyperlink"/>
          </w:rPr>
          <w:t xml:space="preserve">5.4.2</w:t>
        </w:r>
      </w:hyperlink>
      <w:r>
        <w:t xml:space="preserve">], and most companies offered negligible follow-up support after data had been delivered [</w:t>
      </w:r>
      <w:hyperlink w:anchor="Xc89f60f46ccf047183c71c1efe28ba794cbc8f8">
        <w:r>
          <w:rPr>
            <w:rStyle w:val="Hyperlink"/>
          </w:rPr>
          <w:t xml:space="preserve">5.3.3</w:t>
        </w:r>
      </w:hyperlink>
      <w:r>
        <w:t xml:space="preserve">]. Further investigations into data access conducted as part of the</w:t>
      </w:r>
      <w:r>
        <w:t xml:space="preserve"> </w:t>
      </w:r>
      <w:hyperlink w:anchor="ari-digipower">
        <w:r>
          <w:rPr>
            <w:rStyle w:val="Hyperlink"/>
            <w:iCs/>
            <w:i/>
          </w:rPr>
          <w:t xml:space="preserve">digipower</w:t>
        </w:r>
        <w:r>
          <w:rPr>
            <w:rStyle w:val="Hyperlink"/>
          </w:rPr>
          <w:t xml:space="preserve"> </w:t>
        </w:r>
        <w:r>
          <w:rPr>
            <w:rStyle w:val="Hyperlink"/>
          </w:rPr>
          <w:t xml:space="preserve">investigation</w:t>
        </w:r>
      </w:hyperlink>
      <w:r>
        <w:t xml:space="preserve"> </w:t>
      </w:r>
      <w:r>
        <w:t xml:space="preserve">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w:t>
      </w:r>
      <w:hyperlink w:anchor="ref-gurstein2011">
        <w:r>
          <w:rPr>
            <w:rStyle w:val="Hyperlink"/>
          </w:rPr>
          <w:t xml:space="preserve">Gurstein, 2011</w:t>
        </w:r>
      </w:hyperlink>
      <w:r>
        <w:t xml:space="preserve">)</w:t>
      </w:r>
      <w:r>
        <w:t xml:space="preserve">: people require support and training to make use of their data. Furthermore, given the insufficient breadth of returned data from companies [</w:t>
      </w:r>
      <w:hyperlink w:anchor="Xc89f60f46ccf047183c71c1efe28ba794cbc8f8">
        <w:r>
          <w:rPr>
            <w:rStyle w:val="Hyperlink"/>
          </w:rPr>
          <w:t xml:space="preserve">5.3.3</w:t>
        </w:r>
      </w:hyperlink>
      <w:r>
        <w:t xml:space="preserve">;</w:t>
      </w:r>
      <w:r>
        <w:t xml:space="preserve"> </w:t>
      </w:r>
      <w:hyperlink w:anchor="Xf82fbb2dc60742710804957969df9552f188feb">
        <w:r>
          <w:rPr>
            <w:rStyle w:val="Hyperlink"/>
          </w:rPr>
          <w:t xml:space="preserve">5.4.2</w:t>
        </w:r>
      </w:hyperlink>
      <w:r>
        <w:t xml:space="preserve">] and near-total lack of access to data on the public sector side [</w:t>
      </w:r>
      <w:hyperlink w:anchor="X69499d105ae7f22db5523e1bc379bd7b19f73f7">
        <w:r>
          <w:rPr>
            <w:rStyle w:val="Hyperlink"/>
          </w:rPr>
          <w:t xml:space="preserve">4.3.2</w:t>
        </w:r>
      </w:hyperlink>
      <w:r>
        <w:t xml:space="preserve">;</w:t>
      </w:r>
      <w:hyperlink w:anchor="X2285808197953ac457f39dc4e219915ef5b5145">
        <w:r>
          <w:rPr>
            <w:rStyle w:val="Hyperlink"/>
          </w:rPr>
          <w:t xml:space="preserve">4.3.2</w:t>
        </w:r>
      </w:hyperlink>
      <w:r>
        <w:t xml:space="preserve">], it is clear that external governance</w:t>
      </w:r>
      <w:r>
        <w:t xml:space="preserve"> </w:t>
      </w:r>
      <w:r>
        <w:t xml:space="preserve">(</w:t>
      </w:r>
      <w:hyperlink w:anchor="ref-gurstein2011">
        <w:r>
          <w:rPr>
            <w:rStyle w:val="Hyperlink"/>
          </w:rPr>
          <w:t xml:space="preserve">Gurstein, 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w:t>
      </w:r>
      <w:hyperlink w:anchor="Xf82fbb2dc60742710804957969df9552f188feb">
        <w:r>
          <w:rPr>
            <w:rStyle w:val="Hyperlink"/>
          </w:rPr>
          <w:t xml:space="preserve">5.4.2</w:t>
        </w:r>
      </w:hyperlink>
      <w:r>
        <w:t xml:space="preserve">;</w:t>
      </w:r>
      <w:r>
        <w:t xml:space="preserve"> </w:t>
      </w:r>
      <w:hyperlink w:anchor="X18b35402f3fbcb74b8e5bbc8aa2c0e3e784e473">
        <w:r>
          <w:rPr>
            <w:rStyle w:val="Hyperlink"/>
          </w:rPr>
          <w:t xml:space="preserve">5.5.1</w:t>
        </w:r>
      </w:hyperlink>
      <w:r>
        <w:t xml:space="preserve">], and while small improvements can be achieved through individual action, people generally lack the means to effectively</w:t>
      </w:r>
      <w:r>
        <w:t xml:space="preserve"> </w:t>
      </w:r>
      <w:r>
        <w:rPr>
          <w:iCs/>
          <w:i/>
        </w:rPr>
        <w:t xml:space="preserve">demand</w:t>
      </w:r>
      <w:r>
        <w:t xml:space="preserve"> </w:t>
      </w:r>
      <w:r>
        <w:t xml:space="preserve">the increased visibility required [</w:t>
      </w:r>
      <w:hyperlink w:anchor="X41dd5411c3ac1e32b00fee73de26a508f888c5b">
        <w:r>
          <w:rPr>
            <w:rStyle w:val="Hyperlink"/>
          </w:rPr>
          <w:t xml:space="preserve">5.5.3</w:t>
        </w:r>
      </w:hyperlink>
      <w:r>
        <w:t xml:space="preserve">]. The impact of this lack of governance is most keenly felt in the PDE/MyData space [</w:t>
      </w:r>
      <w:hyperlink w:anchor="X7b06b2486a051055e43ae1127e87196d505e2f3">
        <w:r>
          <w:rPr>
            <w:rStyle w:val="Hyperlink"/>
          </w:rPr>
          <w:t xml:space="preserve">2.3.4</w:t>
        </w:r>
      </w:hyperlink>
      <w:r>
        <w:t xml:space="preserve">],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Cs/>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Case Study One were caused significant worries by not being able to see their data. People do not want to be treated like</w:t>
      </w:r>
      <w:r>
        <w:t xml:space="preserve"> </w:t>
      </w:r>
      <w:r>
        <w:rPr>
          <w:iCs/>
          <w:i/>
        </w:rPr>
        <w:t xml:space="preserve">subjects</w:t>
      </w:r>
      <w:r>
        <w:t xml:space="preserve"> </w:t>
      </w:r>
      <w:r>
        <w:t xml:space="preserve">(in either sense of one being subjugated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w:t>
      </w:r>
      <w:hyperlink w:anchor="X8cbcb7cef9521c96c80a1a730e6569d6e1dfa4d">
        <w:r>
          <w:rPr>
            <w:rStyle w:val="Hyperlink"/>
          </w:rPr>
          <w:t xml:space="preserve">4.2.3</w:t>
        </w:r>
      </w:hyperlink>
      <w:r>
        <w:t xml:space="preserve">;</w:t>
      </w:r>
      <w:r>
        <w:t xml:space="preserve"> </w:t>
      </w:r>
      <w:hyperlink w:anchor="Xbe70c6c3add1b71d0882d65bd5b5f009675e11a">
        <w:r>
          <w:rPr>
            <w:rStyle w:val="Hyperlink"/>
          </w:rPr>
          <w:t xml:space="preserve">4.3.4</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w:t>
      </w:r>
      <w:hyperlink w:anchor="X9902a1eb94ef3aa68394787a4c511390162b100">
        <w:r>
          <w:rPr>
            <w:rStyle w:val="Hyperlink"/>
          </w:rPr>
          <w:t xml:space="preserve">4.3.4</w:t>
        </w:r>
      </w:hyperlink>
      <w:r>
        <w:t xml:space="preserve">]. This led in some cases to withholding of information or distrust of support workers, harming the effectiveness of a relationship that is designed to empower [</w:t>
      </w:r>
      <w:hyperlink w:anchor="X328e55f0b8c991dca9b1bed7c3b0763f63cd1bf">
        <w:r>
          <w:rPr>
            <w:rStyle w:val="Hyperlink"/>
          </w:rPr>
          <w:t xml:space="preserve">4.4.1</w:t>
        </w:r>
      </w:hyperlink>
      <w:r>
        <w:t xml:space="preserve">]. In that same section (and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7</w:t>
        </w:r>
      </w:hyperlink>
      <w:r>
        <w:t xml:space="preserve">)</w:t>
      </w:r>
      <w:r>
        <w:t xml:space="preserve">)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w:t>
      </w:r>
      <w:hyperlink w:anchor="table-5.4">
        <w:r>
          <w:rPr>
            <w:rStyle w:val="Hyperlink"/>
          </w:rPr>
          <w:t xml:space="preserve">Table 5.4</w:t>
        </w:r>
      </w:hyperlink>
      <w:r>
        <w:t xml:space="preserve">,</w:t>
      </w:r>
      <w:r>
        <w:t xml:space="preserve"> </w:t>
      </w:r>
      <w:hyperlink w:anchor="Xc89f60f46ccf047183c71c1efe28ba794cbc8f8">
        <w:r>
          <w:rPr>
            <w:rStyle w:val="Hyperlink"/>
          </w:rPr>
          <w:t xml:space="preserve">5.3.3</w:t>
        </w:r>
      </w:hyperlink>
      <w:r>
        <w:t xml:space="preserve">], and concerns over data being held out of their sight for long periods of time [</w:t>
      </w:r>
      <w:hyperlink w:anchor="X8ff615c03fc2afb91384f9ef05bab6acdbbe9e9">
        <w:r>
          <w:rPr>
            <w:rStyle w:val="Hyperlink"/>
          </w:rPr>
          <w:t xml:space="preserve">5.4.3</w:t>
        </w:r>
      </w:hyperlink>
      <w:r>
        <w:t xml:space="preserve">] as well as similar feelings of resignation or lack of choice [</w:t>
      </w:r>
      <w:hyperlink w:anchor="X38f625be2c0c748970e0e254c020e238dedd97d">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Denying access to held data was seen as a key source of holding power over individuals [</w:t>
      </w:r>
      <w:hyperlink w:anchor="X38f625be2c0c748970e0e254c020e238dedd97d">
        <w:r>
          <w:rPr>
            <w:rStyle w:val="Hyperlink"/>
          </w:rPr>
          <w:t xml:space="preserve">5.4.4</w:t>
        </w:r>
      </w:hyperlink>
      <w:r>
        <w:t xml:space="preserve">],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r>
        <w:t xml:space="preserve"> </w:t>
      </w:r>
      <w:r>
        <w:t xml:space="preserve">Larsson (</w:t>
      </w:r>
      <w:hyperlink w:anchor="ref-larsson2018">
        <w:r>
          <w:rPr>
            <w:rStyle w:val="Hyperlink"/>
          </w:rPr>
          <w:t xml:space="preserve">2018</w:t>
        </w:r>
      </w:hyperlink>
      <w:r>
        <w:t xml:space="preserve">)</w:t>
      </w:r>
      <w:r>
        <w:t xml:space="preserve">]. It is an inherent consequence of representing people through data and then using that data to make decisions [</w:t>
      </w:r>
      <w:hyperlink w:anchor="X2fecb37588747cdb8227230edc41ff2ca6557e1">
        <w:r>
          <w:rPr>
            <w:rStyle w:val="Hyperlink"/>
          </w:rPr>
          <w:t xml:space="preserve">2.1.2</w:t>
        </w:r>
      </w:hyperlink>
      <w:r>
        <w:t xml:space="preserve">;</w:t>
      </w:r>
      <w:r>
        <w:t xml:space="preserve"> </w:t>
      </w:r>
      <w:r>
        <w:t xml:space="preserve">Cornford, Baines and Wilson (</w:t>
      </w:r>
      <w:hyperlink w:anchor="ref-cornford2013">
        <w:r>
          <w:rPr>
            <w:rStyle w:val="Hyperlink"/>
          </w:rPr>
          <w:t xml:space="preserve">2013</w:t>
        </w:r>
      </w:hyperlink>
      <w:r>
        <w:t xml:space="preserve">)</w:t>
      </w:r>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individuals become sidelined and excluded [</w:t>
      </w:r>
      <w:hyperlink w:anchor="Xcfe54f27289e2e996bf2e77df14202ff94111f9">
        <w:r>
          <w:rPr>
            <w:rStyle w:val="Hyperlink"/>
          </w:rPr>
          <w:t xml:space="preserve">2.3.3</w:t>
        </w:r>
      </w:hyperlink>
      <w:r>
        <w:t xml:space="preserve">;</w:t>
      </w:r>
      <w:r>
        <w:t xml:space="preserve"> </w:t>
      </w:r>
      <w:r>
        <w:t xml:space="preserve">Crabtree and Mortier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want-d2"/>
    <w:p>
      <w:pPr>
        <w:pStyle w:val="Heading3"/>
      </w:pPr>
      <w:r>
        <w:rPr>
          <w:rStyle w:val="SectionNumber"/>
        </w:rPr>
        <w:t xml:space="preserve">1.1.2</w:t>
      </w:r>
      <w:r>
        <w:tab/>
      </w:r>
      <w:r>
        <w:t xml:space="preserve">Understandable Data</w:t>
      </w:r>
    </w:p>
    <w:p>
      <w:pPr>
        <w:pStyle w:val="FirstParagraph"/>
      </w:pPr>
      <w:r>
        <w:rPr>
          <w:bCs/>
          <w:b/>
        </w:rPr>
        <w:t xml:space="preserve">Visibility and access to see data is not enough, people need to be able to interpret it</w:t>
      </w:r>
      <w:r>
        <w:t xml:space="preserve">. Data is only valuable in so much as it enables us to access the information which it encodes [</w:t>
      </w:r>
      <w:hyperlink w:anchor="X24fa45ca77f079cc359c97272276969e6aead2c">
        <w:r>
          <w:rPr>
            <w:rStyle w:val="Hyperlink"/>
          </w:rPr>
          <w:t xml:space="preserve">2.1.1</w:t>
        </w:r>
      </w:hyperlink>
      <w:r>
        <w:t xml:space="preserve">]. People need to be able to make sense of it. When humans look at data, we inevitably attempt to interpret it to see what it can tell them; in Early Help, support workers try to learn more about people’s lives by examining data about them [</w:t>
      </w:r>
      <w:hyperlink w:anchor="X428507b6ab4c8ca6a596fb83e9e83478eefde34">
        <w:r>
          <w:rPr>
            <w:rStyle w:val="Hyperlink"/>
          </w:rPr>
          <w:t xml:space="preserve">4.2.3</w:t>
        </w:r>
      </w:hyperlink>
      <w:r>
        <w:t xml:space="preserve">;</w:t>
      </w:r>
      <w:r>
        <w:t xml:space="preserve"> </w:t>
      </w:r>
      <w:hyperlink w:anchor="X9eb2c8e7c5bc627a302d0d70db67a8586f266ab">
        <w:r>
          <w:rPr>
            <w:rStyle w:val="Hyperlink"/>
          </w:rPr>
          <w:t xml:space="preserve">4.3.3</w:t>
        </w:r>
      </w:hyperlink>
      <w:r>
        <w:t xml:space="preserve">]. In doing so they apply their own knowledge and expectations in an attempt to extract facts. Similarly in the context of everyday digital life data, individuals search for value and meaning in that data, they reflect upon it and try to relate it to their own lives [</w:t>
      </w:r>
      <w:hyperlink w:anchor="Xb44f5ba5716f847f201fcf0acc0e7b504876f28">
        <w:r>
          <w:rPr>
            <w:rStyle w:val="Hyperlink"/>
          </w:rPr>
          <w:t xml:space="preserve">5.4.3</w:t>
        </w:r>
      </w:hyperlink>
      <w:r>
        <w:t xml:space="preserve">].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w:t>
      </w:r>
      <w:hyperlink w:anchor="Xb44f5ba5716f847f201fcf0acc0e7b504876f28">
        <w:r>
          <w:rPr>
            <w:rStyle w:val="Hyperlink"/>
          </w:rPr>
          <w:t xml:space="preserve">5.4.3</w:t>
        </w:r>
      </w:hyperlink>
      <w:r>
        <w:t xml:space="preserve">]. Raw data is rarely sufficient to provide clear, unambiguous and unbiased information to the reader</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In line with one of the three core principles of HDI,</w:t>
      </w:r>
      <w:r>
        <w:t xml:space="preserve"> </w:t>
      </w:r>
      <w:r>
        <w:rPr>
          <w:iCs/>
          <w:i/>
        </w:rPr>
        <w:t xml:space="preserve">legibility</w:t>
      </w:r>
      <w:r>
        <w:t xml:space="preserve">, data should be understandable by those it concerns</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In both Case Studies (and my prior work), individuals shared a desire to not just be aware of, but to</w:t>
      </w:r>
      <w:r>
        <w:t xml:space="preserve"> </w:t>
      </w:r>
      <w:r>
        <w:rPr>
          <w:bCs/>
          <w:b/>
        </w:rPr>
        <w:t xml:space="preserve">understand</w:t>
      </w:r>
      <w:r>
        <w:t xml:space="preserve"> </w:t>
      </w:r>
      <w:r>
        <w:t xml:space="preserve">what data was held about them and how it was used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w:t>
      </w:r>
      <w:r>
        <w:t xml:space="preserve"> </w:t>
      </w:r>
      <w:hyperlink w:anchor="X61668d6575f2536b8984a471ac570156abd14ef">
        <w:r>
          <w:rPr>
            <w:rStyle w:val="Hyperlink"/>
          </w:rPr>
          <w:t xml:space="preserve">5.4.2</w:t>
        </w:r>
      </w:hyperlink>
      <w:r>
        <w:t xml:space="preserve">]. People are only just beginning to understand the significance of a data-centric world that uses data to make decisions that affect their lives [</w:t>
      </w:r>
      <w:hyperlink w:anchor="X2fecb37588747cdb8227230edc41ff2ca6557e1">
        <w:r>
          <w:rPr>
            <w:rStyle w:val="Hyperlink"/>
          </w:rPr>
          <w:t xml:space="preserve">2.1.2</w:t>
        </w:r>
      </w:hyperlink>
      <w:r>
        <w:t xml:space="preserve">;</w:t>
      </w:r>
      <w:r>
        <w:t xml:space="preserve"> </w:t>
      </w:r>
      <w:hyperlink w:anchor="Xbff12eeb621c3f4c18ae1d2809b3860778910f4">
        <w:r>
          <w:rPr>
            <w:rStyle w:val="Hyperlink"/>
          </w:rPr>
          <w:t xml:space="preserve">2.1.4</w:t>
        </w:r>
      </w:hyperlink>
      <w:r>
        <w:t xml:space="preserve">;</w:t>
      </w:r>
      <w:r>
        <w:t xml:space="preserve"> </w:t>
      </w:r>
      <w:hyperlink w:anchor="X41dd5411c3ac1e32b00fee73de26a508f888c5b">
        <w:r>
          <w:rPr>
            <w:rStyle w:val="Hyperlink"/>
          </w:rPr>
          <w:t xml:space="preserve">5.5.3</w:t>
        </w:r>
      </w:hyperlink>
      <w:r>
        <w:t xml:space="preserve">].</w:t>
      </w:r>
    </w:p>
    <w:p>
      <w:pPr>
        <w:pStyle w:val="BodyText"/>
      </w:pPr>
      <w:r>
        <w:rPr>
          <w:bCs/>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Cs/>
          <w:i/>
        </w:rPr>
        <w:t xml:space="preserve">summaries</w:t>
      </w:r>
      <w:r>
        <w:t xml:space="preserve"> </w:t>
      </w:r>
      <w:r>
        <w:t xml:space="preserve">to help them digest and locate key information. In Case Study Two participants were often overwhelmed or “</w:t>
      </w:r>
      <w:r>
        <w:rPr>
          <w:iCs/>
          <w:i/>
        </w:rPr>
        <w:t xml:space="preserve">drowning”</w:t>
      </w:r>
      <w:r>
        <w:t xml:space="preserve"> </w:t>
      </w:r>
      <w:r>
        <w:t xml:space="preserve">(P1) at the volume or technical complexity of the data returned from access requests,</w:t>
      </w:r>
      <w:r>
        <w:t xml:space="preserve"> </w:t>
      </w:r>
      <w:r>
        <w:rPr>
          <w:iCs/>
          <w:i/>
        </w:rPr>
        <w:t xml:space="preserve">“</w:t>
      </w:r>
      <w:r>
        <w:rPr>
          <w:iCs/>
          <w:i/>
        </w:rPr>
        <w:t xml:space="preserve">so much of it that’s impossible to know what it all means</w:t>
      </w:r>
      <w:r>
        <w:rPr>
          <w:iCs/>
          <w:i/>
        </w:rPr>
        <w:t xml:space="preserve">”</w:t>
      </w:r>
      <w:r>
        <w:t xml:space="preserve"> </w:t>
      </w:r>
      <w:r>
        <w:t xml:space="preserve">(P4) [</w:t>
      </w:r>
      <w:hyperlink w:anchor="Xb44f5ba5716f847f201fcf0acc0e7b504876f28">
        <w:r>
          <w:rPr>
            <w:rStyle w:val="Hyperlink"/>
          </w:rPr>
          <w:t xml:space="preserve">5.4.3</w:t>
        </w:r>
      </w:hyperlink>
      <w:r>
        <w:t xml:space="preserve">]. These feelings were mirrored in Case Study One, by support workers who feared the liability of having to</w:t>
      </w:r>
      <w:r>
        <w:t xml:space="preserve"> </w:t>
      </w:r>
      <w:r>
        <w:rPr>
          <w:iCs/>
          <w:i/>
        </w:rPr>
        <w:t xml:space="preserve">“</w:t>
      </w:r>
      <w:r>
        <w:rPr>
          <w:iCs/>
          <w:i/>
        </w:rPr>
        <w:t xml:space="preserve">trawl through</w:t>
      </w:r>
      <w:r>
        <w:rPr>
          <w:iCs/>
          <w:i/>
        </w:rPr>
        <w:t xml:space="preserve">”</w:t>
      </w:r>
      <w:r>
        <w:t xml:space="preserve"> </w:t>
      </w:r>
      <w:r>
        <w:t xml:space="preserve">large volumes of data and know all the relevant and important facts about a family so that they do not make mistakes [</w:t>
      </w:r>
      <w:hyperlink w:anchor="X9eceb9e9c217634ec9f895ac06d6365d53b4cb7">
        <w:r>
          <w:rPr>
            <w:rStyle w:val="Hyperlink"/>
          </w:rPr>
          <w:t xml:space="preserve">4.3.2</w:t>
        </w:r>
      </w:hyperlink>
      <w:r>
        <w:t xml:space="preserve">].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w:t>
      </w:r>
      <w:hyperlink w:anchor="X9eb2c8e7c5bc627a302d0d70db67a8586f266ab">
        <w:r>
          <w:rPr>
            <w:rStyle w:val="Hyperlink"/>
          </w:rPr>
          <w:t xml:space="preserve">4.3.3</w:t>
        </w:r>
      </w:hyperlink>
      <w:r>
        <w:t xml:space="preserve">;</w:t>
      </w:r>
      <w:r>
        <w:t xml:space="preserve"> </w:t>
      </w:r>
      <w:hyperlink w:anchor="X33b0e93f97f87fa3bb3c4df915c0729032ea608">
        <w:r>
          <w:rPr>
            <w:rStyle w:val="Hyperlink"/>
          </w:rPr>
          <w:t xml:space="preserve">4.3.4</w:t>
        </w:r>
      </w:hyperlink>
      <w:r>
        <w:t xml:space="preserve">]. This is further complicated by the fact that the data itself is not neutral</w:t>
      </w:r>
      <w:r>
        <w:t xml:space="preserve"> </w:t>
      </w:r>
      <w:r>
        <w:t xml:space="preserve">(</w:t>
      </w:r>
      <w:hyperlink w:anchor="ref-gitelman2013">
        <w:r>
          <w:rPr>
            <w:rStyle w:val="Hyperlink"/>
          </w:rPr>
          <w:t xml:space="preserve">Gitelman, 2013</w:t>
        </w:r>
      </w:hyperlink>
      <w:r>
        <w:t xml:space="preserve">)</w:t>
      </w:r>
      <w:r>
        <w:t xml:space="preserve">; in the Early Help context it was clear that opinions as well as facts are recorded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p6</w:t>
        </w:r>
      </w:hyperlink>
      <w:r>
        <w:t xml:space="preserve">)</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w:t>
      </w:r>
      <w:hyperlink w:anchor="X1dbeb22450733a0c08e419e0b9d08ee870168d8">
        <w:r>
          <w:rPr>
            <w:rStyle w:val="Hyperlink"/>
          </w:rPr>
          <w:t xml:space="preserve">5.4.3</w:t>
        </w:r>
      </w:hyperlink>
      <w:r>
        <w:t xml:space="preserve">]. In Case Study Two most participants’ comments on returned data indicated that it had not been not presented in a way optimised for understanding [</w:t>
      </w:r>
      <w:hyperlink w:anchor="Xb44f5ba5716f847f201fcf0acc0e7b504876f28">
        <w:r>
          <w:rPr>
            <w:rStyle w:val="Hyperlink"/>
          </w:rPr>
          <w:t xml:space="preserve">5.4.3</w:t>
        </w:r>
      </w:hyperlink>
      <w:r>
        <w:t xml:space="preserve">], failing to support</w:t>
      </w:r>
      <w:r>
        <w:t xml:space="preserve"> </w:t>
      </w:r>
      <w:r>
        <w:rPr>
          <w:iCs/>
          <w:i/>
        </w:rPr>
        <w:t xml:space="preserve">sensemaking</w:t>
      </w:r>
      <w:r>
        <w:t xml:space="preserve">;</w:t>
      </w:r>
      <w:r>
        <w:t xml:space="preserve"> </w:t>
      </w:r>
      <w:r>
        <w:rPr>
          <w:iCs/>
          <w:i/>
        </w:rPr>
        <w:t xml:space="preserve">“</w:t>
      </w:r>
      <w:r>
        <w:rPr>
          <w:iCs/>
          <w:i/>
        </w:rPr>
        <w:t xml:space="preserve">Information presentation should be as clear as possible so that people can interpret their data and extract meaningful information from it.</w:t>
      </w:r>
      <w:r>
        <w:rPr>
          <w:iCs/>
          <w:i/>
        </w:rPr>
        <w:t xml:space="preserve">”</w:t>
      </w:r>
      <w:r>
        <w:t xml:space="preserve"> </w:t>
      </w:r>
      <w:r>
        <w:t xml:space="preserve">(</w:t>
      </w:r>
      <w:hyperlink w:anchor="ref-gurstein2011">
        <w:r>
          <w:rPr>
            <w:rStyle w:val="Hyperlink"/>
          </w:rPr>
          <w:t xml:space="preserve">Gurstein, 2011</w:t>
        </w:r>
      </w:hyperlink>
      <w:r>
        <w:t xml:space="preserve">)</w:t>
      </w:r>
    </w:p>
    <w:p>
      <w:pPr>
        <w:pStyle w:val="BodyText"/>
      </w:pPr>
      <w:r>
        <w:rPr>
          <w:bCs/>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w:t>
      </w:r>
      <w:hyperlink w:anchor="X24fa45ca77f079cc359c97272276969e6aead2c">
        <w:r>
          <w:rPr>
            <w:rStyle w:val="Hyperlink"/>
          </w:rPr>
          <w:t xml:space="preserve">2.1.1</w:t>
        </w:r>
      </w:hyperlink>
      <w:r>
        <w:t xml:space="preserve">]. Access to raw data files or database records or spreadsheets does not satisfy this, and prior research in the civic data context states that this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 To comprehend the meaning of data, visualisations and explanations can help [</w:t>
      </w:r>
      <w:hyperlink w:anchor="X2ad50ca4cbd63a3f83ddbd28315b55b52f600fb">
        <w:r>
          <w:rPr>
            <w:rStyle w:val="Hyperlink"/>
          </w:rPr>
          <w:t xml:space="preserve">4.4.2</w:t>
        </w:r>
      </w:hyperlink>
      <w:r>
        <w:t xml:space="preserve">]; as one support worker in Case Study One observed, some families might find data tables too technical,</w:t>
      </w:r>
      <w:r>
        <w:t xml:space="preserve"> </w:t>
      </w:r>
      <w:r>
        <w:rPr>
          <w:iCs/>
          <w:i/>
        </w:rPr>
        <w:t xml:space="preserve">“</w:t>
      </w:r>
      <w:r>
        <w:rPr>
          <w:iCs/>
          <w:i/>
        </w:rPr>
        <w:t xml:space="preserve">I think sometimes it’s easier to do it in pictures</w:t>
      </w:r>
      <w:r>
        <w:rPr>
          <w:iCs/>
          <w:i/>
        </w:rPr>
        <w:t xml:space="preserve">”</w:t>
      </w:r>
      <w:r>
        <w:t xml:space="preserve"> </w:t>
      </w:r>
      <w:r>
        <w:t xml:space="preserve">[</w:t>
      </w:r>
      <w:hyperlink w:anchor="X9eceb9e9c217634ec9f895ac06d6365d53b4cb7">
        <w:r>
          <w:rPr>
            <w:rStyle w:val="Hyperlink"/>
          </w:rPr>
          <w:t xml:space="preserve">4.3.2</w:t>
        </w:r>
      </w:hyperlink>
      <w:r>
        <w:t xml:space="preserve">]. Participant-designed interfaces in Case Study One included pie charts, graphs, spider diagrams and timelines, all designed to convey information more intuitively [</w:t>
      </w:r>
      <w:hyperlink w:anchor="X9eceb9e9c217634ec9f895ac06d6365d53b4cb7">
        <w:r>
          <w:rPr>
            <w:rStyle w:val="Hyperlink"/>
          </w:rPr>
          <w:t xml:space="preserve">4.3.2</w:t>
        </w:r>
      </w:hyperlink>
      <w:r>
        <w:t xml:space="preserve">]. In Case Study Two and prior GDPR requests, it was often the case that companies often returned data not in understandable forms that were less useful than the apps or websites those service providers offer. For example, run-tracking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w:t>
      </w:r>
      <w:hyperlink w:anchor="Xb44f5ba5716f847f201fcf0acc0e7b504876f28">
        <w:r>
          <w:rPr>
            <w:rStyle w:val="Hyperlink"/>
          </w:rPr>
          <w:t xml:space="preserve">5.4.3</w:t>
        </w:r>
      </w:hyperlink>
      <w:r>
        <w:t xml:space="preserve">], which some participants found useless. As P5 observed,</w:t>
      </w:r>
      <w:r>
        <w:t xml:space="preserve"> </w:t>
      </w:r>
      <w:r>
        <w:rPr>
          <w:iCs/>
          <w:i/>
        </w:rPr>
        <w:t xml:space="preserve">“</w:t>
      </w:r>
      <w:r>
        <w:rPr>
          <w:iCs/>
          <w:i/>
        </w:rPr>
        <w:t xml:space="preserve">It’s like being given the bricks to a house… It doesn’t really mean anything when it’s just bricks, if you don’t know how to put it together</w:t>
      </w:r>
      <w:r>
        <w:rPr>
          <w:iCs/>
          <w:i/>
        </w:rPr>
        <w:t xml:space="preserve">”</w:t>
      </w:r>
      <w:r>
        <w:t xml:space="preserve"> </w:t>
      </w:r>
      <w:r>
        <w:t xml:space="preserve">[</w:t>
      </w:r>
      <w:hyperlink w:anchor="X1dbeb22450733a0c08e419e0b9d08ee870168d8">
        <w:r>
          <w:rPr>
            <w:rStyle w:val="Hyperlink"/>
          </w:rPr>
          <w:t xml:space="preserve">5.4.3</w:t>
        </w:r>
      </w:hyperlink>
      <w:r>
        <w:t xml:space="preserve">]. It is clear that visualisations are key to accelerating understanding (and are also subject to the same challenges of selection and bias as summaries). Furthermore, visualisations of data can functional as powerful boundary objects and</w:t>
      </w:r>
      <w:r>
        <w:t xml:space="preserve"> </w:t>
      </w:r>
      <w:r>
        <w:rPr>
          <w:iCs/>
          <w:i/>
        </w:rPr>
        <w:t xml:space="preserve">“</w:t>
      </w:r>
      <w:r>
        <w:rPr>
          <w:iCs/>
          <w:i/>
        </w:rPr>
        <w:t xml:space="preserve">things to think with</w:t>
      </w:r>
      <w:r>
        <w:rPr>
          <w:iCs/>
          <w:i/>
        </w:rPr>
        <w:t xml:space="preserve">”</w:t>
      </w:r>
      <w:r>
        <w:t xml:space="preserve"> </w:t>
      </w:r>
      <w:r>
        <w:t xml:space="preserve">(</w:t>
      </w:r>
      <w:r>
        <w:t xml:space="preserve">(</w:t>
      </w:r>
      <w:hyperlink w:anchor="ref-brandt2004">
        <w:r>
          <w:rPr>
            <w:rStyle w:val="Hyperlink"/>
          </w:rPr>
          <w:t xml:space="preserve">Brandt and Messeter, 2004</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w:t>
      </w:r>
      <w:hyperlink w:anchor="X464e9f2e5e0cf52e9c26d3864e71249d73ea33a">
        <w:r>
          <w:rPr>
            <w:rStyle w:val="Hyperlink"/>
          </w:rPr>
          <w:t xml:space="preserve">3.5.2</w:t>
        </w:r>
      </w:hyperlink>
      <w:r>
        <w:t xml:space="preserve">;</w:t>
      </w:r>
      <w:r>
        <w:t xml:space="preserve"> </w:t>
      </w:r>
      <w:hyperlink w:anchor="X2ad50ca4cbd63a3f83ddbd28315b55b52f600fb">
        <w:r>
          <w:rPr>
            <w:rStyle w:val="Hyperlink"/>
          </w:rPr>
          <w:t xml:space="preserve">4.4.2</w:t>
        </w:r>
      </w:hyperlink>
      <w:r>
        <w:t xml:space="preserve">] and in the care context the use of data representations as a focal point or evidence for was thought to be more productive and empowering [</w:t>
      </w:r>
      <w:hyperlink w:anchor="X69499d105ae7f22db5523e1bc379bd7b19f73f7">
        <w:r>
          <w:rPr>
            <w:rStyle w:val="Hyperlink"/>
          </w:rPr>
          <w:t xml:space="preserve">4.3.2</w:t>
        </w:r>
      </w:hyperlink>
      <w:r>
        <w:t xml:space="preserve">;</w:t>
      </w:r>
      <w:r>
        <w:t xml:space="preserve"> </w:t>
      </w:r>
      <w:hyperlink w:anchor="X328e55f0b8c991dca9b1bed7c3b0763f63cd1bf">
        <w:r>
          <w:rPr>
            <w:rStyle w:val="Hyperlink"/>
          </w:rPr>
          <w:t xml:space="preserve">4.4.1</w:t>
        </w:r>
      </w:hyperlink>
      <w:r>
        <w:t xml:space="preserve">].</w:t>
      </w:r>
    </w:p>
    <w:p>
      <w:pPr>
        <w:pStyle w:val="BodyText"/>
      </w:pPr>
      <w:r>
        <w:rPr>
          <w:bCs/>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w:t>
      </w:r>
      <w:hyperlink w:anchor="X4bf33bfd9c3793655f2a19fca0ee1ca41e62e6e">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Both supported families and staff saw value in seeing all the data about each individual in a common place - in other words, structuring the information around the individual’s life, rather than the information silos of different agencies [</w:t>
      </w:r>
      <w:hyperlink w:anchor="X2285808197953ac457f39dc4e219915ef5b5145">
        <w:r>
          <w:rPr>
            <w:rStyle w:val="Hyperlink"/>
          </w:rPr>
          <w:t xml:space="preserve">4.3.2</w:t>
        </w:r>
      </w:hyperlink>
      <w:r>
        <w:t xml:space="preserve">]. In Case Study Two, where participants were asked about the value they saw in the data companies held about them [</w:t>
      </w:r>
      <w:hyperlink w:anchor="Xc89f60f46ccf047183c71c1efe28ba794cbc8f8">
        <w:r>
          <w:rPr>
            <w:rStyle w:val="Hyperlink"/>
          </w:rPr>
          <w:t xml:space="preserve">5.3.3</w:t>
        </w:r>
      </w:hyperlink>
      <w:r>
        <w:t xml:space="preserve">],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w:t>
      </w:r>
      <w:hyperlink w:anchor="Xc89f60f46ccf047183c71c1efe28ba794cbc8f8">
        <w:r>
          <w:rPr>
            <w:rStyle w:val="Hyperlink"/>
          </w:rPr>
          <w:t xml:space="preserve">5.3.3</w:t>
        </w:r>
      </w:hyperlink>
      <w:r>
        <w:t xml:space="preserve">]. Echoing goals surfaces in personal informatics literature</w:t>
      </w:r>
      <w:r>
        <w:t xml:space="preserve"> </w:t>
      </w:r>
      <w:r>
        <w:t xml:space="preserve">(</w:t>
      </w:r>
      <w:hyperlink w:anchor="ref-li2010">
        <w:r>
          <w:rPr>
            <w:rStyle w:val="Hyperlink"/>
          </w:rPr>
          <w:t xml:space="preserve">Li, Forlizzi and Dey, 2010</w:t>
        </w:r>
      </w:hyperlink>
      <w:r>
        <w:t xml:space="preserve">)</w:t>
      </w:r>
      <w:r>
        <w:t xml:space="preserve">, participants sought insights about themselves in data, and so valued data that spanned a longer time period such that they might use it to spot patterns in relation to events in their lives [</w:t>
      </w:r>
      <w:hyperlink w:anchor="Xb44f5ba5716f847f201fcf0acc0e7b504876f28">
        <w:r>
          <w:rPr>
            <w:rStyle w:val="Hyperlink"/>
          </w:rPr>
          <w:t xml:space="preserve">5.4.3</w:t>
        </w:r>
      </w:hyperlink>
      <w:r>
        <w:t xml:space="preserve">]. They valued the opportunity to use data as</w:t>
      </w:r>
      <w:r>
        <w:t xml:space="preserve"> </w:t>
      </w:r>
      <w:r>
        <w:rPr>
          <w:iCs/>
          <w:i/>
        </w:rPr>
        <w:t xml:space="preserve">“</w:t>
      </w:r>
      <w:r>
        <w:rPr>
          <w:iCs/>
          <w:i/>
        </w:rPr>
        <w:t xml:space="preserve">a window into the past</w:t>
      </w:r>
      <w:r>
        <w:rPr>
          <w:iCs/>
          <w:i/>
        </w:rPr>
        <w:t xml:space="preserve">”</w:t>
      </w:r>
      <w:r>
        <w:t xml:space="preserve"> </w:t>
      </w:r>
      <w:r>
        <w:t xml:space="preserve">[P11 in</w:t>
      </w:r>
      <w:r>
        <w:t xml:space="preserve"> </w:t>
      </w:r>
      <w:hyperlink w:anchor="Xb44f5ba5716f847f201fcf0acc0e7b504876f28">
        <w:r>
          <w:rPr>
            <w:rStyle w:val="Hyperlink"/>
          </w:rPr>
          <w:t xml:space="preserve">5.4.3</w:t>
        </w:r>
      </w:hyperlink>
      <w:r>
        <w:t xml:space="preserve">]. Long term data was seen as a liability [</w:t>
      </w:r>
      <w:hyperlink w:anchor="X8ff615c03fc2afb91384f9ef05bab6acdbbe9e9">
        <w:r>
          <w:rPr>
            <w:rStyle w:val="Hyperlink"/>
          </w:rPr>
          <w:t xml:space="preserve">5.4.3</w:t>
        </w:r>
      </w:hyperlink>
      <w:r>
        <w:t xml:space="preserve">],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w:t>
      </w:r>
      <w:hyperlink w:anchor="X8ff615c03fc2afb91384f9ef05bab6acdbbe9e9">
        <w:r>
          <w:rPr>
            <w:rStyle w:val="Hyperlink"/>
          </w:rPr>
          <w:t xml:space="preserve">5.4.3</w:t>
        </w:r>
      </w:hyperlink>
      <w:r>
        <w:t xml:space="preserve">;</w:t>
      </w:r>
      <w:r>
        <w:t xml:space="preserve"> </w:t>
      </w:r>
      <w:hyperlink w:anchor="X04bbc487c5380998010e2e8287cf05350ecd6a2">
        <w:r>
          <w:rPr>
            <w:rStyle w:val="Hyperlink"/>
          </w:rPr>
          <w:t xml:space="preserve">5.4.4</w:t>
        </w:r>
      </w:hyperlink>
      <w:r>
        <w:t xml:space="preserve">]. It is clear that to transform dry, technical data into meaningful information, it should be contextualised in relation to events in the life of the individual it describes.</w:t>
      </w:r>
    </w:p>
    <w:p>
      <w:pPr>
        <w:pStyle w:val="BodyText"/>
      </w:pPr>
      <w:r>
        <w:rPr>
          <w:bCs/>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participants emphasised the ability to talk to someone about their data [</w:t>
      </w:r>
      <w:hyperlink w:anchor="Xc3386c80ed9a8cff1b198fe602b5fc87b19c203">
        <w:r>
          <w:rPr>
            <w:rStyle w:val="Hyperlink"/>
          </w:rPr>
          <w:t xml:space="preserve">4.3.2</w:t>
        </w:r>
      </w:hyperlink>
      <w:r>
        <w:t xml:space="preserve">], and included such features in their designs - both to understand and receive help in understanding, but also to feedback and provide additional information, explanation or context so that they might be better understood [</w:t>
      </w:r>
      <w:hyperlink w:anchor="X262cd4b6878756308bb897aef02e9ea807e22b4">
        <w:r>
          <w:rPr>
            <w:rStyle w:val="Hyperlink"/>
          </w:rPr>
          <w:t xml:space="preserve">4.3.3</w:t>
        </w:r>
      </w:hyperlink>
      <w:r>
        <w:t xml:space="preserve">].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w:t>
      </w:r>
      <w:hyperlink w:anchor="Xb44f5ba5716f847f201fcf0acc0e7b504876f28">
        <w:r>
          <w:rPr>
            <w:rStyle w:val="Hyperlink"/>
          </w:rPr>
          <w:t xml:space="preserve">5.4.3</w:t>
        </w:r>
      </w:hyperlink>
      <w:r>
        <w:t xml:space="preserve">]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w:t>
      </w:r>
      <w:hyperlink w:anchor="Xc89f60f46ccf047183c71c1efe28ba794cbc8f8">
        <w:r>
          <w:rPr>
            <w:rStyle w:val="Hyperlink"/>
          </w:rPr>
          <w:t xml:space="preserve">5.3.3</w:t>
        </w:r>
      </w:hyperlink>
      <w:r>
        <w:t xml:space="preserve">]. Considering the systemic changes toward data-centricity that the world has undergone, as described in</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Cs/>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Cs/>
          <w:i/>
        </w:rPr>
        <w:t xml:space="preserve">“</w:t>
      </w:r>
      <w:r>
        <w:rPr>
          <w:iCs/>
          <w:i/>
        </w:rPr>
        <w:t xml:space="preserve">just made sense</w:t>
      </w:r>
      <w:r>
        <w:rPr>
          <w:iCs/>
          <w:i/>
        </w:rPr>
        <w:t xml:space="preserve">”</w:t>
      </w:r>
      <w:r>
        <w:t xml:space="preserve">. P7 specifically distrusted LinkedIn because she felt they had not bothered to adequately engage with her [</w:t>
      </w:r>
      <w:hyperlink w:anchor="X5ced3ee2ccb25053e7e84687bddad6552a5317e">
        <w:r>
          <w:rPr>
            <w:rStyle w:val="Hyperlink"/>
          </w:rPr>
          <w:t xml:space="preserve">5.4.4</w:t>
        </w:r>
      </w:hyperlink>
      <w:r>
        <w:t xml:space="preserve">]. The importance of trust will be discussed in more detail in [</w:t>
      </w:r>
      <w:hyperlink w:anchor="Xffca9b2145cbe8b44269c74219f807eace99c3e">
        <w:r>
          <w:rPr>
            <w:rStyle w:val="Hyperlink"/>
          </w:rPr>
          <w:t xml:space="preserve">6.2.1</w:t>
        </w:r>
      </w:hyperlink>
      <w:r>
        <w:t xml:space="preserve">] below.</w:t>
      </w:r>
    </w:p>
    <w:bookmarkEnd w:id="21"/>
    <w:bookmarkStart w:id="23" w:name="want-d3"/>
    <w:p>
      <w:pPr>
        <w:pStyle w:val="Heading3"/>
      </w:pPr>
      <w:r>
        <w:rPr>
          <w:rStyle w:val="SectionNumber"/>
        </w:rPr>
        <w:t xml:space="preserve">1.1.3</w:t>
      </w:r>
      <w:r>
        <w:tab/>
      </w:r>
      <w:r>
        <w:t xml:space="preserve">Useable</w:t>
      </w:r>
      <w:r>
        <w:rPr>
          <w:rStyle w:val="FootnoteReference"/>
        </w:rPr>
        <w:footnoteReference w:id="22"/>
      </w:r>
      <w:r>
        <w:t xml:space="preserve"> </w:t>
      </w:r>
      <w:r>
        <w:t xml:space="preserve">Data</w:t>
      </w:r>
    </w:p>
    <w:p>
      <w:pPr>
        <w:pStyle w:val="BodyText"/>
      </w:pPr>
      <w:r>
        <w:rPr>
          <w:bCs/>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w:t>
      </w:r>
      <w:hyperlink w:anchor="X9902a1eb94ef3aa68394787a4c511390162b100">
        <w:r>
          <w:rPr>
            <w:rStyle w:val="Hyperlink"/>
          </w:rPr>
          <w:t xml:space="preserve">4.3.4</w:t>
        </w:r>
      </w:hyperlink>
      <w:r>
        <w:t xml:space="preserve">]. In Case Study Two, this manifested as feelings of not having the technical skills necessary to explore their returned data [</w:t>
      </w:r>
      <w:hyperlink w:anchor="X2246273db175b4d951c8ae09a9b87d55b422463">
        <w:r>
          <w:rPr>
            <w:rStyle w:val="Hyperlink"/>
          </w:rPr>
          <w:t xml:space="preserve">5.6</w:t>
        </w:r>
      </w:hyperlink>
      <w:r>
        <w:t xml:space="preserve">] and that without better tools individuals were not getting the same view of data that service provider staff have [P2 in</w:t>
      </w:r>
      <w:r>
        <w:t xml:space="preserve"> </w:t>
      </w:r>
      <w:hyperlink w:anchor="Xb44f5ba5716f847f201fcf0acc0e7b504876f28">
        <w:r>
          <w:rPr>
            <w:rStyle w:val="Hyperlink"/>
          </w:rPr>
          <w:t xml:space="preserve">5.4.3</w:t>
        </w:r>
      </w:hyperlink>
      <w:r>
        <w:t xml:space="preserve">].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w:t>
      </w:r>
      <w:hyperlink w:anchor="Xb44f5ba5716f847f201fcf0acc0e7b504876f28">
        <w:r>
          <w:rPr>
            <w:rStyle w:val="Hyperlink"/>
          </w:rPr>
          <w:t xml:space="preserve">5.4.3</w:t>
        </w:r>
      </w:hyperlink>
      <w:r>
        <w:t xml:space="preserve">], and explore it in different ways to answer questions - which implies the need for operations such as filtering, searching, comparing and orienteering (see</w:t>
      </w:r>
      <w:r>
        <w:t xml:space="preserve"> </w:t>
      </w:r>
      <w:hyperlink w:anchor="Xbff12eeb621c3f4c18ae1d2809b3860778910f4">
        <w:r>
          <w:rPr>
            <w:rStyle w:val="Hyperlink"/>
          </w:rPr>
          <w:t xml:space="preserve">2.1.4</w:t>
        </w:r>
      </w:hyperlink>
      <w:r>
        <w:t xml:space="preserve"> </w:t>
      </w:r>
      <w:r>
        <w:t xml:space="preserve">for others), in order to understand history, context and patterns in the data, as suggested in self informatics (SI) literature [</w:t>
      </w:r>
      <w:hyperlink w:anchor="X243f3446bb1226eacba3cdb8b904ef729d6ec9d">
        <w:r>
          <w:rPr>
            <w:rStyle w:val="Hyperlink"/>
          </w:rPr>
          <w:t xml:space="preserve">2.2.3</w:t>
        </w:r>
      </w:hyperlink>
      <w:r>
        <w:t xml:space="preserve">]. Several participants in Case Study Two hoped to receive data in formats they could visualise,</w:t>
      </w:r>
      <w:r>
        <w:t xml:space="preserve"> </w:t>
      </w:r>
      <w:r>
        <w:rPr>
          <w:iCs/>
          <w:i/>
        </w:rPr>
        <w:t xml:space="preserve">“</w:t>
      </w:r>
      <w:r>
        <w:rPr>
          <w:iCs/>
          <w:i/>
        </w:rPr>
        <w:t xml:space="preserve">mash up</w:t>
      </w:r>
      <w:r>
        <w:rPr>
          <w:iCs/>
          <w:i/>
        </w:rPr>
        <w:t xml:space="preserve">”</w:t>
      </w:r>
      <w:r>
        <w:t xml:space="preserve"> </w:t>
      </w:r>
      <w:r>
        <w:t xml:space="preserve">and play with, but did not get this - not only was data not optimally formatted for such use, it lacked sufficient explanation to enable individuals to pursue such goals for themselves [</w:t>
      </w:r>
      <w:hyperlink w:anchor="X1dbeb22450733a0c08e419e0b9d08ee870168d8">
        <w:r>
          <w:rPr>
            <w:rStyle w:val="Hyperlink"/>
          </w:rPr>
          <w:t xml:space="preserve">5.4.3</w:t>
        </w:r>
      </w:hyperlink>
      <w:r>
        <w:t xml:space="preserve">].</w:t>
      </w:r>
    </w:p>
    <w:p>
      <w:pPr>
        <w:pStyle w:val="BodyText"/>
      </w:pPr>
      <w:r>
        <w:rPr>
          <w:bCs/>
          <w:b/>
        </w:rPr>
        <w:t xml:space="preserve">Data needs to be useable - correctly formatted and explained in a portable and standardised form.</w:t>
      </w:r>
      <w:r>
        <w:t xml:space="preserve"> </w:t>
      </w:r>
      <w:r>
        <w:t xml:space="preserve">As discussed in</w:t>
      </w:r>
      <w:r>
        <w:t xml:space="preserve"> </w:t>
      </w:r>
      <w:hyperlink w:anchor="X2246273db175b4d951c8ae09a9b87d55b422463">
        <w:r>
          <w:rPr>
            <w:rStyle w:val="Hyperlink"/>
          </w:rPr>
          <w:t xml:space="preserve">5.6</w:t>
        </w:r>
      </w:hyperlink>
      <w:r>
        <w:t xml:space="preserve"> </w:t>
      </w:r>
      <w:r>
        <w:t xml:space="preserve">and</w:t>
      </w:r>
      <w:r>
        <w:t xml:space="preserve"> </w:t>
      </w:r>
      <w:hyperlink w:anchor="X1dbeb22450733a0c08e419e0b9d08ee870168d8">
        <w:r>
          <w:rPr>
            <w:rStyle w:val="Hyperlink"/>
          </w:rPr>
          <w:t xml:space="preserve">5.4.3</w:t>
        </w:r>
      </w:hyperlink>
      <w:r>
        <w:t xml:space="preserve">, people have multiple needs around data: For understanding, people need</w:t>
      </w:r>
      <w:r>
        <w:t xml:space="preserve"> </w:t>
      </w:r>
      <w:r>
        <w:rPr>
          <w:iCs/>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Cs/>
          <w:i/>
        </w:rPr>
        <w:t xml:space="preserve">useable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w:t>
      </w:r>
      <w:hyperlink w:anchor="X1dbeb22450733a0c08e419e0b9d08ee870168d8">
        <w:r>
          <w:rPr>
            <w:rStyle w:val="Hyperlink"/>
          </w:rPr>
          <w:t xml:space="preserve">5.4.3</w:t>
        </w:r>
      </w:hyperlink>
      <w:r>
        <w:t xml:space="preserve">]. This dilemma was alluded to by P4 in Case Study Two thus:</w:t>
      </w:r>
      <w:r>
        <w:t xml:space="preserve"> </w:t>
      </w:r>
      <w:r>
        <w:rPr>
          <w:iCs/>
          <w:i/>
        </w:rPr>
        <w:t xml:space="preserve">“</w:t>
      </w:r>
      <w:r>
        <w:rPr>
          <w:iCs/>
          <w:i/>
        </w:rPr>
        <w:t xml:space="preserve">If you want to view the data they have about you, it’s quite useable. If you want to do something [analytical], then it’s not</w:t>
      </w:r>
      <w:r>
        <w:rPr>
          <w:iCs/>
          <w:i/>
        </w:rPr>
        <w:t xml:space="preserve">”</w:t>
      </w:r>
      <w:r>
        <w:t xml:space="preserve"> </w:t>
      </w:r>
      <w:r>
        <w:t xml:space="preserve">[</w:t>
      </w:r>
      <w:hyperlink w:anchor="X1dbeb22450733a0c08e419e0b9d08ee870168d8">
        <w:r>
          <w:rPr>
            <w:rStyle w:val="Hyperlink"/>
          </w:rPr>
          <w:t xml:space="preserve">5.4.3</w:t>
        </w:r>
      </w:hyperlink>
      <w:r>
        <w:t xml:space="preserve">]. This dichotomy of needs is discussed in</w:t>
      </w:r>
      <w:r>
        <w:t xml:space="preserve"> </w:t>
      </w:r>
      <w:hyperlink w:anchor="X18b35402f3fbcb74b8e5bbc8aa2c0e3e784e473">
        <w:r>
          <w:rPr>
            <w:rStyle w:val="Hyperlink"/>
          </w:rPr>
          <w:t xml:space="preserve">5.5.1</w:t>
        </w:r>
      </w:hyperlink>
      <w:r>
        <w:t xml:space="preserve">, where the introduction of standard formats is proposed as a means to catalyse the building of data insight interfaces. As P1 stated,</w:t>
      </w:r>
      <w:r>
        <w:t xml:space="preserve"> </w:t>
      </w:r>
      <w:r>
        <w:rPr>
          <w:iCs/>
          <w:i/>
        </w:rPr>
        <w:t xml:space="preserve">“</w:t>
      </w:r>
      <w:r>
        <w:rPr>
          <w:iCs/>
          <w:i/>
        </w:rPr>
        <w:t xml:space="preserve">it would be nice if these companies had a standardised model of how this information is presented to people</w:t>
      </w:r>
      <w:r>
        <w:rPr>
          <w:iCs/>
          <w:i/>
        </w:rPr>
        <w:t xml:space="preserve">”</w:t>
      </w:r>
      <w:r>
        <w:t xml:space="preserve"> </w:t>
      </w:r>
      <w:r>
        <w:t xml:space="preserve">[</w:t>
      </w:r>
      <w:hyperlink w:anchor="Xb44f5ba5716f847f201fcf0acc0e7b504876f28">
        <w:r>
          <w:rPr>
            <w:rStyle w:val="Hyperlink"/>
          </w:rPr>
          <w:t xml:space="preserve">5.4.3</w:t>
        </w:r>
      </w:hyperlink>
      <w:r>
        <w:t xml:space="preserve">].</w:t>
      </w:r>
    </w:p>
    <w:p>
      <w:pPr>
        <w:pStyle w:val="BodyText"/>
      </w:pPr>
      <w:r>
        <w:rPr>
          <w:bCs/>
          <w:b/>
        </w:rPr>
        <w:t xml:space="preserve">People need to be able to interact with data, which means interfaces are needed</w:t>
      </w:r>
      <w:r>
        <w:t xml:space="preserve">. By themselves, even standardised files as described above are not practically useable. As discussed in</w:t>
      </w:r>
      <w:r>
        <w:t xml:space="preserve"> </w:t>
      </w:r>
      <w:hyperlink w:anchor="X2ad50ca4cbd63a3f83ddbd28315b55b52f600fb">
        <w:r>
          <w:rPr>
            <w:rStyle w:val="Hyperlink"/>
          </w:rPr>
          <w:t xml:space="preserve">4.4.2</w:t>
        </w:r>
      </w:hyperlink>
      <w:r>
        <w:t xml:space="preserve"> </w:t>
      </w:r>
      <w:r>
        <w:t xml:space="preserve">and consistent with effective access</w:t>
      </w:r>
      <w:r>
        <w:t xml:space="preserve"> </w:t>
      </w:r>
      <w:r>
        <w:t xml:space="preserve">(</w:t>
      </w:r>
      <w:hyperlink w:anchor="ref-gurstein2011">
        <w:r>
          <w:rPr>
            <w:rStyle w:val="Hyperlink"/>
          </w:rPr>
          <w:t xml:space="preserve">Gurstein, 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w:t>
      </w:r>
      <w:hyperlink w:anchor="X41dd5411c3ac1e32b00fee73de26a508f888c5b">
        <w:r>
          <w:rPr>
            <w:rStyle w:val="Hyperlink"/>
          </w:rPr>
          <w:t xml:space="preserve">5.5.3</w:t>
        </w:r>
      </w:hyperlink>
      <w:r>
        <w:t xml:space="preserve">;</w:t>
      </w:r>
      <w:r>
        <w:t xml:space="preserve"> </w:t>
      </w:r>
      <w:hyperlink w:anchor="X2246273db175b4d951c8ae09a9b87d55b422463">
        <w:r>
          <w:rPr>
            <w:rStyle w:val="Hyperlink"/>
          </w:rPr>
          <w:t xml:space="preserve">5.6</w:t>
        </w:r>
      </w:hyperlink>
      <w:r>
        <w:t xml:space="preserve">].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w:t>
      </w:r>
      <w:r>
        <w:t xml:space="preserve"> </w:t>
      </w:r>
      <w:hyperlink w:anchor="X2285808197953ac457f39dc4e219915ef5b5145">
        <w:r>
          <w:rPr>
            <w:rStyle w:val="Hyperlink"/>
          </w:rPr>
          <w:t xml:space="preserve">4.3.2</w:t>
        </w:r>
      </w:hyperlink>
      <w:r>
        <w:t xml:space="preserve"> </w:t>
      </w:r>
      <w:r>
        <w:t xml:space="preserve">and above in</w:t>
      </w:r>
      <w:r>
        <w:t xml:space="preserve"> </w:t>
      </w:r>
      <w:hyperlink w:anchor="X238446be5e2d7d8b7b5d3c3f92842c91d895c1e">
        <w:r>
          <w:rPr>
            <w:rStyle w:val="Hyperlink"/>
          </w:rPr>
          <w:t xml:space="preserve">6.1.2</w:t>
        </w:r>
      </w:hyperlink>
      <w:r>
        <w:t xml:space="preserve"> </w:t>
      </w:r>
      <w:r>
        <w:t xml:space="preserve">above.</w:t>
      </w:r>
    </w:p>
    <w:p>
      <w:pPr>
        <w:pStyle w:val="BodyText"/>
      </w:pPr>
      <w:r>
        <w:rPr>
          <w:bCs/>
          <w:b/>
        </w:rPr>
        <w:t xml:space="preserve">Data needs to be explorable from a temporal perspective</w:t>
      </w:r>
      <w:r>
        <w:t xml:space="preserve">. Another aspect of useable data that goes beyond what a data file can offer is the ability to view it over time. The importance of this temporal capability, as identified in literature cited in</w:t>
      </w:r>
      <w:r>
        <w:t xml:space="preserve"> </w:t>
      </w:r>
      <w:hyperlink w:anchor="Xbff12eeb621c3f4c18ae1d2809b3860778910f4">
        <w:r>
          <w:rPr>
            <w:rStyle w:val="Hyperlink"/>
          </w:rPr>
          <w:t xml:space="preserve">2.1.4</w:t>
        </w:r>
      </w:hyperlink>
      <w:r>
        <w:t xml:space="preserve"> </w:t>
      </w:r>
      <w:r>
        <w:t xml:space="preserve">(practical information access) and</w:t>
      </w:r>
      <w:r>
        <w:t xml:space="preserve"> </w:t>
      </w:r>
      <w:hyperlink w:anchor="X7dbbc208f79f978854aaa1fd9dd33e8519277d2">
        <w:r>
          <w:rPr>
            <w:rStyle w:val="Hyperlink"/>
          </w:rPr>
          <w:t xml:space="preserve">2.2.2</w:t>
        </w:r>
      </w:hyperlink>
      <w:r>
        <w:t xml:space="preserve"> </w:t>
      </w:r>
      <w:r>
        <w:t xml:space="preserve">(temporal PIM systems), and my prior writing</w:t>
      </w:r>
      <w:r>
        <w:t xml:space="preserve"> </w:t>
      </w:r>
      <w:r>
        <w:t xml:space="preserve">(</w:t>
      </w:r>
      <w:hyperlink w:anchor="ref-bowyer2011filesdie">
        <w:r>
          <w:rPr>
            <w:rStyle w:val="Hyperlink"/>
          </w:rPr>
          <w:t xml:space="preserve">Bowyer, 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w:t>
      </w:r>
      <w:hyperlink w:anchor="X2924b50fa0eb4c179281a1a665ffae8de515714">
        <w:r>
          <w:rPr>
            <w:rStyle w:val="Hyperlink"/>
          </w:rPr>
          <w:t xml:space="preserve">4.2.6</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9eb2c8e7c5bc627a302d0d70db67a8586f266ab">
        <w:r>
          <w:rPr>
            <w:rStyle w:val="Hyperlink"/>
          </w:rPr>
          <w:t xml:space="preserve">4.3.3</w:t>
        </w:r>
      </w:hyperlink>
      <w:r>
        <w:t xml:space="preserve">]. In Case Study Two, as</w:t>
      </w:r>
      <w:r>
        <w:t xml:space="preserve"> </w:t>
      </w:r>
      <w:hyperlink w:anchor="table-5.4">
        <w:r>
          <w:rPr>
            <w:rStyle w:val="Hyperlink"/>
          </w:rPr>
          <w:t xml:space="preserve">Table 5.4</w:t>
        </w:r>
      </w:hyperlink>
      <w:r>
        <w:t xml:space="preserve"> </w:t>
      </w:r>
      <w:r>
        <w:t xml:space="preserve">shows, 26% of participant goals related to SI-type reflection [</w:t>
      </w:r>
      <w:hyperlink w:anchor="X243f3446bb1226eacba3cdb8b904ef729d6ec9d">
        <w:r>
          <w:rPr>
            <w:rStyle w:val="Hyperlink"/>
          </w:rPr>
          <w:t xml:space="preserve">2.2.3</w:t>
        </w:r>
      </w:hyperlink>
      <w:r>
        <w:t xml:space="preserve">]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w:t>
      </w:r>
      <w:hyperlink w:anchor="X710dd44fa12f98194f8bba2bb20cba7bee18ff6">
        <w:r>
          <w:rPr>
            <w:rStyle w:val="Hyperlink"/>
          </w:rPr>
          <w:t xml:space="preserve">5.3</w:t>
        </w:r>
      </w:hyperlink>
      <w:r>
        <w:t xml:space="preserve">;</w:t>
      </w:r>
      <w:r>
        <w:t xml:space="preserve"> </w:t>
      </w:r>
      <w:hyperlink w:anchor="X2246273db175b4d951c8ae09a9b87d55b422463">
        <w:r>
          <w:rPr>
            <w:rStyle w:val="Hyperlink"/>
          </w:rPr>
          <w:t xml:space="preserve">5.6</w:t>
        </w:r>
      </w:hyperlink>
      <w:r>
        <w:t xml:space="preserve">].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w:t>
      </w:r>
      <w:r>
        <w:t xml:space="preserve"> </w:t>
      </w:r>
      <w:hyperlink w:anchor="X18b35402f3fbcb74b8e5bbc8aa2c0e3e784e473">
        <w:r>
          <w:rPr>
            <w:rStyle w:val="Hyperlink"/>
          </w:rPr>
          <w:t xml:space="preserve">5.5.1</w:t>
        </w:r>
      </w:hyperlink>
      <w:r>
        <w:t xml:space="preserve"> </w:t>
      </w:r>
      <w:r>
        <w:t xml:space="preserve">near impossible. Having better temporal data exploration capabilities would enable people to understand themselves and their data ecosystems better, informing both personal self-improvement goals and better decisions about personal data practices and provider choices [</w:t>
      </w:r>
      <w:hyperlink w:anchor="X2246273db175b4d951c8ae09a9b87d55b422463">
        <w:r>
          <w:rPr>
            <w:rStyle w:val="Hyperlink"/>
          </w:rPr>
          <w:t xml:space="preserve">5.6</w:t>
        </w:r>
      </w:hyperlink>
      <w:r>
        <w:t xml:space="preserve">]. Other exploration perspectives that could be powerful include location-based views or person/company/relationship-based views.</w:t>
      </w:r>
    </w:p>
    <w:p>
      <w:pPr>
        <w:pStyle w:val="BodyText"/>
      </w:pPr>
      <w:r>
        <w:rPr>
          <w:bCs/>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w:t>
      </w:r>
      <w:hyperlink w:anchor="Xb44f5ba5716f847f201fcf0acc0e7b504876f28">
        <w:r>
          <w:rPr>
            <w:rStyle w:val="Hyperlink"/>
          </w:rPr>
          <w:t xml:space="preserve">5.4.3</w:t>
        </w:r>
      </w:hyperlink>
      <w:r>
        <w:t xml:space="preserve">]. For self-improvement and improving one’s situation (a key goal of Early Help), access to metrics visible in data are extremely important, so that one might measure progress [</w:t>
      </w:r>
      <w:hyperlink w:anchor="Xc3386c80ed9a8cff1b198fe602b5fc87b19c203">
        <w:r>
          <w:rPr>
            <w:rStyle w:val="Hyperlink"/>
          </w:rPr>
          <w:t xml:space="preserve">4.3.2</w:t>
        </w:r>
      </w:hyperlink>
      <w:r>
        <w:t xml:space="preserve">]. While support workers do endeavour to provide this and sometime show data extracts, this can never be as empowering as having full capabilities to explore that data</w:t>
      </w:r>
      <w:r>
        <w:t xml:space="preserve"> </w:t>
      </w:r>
      <w:r>
        <w:rPr>
          <w:iCs/>
          <w:i/>
        </w:rPr>
        <w:t xml:space="preserve">“</w:t>
      </w:r>
      <w:r>
        <w:rPr>
          <w:iCs/>
          <w:i/>
        </w:rPr>
        <w:t xml:space="preserve">in your own time, at your own pace</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c3386c80ed9a8cff1b198fe602b5fc87b19c203">
        <w:r>
          <w:rPr>
            <w:rStyle w:val="Hyperlink"/>
          </w:rPr>
          <w:t xml:space="preserve">4.3.2</w:t>
        </w:r>
      </w:hyperlink>
      <w:r>
        <w:t xml:space="preserve">]. In commercial service provider relationships, data interfaces present data in ways that are configured to reflect the profit motives of the organisation (explored further in my work with Goffe</w:t>
      </w:r>
      <w:r>
        <w:t xml:space="preserve"> </w:t>
      </w:r>
      <w:r>
        <w:rPr>
          <w:iCs/>
          <w:i/>
        </w:rPr>
        <w:t xml:space="preserve">et al.</w:t>
      </w:r>
      <w:r>
        <w:t xml:space="preserve"> </w:t>
      </w:r>
      <w:r>
        <w:t xml:space="preserve">(</w:t>
      </w:r>
      <w:hyperlink w:anchor="ref-goffe2021">
        <w:r>
          <w:rPr>
            <w:rStyle w:val="Hyperlink"/>
          </w:rPr>
          <w:t xml:space="preserve">Goffe</w:t>
        </w:r>
        <w:r>
          <w:rPr>
            <w:rStyle w:val="Hyperlink"/>
          </w:rPr>
          <w:t xml:space="preserve"> </w:t>
        </w:r>
        <w:r>
          <w:rPr>
            <w:rStyle w:val="Hyperlink"/>
            <w:iCs/>
            <w:i/>
          </w:rPr>
          <w:t xml:space="preserve">et al.</w:t>
        </w:r>
        <w:r>
          <w:rPr>
            <w:rStyle w:val="Hyperlink"/>
          </w:rPr>
          <w:t xml:space="preserve">, 2021</w:t>
        </w:r>
      </w:hyperlink>
      <w:r>
        <w:t xml:space="preserve">)</w:t>
      </w:r>
      <w:r>
        <w:t xml:space="preserve">), and so accessing a relevant view of one’s own data and having the means to access the knowledge within it is similarly difficult. Participants in Case Study Two found returned data unuseable [</w:t>
      </w:r>
      <w:hyperlink w:anchor="X1dbeb22450733a0c08e419e0b9d08ee870168d8">
        <w:r>
          <w:rPr>
            <w:rStyle w:val="Hyperlink"/>
          </w:rPr>
          <w:t xml:space="preserve">5.4.3</w:t>
        </w:r>
      </w:hyperlink>
      <w:r>
        <w:t xml:space="preserve">], and wanted visualisations that would allow them to discover patterns and insights, and tools to explore their data [</w:t>
      </w:r>
      <w:hyperlink w:anchor="Xb44f5ba5716f847f201fcf0acc0e7b504876f28">
        <w:r>
          <w:rPr>
            <w:rStyle w:val="Hyperlink"/>
          </w:rPr>
          <w:t xml:space="preserve">5.4.3</w:t>
        </w:r>
      </w:hyperlink>
      <w:r>
        <w:t xml:space="preserve">;</w:t>
      </w:r>
      <w:r>
        <w:t xml:space="preserve"> </w:t>
      </w:r>
      <w:hyperlink w:anchor="X41dd5411c3ac1e32b00fee73de26a508f888c5b">
        <w:r>
          <w:rPr>
            <w:rStyle w:val="Hyperlink"/>
          </w:rPr>
          <w:t xml:space="preserve">5.5.3</w:t>
        </w:r>
      </w:hyperlink>
      <w:r>
        <w:t xml:space="preserve">].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Cs/>
          <w:b/>
        </w:rPr>
        <w:t xml:space="preserve">If holders do not make data useable, this is a barrier to individual agency and power.</w:t>
      </w:r>
      <w:r>
        <w:t xml:space="preserve"> </w:t>
      </w:r>
      <w:r>
        <w:t xml:space="preserve">In Human-Data Interaction terms, people need not just legibility, but</w:t>
      </w:r>
      <w:r>
        <w:t xml:space="preserve"> </w:t>
      </w:r>
      <w:r>
        <w:rPr>
          <w:iCs/>
          <w:i/>
        </w:rPr>
        <w:t xml:space="preserve">agency</w:t>
      </w:r>
      <w:r>
        <w:t xml:space="preserve"> </w:t>
      </w:r>
      <w:r>
        <w:t xml:space="preserve">- the ability to act upon one’s data</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Personal data contains valuable and actionable information about individuals and their lives [</w:t>
      </w:r>
      <w:hyperlink w:anchor="X41dd5411c3ac1e32b00fee73de26a508f888c5b">
        <w:r>
          <w:rPr>
            <w:rStyle w:val="Hyperlink"/>
          </w:rPr>
          <w:t xml:space="preserve">5.5.3</w:t>
        </w:r>
      </w:hyperlink>
      <w:r>
        <w:t xml:space="preserve">]. The SI field has identified that there are already many practical barriers to working with one’s personal data effectively, including not just access but challenges in integration, sensemaking and goal-tracking—the</w:t>
      </w:r>
      <w:r>
        <w:t xml:space="preserve"> </w:t>
      </w:r>
      <w:r>
        <w:t xml:space="preserve">‘</w:t>
      </w:r>
      <w:r>
        <w:t xml:space="preserve">barriers cascade</w:t>
      </w:r>
      <w:r>
        <w:t xml:space="preserve">’</w:t>
      </w:r>
      <w:r>
        <w:t xml:space="preserve"> </w:t>
      </w:r>
      <w:r>
        <w:t xml:space="preserve">(</w:t>
      </w:r>
      <w:hyperlink w:anchor="ref-li2010">
        <w:r>
          <w:rPr>
            <w:rStyle w:val="Hyperlink"/>
          </w:rPr>
          <w:t xml:space="preserve">Li, Forlizzi and Dey, 2010</w:t>
        </w:r>
      </w:hyperlink>
      <w:r>
        <w:t xml:space="preserve">)</w:t>
      </w:r>
      <w:r>
        <w:t xml:space="preserve">—which hinder the ability to use one’s data for personal benefit. As observed in Case Study Two, an inability to access the value in your own data can lead to feelings of resignation, concern, suspicion or distrust [</w:t>
      </w:r>
      <w:hyperlink w:anchor="X2246273db175b4d951c8ae09a9b87d55b422463">
        <w:r>
          <w:rPr>
            <w:rStyle w:val="Hyperlink"/>
          </w:rPr>
          <w:t xml:space="preserve">5.6</w:t>
        </w:r>
      </w:hyperlink>
      <w:r>
        <w:t xml:space="preserve">]. Even if one can see and understand one’s data, an inability to act upon it can reinforce feelings of being passive and uninvolved; without this, any opportunity to feel engaged and motivated is lost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 p. p8</w:t>
        </w:r>
      </w:hyperlink>
      <w:r>
        <w:t xml:space="preserve">)</w:t>
      </w:r>
      <w:r>
        <w:t xml:space="preserve">. Being able to use data for one’s own purposes is a critical ingredient of empowerment and rebalancing power</w:t>
      </w:r>
      <w:r>
        <w:t xml:space="preserve"> </w:t>
      </w:r>
      <w:r>
        <w:t xml:space="preserve">(</w:t>
      </w:r>
      <w:hyperlink w:anchor="ref-wef2014lens">
        <w:r>
          <w:rPr>
            <w:rStyle w:val="Hyperlink"/>
          </w:rPr>
          <w:t xml:space="preserve">Hoffman, 2014a</w:t>
        </w:r>
      </w:hyperlink>
      <w:r>
        <w:t xml:space="preserve">)</w:t>
      </w:r>
      <w:r>
        <w:t xml:space="preserve">. Without data usability, individuals are in effect digitally impaired, leading a less functional society where innovation and growth is limited [</w:t>
      </w:r>
      <w:r>
        <w:t xml:space="preserve">Abiteboul, André and Kaplan (</w:t>
      </w:r>
      <w:hyperlink w:anchor="ref-abiteboul2015">
        <w:r>
          <w:rPr>
            <w:rStyle w:val="Hyperlink"/>
          </w:rPr>
          <w:t xml:space="preserve">2015</w:t>
        </w:r>
      </w:hyperlink>
      <w:r>
        <w:t xml:space="preserve">)</w:t>
      </w:r>
      <w:r>
        <w:t xml:space="preserve">;</w:t>
      </w:r>
      <w:r>
        <w:t xml:space="preserve"> </w:t>
      </w:r>
      <w:hyperlink w:anchor="Xbff12eeb621c3f4c18ae1d2809b3860778910f4">
        <w:r>
          <w:rPr>
            <w:rStyle w:val="Hyperlink"/>
          </w:rPr>
          <w:t xml:space="preserve">2.1.4</w:t>
        </w:r>
      </w:hyperlink>
      <w:r>
        <w:t xml:space="preserve">].</w:t>
      </w:r>
    </w:p>
    <w:bookmarkEnd w:id="23"/>
    <w:bookmarkEnd w:id="24"/>
    <w:bookmarkStart w:id="28" w:name="X86a6a7bbe6a4ae5c1502558f013f6ed6b9ae6f2"/>
    <w:p>
      <w:pPr>
        <w:pStyle w:val="Heading2"/>
      </w:pPr>
      <w:r>
        <w:rPr>
          <w:rStyle w:val="SectionNumber"/>
        </w:rPr>
        <w:t xml:space="preserve">1.2</w:t>
      </w:r>
      <w:r>
        <w:tab/>
      </w:r>
      <w:r>
        <w:t xml:space="preserve">Answering RQ2: What do people want in</w:t>
      </w:r>
      <w:r>
        <w:t xml:space="preserve"> </w:t>
      </w:r>
      <w:r>
        <w:rPr>
          <w:iCs/>
          <w:i/>
        </w:rPr>
        <w:t xml:space="preserve">indirect</w:t>
      </w:r>
      <w:r>
        <w:t xml:space="preserve"> </w:t>
      </w:r>
      <w:r>
        <w:t xml:space="preserve">data relations?</w:t>
      </w:r>
    </w:p>
    <w:p>
      <w:pPr>
        <w:pStyle w:val="FirstParagraph"/>
      </w:pPr>
      <w:r>
        <w:t xml:space="preserve">By comparing and grouping elements of the findings from Case Study One [</w:t>
      </w:r>
      <w:hyperlink w:anchor="X5d05199b7d43b0bd203a9cf2e8e874dad4ff45f">
        <w:r>
          <w:rPr>
            <w:rStyle w:val="Hyperlink"/>
          </w:rPr>
          <w:t xml:space="preserve">4.3</w:t>
        </w:r>
      </w:hyperlink>
      <w:r>
        <w:t xml:space="preserve">] and from Case Study Two [</w:t>
      </w:r>
      <w:hyperlink w:anchor="Xe764b34bb9cf18ff85fc0a77c2cd10063248c10">
        <w:r>
          <w:rPr>
            <w:rStyle w:val="Hyperlink"/>
          </w:rPr>
          <w:t xml:space="preserve">5.4</w:t>
        </w:r>
      </w:hyperlink>
      <w:r>
        <w:t xml:space="preserve">], especially in the context of individual relationships with care providers and digital service providers respectively, three distinct data wants are evident when considering</w:t>
      </w:r>
      <w:r>
        <w:t xml:space="preserve"> </w:t>
      </w:r>
      <w:r>
        <w:rPr>
          <w:iCs/>
          <w:i/>
        </w:rPr>
        <w:t xml:space="preserve">indirect</w:t>
      </w:r>
      <w:r>
        <w:t xml:space="preserve"> </w:t>
      </w:r>
      <w:r>
        <w:t xml:space="preserve">data relations:</w:t>
      </w:r>
    </w:p>
    <w:p>
      <w:pPr>
        <w:numPr>
          <w:ilvl w:val="0"/>
          <w:numId w:val="1004"/>
        </w:numPr>
        <w:pStyle w:val="Compact"/>
      </w:pPr>
      <w:r>
        <w:rPr>
          <w:iCs/>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4"/>
        </w:numPr>
        <w:pStyle w:val="Compact"/>
      </w:pPr>
      <w:r>
        <w:rPr>
          <w:iCs/>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4"/>
        </w:numPr>
        <w:pStyle w:val="Compact"/>
      </w:pPr>
      <w:r>
        <w:rPr>
          <w:iCs/>
          <w:i/>
        </w:rPr>
        <w:t xml:space="preserve">Involvement in Decision Making</w:t>
      </w:r>
      <w:r>
        <w:t xml:space="preserve">: People need to be invited and involved in decision 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5" w:name="want-i1"/>
    <w:p>
      <w:pPr>
        <w:pStyle w:val="Heading3"/>
      </w:pPr>
      <w:r>
        <w:rPr>
          <w:rStyle w:val="SectionNumber"/>
        </w:rPr>
        <w:t xml:space="preserve">1.2.1</w:t>
      </w:r>
      <w:r>
        <w:tab/>
      </w:r>
      <w:r>
        <w:t xml:space="preserve">Process Transparency</w:t>
      </w:r>
    </w:p>
    <w:p>
      <w:pPr>
        <w:pStyle w:val="FirstParagraph"/>
      </w:pPr>
      <w:r>
        <w:rPr>
          <w:bCs/>
          <w:b/>
        </w:rPr>
        <w:t xml:space="preserve">People need a window into how their data is used; this means transparency of processes not just of data</w:t>
      </w:r>
      <w:r>
        <w:t xml:space="preserve">. It is well-established that there is currently extensive use of personal data by service providers and other parties that is beyond an individual’s view</w:t>
      </w:r>
      <w:r>
        <w:t xml:space="preserve"> </w:t>
      </w:r>
      <w:r>
        <w:t xml:space="preserve">(</w:t>
      </w:r>
      <w:hyperlink w:anchor="ref-wef2011">
        <w:r>
          <w:rPr>
            <w:rStyle w:val="Hyperlink"/>
          </w:rPr>
          <w:t xml:space="preserve">Hoffman, 2011</w:t>
        </w:r>
      </w:hyperlink>
      <w:r>
        <w:t xml:space="preserve">)</w:t>
      </w:r>
      <w:r>
        <w:t xml:space="preserve">, forming an ecosystem of data use based upon one’s data, which is currently not centred on or visible to the individual concerned [</w:t>
      </w:r>
      <w:hyperlink w:anchor="X7b06b2486a051055e43ae1127e87196d505e2f3">
        <w:r>
          <w:rPr>
            <w:rStyle w:val="Hyperlink"/>
          </w:rPr>
          <w:t xml:space="preserve">2.3.4</w:t>
        </w:r>
      </w:hyperlink>
      <w:r>
        <w:t xml:space="preserve">].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w:t>
      </w:r>
      <w:hyperlink w:anchor="ref-wef2011">
        <w:r>
          <w:rPr>
            <w:rStyle w:val="Hyperlink"/>
          </w:rPr>
          <w:t xml:space="preserve">Hoffman, 2011</w:t>
        </w:r>
      </w:hyperlink>
      <w:r>
        <w:t xml:space="preserve">)</w:t>
      </w:r>
      <w:r>
        <w:t xml:space="preserve">. Even with full data access, understanding and useability, individuals cannot see into this opaque world of data use; the data is just an artifact produced and shaped by unseen processes. Like an archaeologist trying to infer the customs of lost civilisations through ancient relics, observation of the data can only reveal so much. Andrew Cormack, writing before GDPR, observed that</w:t>
      </w:r>
      <w:r>
        <w:t xml:space="preserve"> </w:t>
      </w:r>
      <w:r>
        <w:rPr>
          <w:iCs/>
          <w:i/>
        </w:rPr>
        <w:t xml:space="preserve">“</w:t>
      </w:r>
      <w:r>
        <w:rPr>
          <w:iCs/>
          <w:i/>
        </w:rPr>
        <w:t xml:space="preserve">it is more important to know how information is processed than the actual values involved</w:t>
      </w:r>
      <w:r>
        <w:rPr>
          <w:iCs/>
          <w:i/>
        </w:rPr>
        <w:t xml:space="preserve">”</w:t>
      </w:r>
      <w:r>
        <w:t xml:space="preserve"> </w:t>
      </w:r>
      <w:r>
        <w:t xml:space="preserve">(</w:t>
      </w:r>
      <w:hyperlink w:anchor="ref-cormack2016">
        <w:r>
          <w:rPr>
            <w:rStyle w:val="Hyperlink"/>
          </w:rPr>
          <w:t xml:space="preserve">Cormack, 2016</w:t>
        </w:r>
      </w:hyperlink>
      <w:r>
        <w:t xml:space="preserve">)</w:t>
      </w:r>
      <w:r>
        <w:t xml:space="preserve">. The SILVER project found that families had very little awareness or understanding how their data was used, and that consent was therefore not meaningful because consent had been given without processual understanding [4.2.2]. In Case Study One participants agreed that people need rights to see how their data is used [</w:t>
      </w:r>
      <w:hyperlink w:anchor="X2924b50fa0eb4c179281a1a665ffae8de515714">
        <w:r>
          <w:rPr>
            <w:rStyle w:val="Hyperlink"/>
          </w:rPr>
          <w:t xml:space="preserve">4.2.6</w:t>
        </w:r>
      </w:hyperlink>
      <w:r>
        <w:t xml:space="preserve">]. Case Study Two revealed a clear desire for awareness of how data is used, how decisions are made, and how this might affect them [</w:t>
      </w:r>
      <w:hyperlink w:anchor="X61668d6575f2536b8984a471ac570156abd14ef">
        <w:r>
          <w:rPr>
            <w:rStyle w:val="Hyperlink"/>
          </w:rPr>
          <w:t xml:space="preserve">5.4.2</w:t>
        </w:r>
      </w:hyperlink>
      <w:r>
        <w:t xml:space="preserve">], with over 74% of goals in pursuing GDPR requests relating to wanting greater insight into personal data use practices [</w:t>
      </w:r>
      <w:hyperlink w:anchor="Xb52ada446f84acb5529ace8fe4f25e203a5dddb">
        <w:r>
          <w:rPr>
            <w:rStyle w:val="Hyperlink"/>
          </w:rPr>
          <w:t xml:space="preserve">5.3.2</w:t>
        </w:r>
      </w:hyperlink>
      <w:r>
        <w:t xml:space="preserve">]. 70% of participants wanted to understand what providers infer from their data and this was unmet in 73% of cases and fully met in only 7% of cases [</w:t>
      </w:r>
      <w:hyperlink w:anchor="Xb52ada446f84acb5529ace8fe4f25e203a5dddb">
        <w:r>
          <w:rPr>
            <w:rStyle w:val="Hyperlink"/>
          </w:rPr>
          <w:t xml:space="preserve">5.3.2</w:t>
        </w:r>
      </w:hyperlink>
      <w:r>
        <w:t xml:space="preserve">].</w:t>
      </w:r>
    </w:p>
    <w:p>
      <w:pPr>
        <w:pStyle w:val="BodyText"/>
      </w:pPr>
      <w:r>
        <w:rPr>
          <w:bCs/>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w:t>
      </w:r>
      <w:hyperlink w:anchor="X8ff615c03fc2afb91384f9ef05bab6acdbbe9e9">
        <w:r>
          <w:rPr>
            <w:rStyle w:val="Hyperlink"/>
          </w:rPr>
          <w:t xml:space="preserve">5.4.3</w:t>
        </w:r>
      </w:hyperlink>
      <w:r>
        <w:t xml:space="preserve">].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w:t>
      </w:r>
      <w:hyperlink w:anchor="Xb52ada446f84acb5529ace8fe4f25e203a5dddb">
        <w:r>
          <w:rPr>
            <w:rStyle w:val="Hyperlink"/>
          </w:rPr>
          <w:t xml:space="preserve">5.3.2</w:t>
        </w:r>
      </w:hyperlink>
      <w:r>
        <w:t xml:space="preserve">] and sought to judge whether data use practices were</w:t>
      </w:r>
      <w:r>
        <w:t xml:space="preserve"> </w:t>
      </w:r>
      <w:r>
        <w:t xml:space="preserve">“</w:t>
      </w:r>
      <w:r>
        <w:t xml:space="preserve">appropriate</w:t>
      </w:r>
      <w:r>
        <w:t xml:space="preserve">”</w:t>
      </w:r>
      <w:r>
        <w:t xml:space="preserve"> </w:t>
      </w:r>
      <w:r>
        <w:t xml:space="preserve">[</w:t>
      </w:r>
      <w:hyperlink w:anchor="X8ef1d3869bf4bb5a92237b22f0c9991484d5c62">
        <w:r>
          <w:rPr>
            <w:rStyle w:val="Hyperlink"/>
          </w:rPr>
          <w:t xml:space="preserve">5.2.4</w:t>
        </w:r>
      </w:hyperlink>
      <w:r>
        <w:t xml:space="preserve">]. In the Early Help context, all data processing is hidden from individual view and no access or questioning capability except through their support worker (functioning as a selective gatekeeper) [</w:t>
      </w:r>
      <w:hyperlink w:anchor="Xba1cdcd02c8fe15ffff21ff0cb646a3324830ca">
        <w:r>
          <w:rPr>
            <w:rStyle w:val="Hyperlink"/>
          </w:rPr>
          <w:t xml:space="preserve">4.1.1</w:t>
        </w:r>
      </w:hyperlink>
      <w:r>
        <w:t xml:space="preserve">;</w:t>
      </w:r>
      <w:r>
        <w:t xml:space="preserve"> </w:t>
      </w:r>
      <w:hyperlink w:anchor="Xc2fcfc265ab40ba82ed064a42903a2f576bb84b">
        <w:r>
          <w:rPr>
            <w:rStyle w:val="Hyperlink"/>
          </w:rPr>
          <w:t xml:space="preserve">4.2.1</w:t>
        </w:r>
      </w:hyperlink>
      <w:r>
        <w:t xml:space="preserve">;</w:t>
      </w:r>
      <w:r>
        <w:t xml:space="preserve"> </w:t>
      </w:r>
      <w:hyperlink w:anchor="X328e55f0b8c991dca9b1bed7c3b0763f63cd1bf">
        <w:r>
          <w:rPr>
            <w:rStyle w:val="Hyperlink"/>
          </w:rPr>
          <w:t xml:space="preserve">4.4.1</w:t>
        </w:r>
      </w:hyperlink>
      <w:r>
        <w:t xml:space="preserve">]. Returning to Case Study Two, there was evidently some transparency available in the form of the ability to make a GDPR request, but many participants found GDPR responses inadequate for holding providers accountable [</w:t>
      </w:r>
      <w:hyperlink w:anchor="X1cd4adbd9cf88d595989351fa75f215427f932d">
        <w:r>
          <w:rPr>
            <w:rStyle w:val="Hyperlink"/>
          </w:rPr>
          <w:t xml:space="preserve">5.2.4</w:t>
        </w:r>
      </w:hyperlink>
      <w:r>
        <w:t xml:space="preserve">]. Nonetheless, data access request handling is itself a data process, and so in this sense, the GDPR process did offer some ability to judge the trustworthiness and integrity of providers in data handling, in part informed by the breadth and quality of data returns [</w:t>
      </w:r>
      <w:hyperlink w:anchor="table-ari5.1">
        <w:r>
          <w:rPr>
            <w:rStyle w:val="Hyperlink"/>
          </w:rPr>
          <w:t xml:space="preserve">Table ARI5.1</w:t>
        </w:r>
      </w:hyperlink>
      <w:r>
        <w:t xml:space="preserve">] but perhaps more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w:t>
      </w:r>
      <w:hyperlink w:anchor="X5ced3ee2ccb25053e7e84687bddad6552a5317e">
        <w:r>
          <w:rPr>
            <w:rStyle w:val="Hyperlink"/>
          </w:rPr>
          <w:t xml:space="preserve">5.4.4</w:t>
        </w:r>
      </w:hyperlink>
      <w:r>
        <w:t xml:space="preserve">].</w:t>
      </w:r>
    </w:p>
    <w:p>
      <w:pPr>
        <w:pStyle w:val="BodyText"/>
      </w:pPr>
      <w:r>
        <w:rPr>
          <w:bCs/>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a20090f6629e82dc86182a58926523409ffdf49">
        <w:r>
          <w:rPr>
            <w:rStyle w:val="Hyperlink"/>
          </w:rPr>
          <w:t xml:space="preserve">4.2</w:t>
        </w:r>
      </w:hyperlink>
      <w:r>
        <w:t xml:space="preserve">]. This equates in practice to a complete lack of accountability over data practice [</w:t>
      </w:r>
      <w:hyperlink w:anchor="X328e55f0b8c991dca9b1bed7c3b0763f63cd1bf">
        <w:r>
          <w:rPr>
            <w:rStyle w:val="Hyperlink"/>
          </w:rPr>
          <w:t xml:space="preserve">4.4.1</w:t>
        </w:r>
      </w:hyperlink>
      <w:r>
        <w:t xml:space="preserve">;</w:t>
      </w:r>
      <w:r>
        <w:t xml:space="preserve"> </w:t>
      </w:r>
      <w:hyperlink w:anchor="X9a7597c10f2e831aaf8a6526fb9a13e25ea680e">
        <w:r>
          <w:rPr>
            <w:rStyle w:val="Hyperlink"/>
          </w:rPr>
          <w:t xml:space="preserve">4.5</w:t>
        </w:r>
      </w:hyperlink>
      <w:r>
        <w:t xml:space="preserve">]. Meanwhile in the commercial context, some companies failed to respond at all to GDPR, which is a barrier to accountability service providers. Many routinely failed to adequately meet the transparency rights stated by GDPR, without repercussion or consequence [</w:t>
      </w:r>
      <w:hyperlink w:anchor="Xf82fbb2dc60742710804957969df9552f188feb">
        <w:r>
          <w:rPr>
            <w:rStyle w:val="Hyperlink"/>
          </w:rPr>
          <w:t xml:space="preserve">5.4.2</w:t>
        </w:r>
      </w:hyperlink>
      <w:r>
        <w:t xml:space="preserve">].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2014a</w:t>
        </w:r>
      </w:hyperlink>
      <w:r>
        <w:t xml:space="preserve">)</w:t>
      </w:r>
      <w:r>
        <w:t xml:space="preserve">) and the dominance of data holders over the individuals about whom data is held, is reinforced by a lack of transparency.</w:t>
      </w:r>
    </w:p>
    <w:p>
      <w:pPr>
        <w:pStyle w:val="BodyText"/>
      </w:pPr>
      <w:r>
        <w:rPr>
          <w:bCs/>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w:t>
      </w:r>
      <w:hyperlink w:anchor="X2924b50fa0eb4c179281a1a665ffae8de515714">
        <w:r>
          <w:rPr>
            <w:rStyle w:val="Hyperlink"/>
          </w:rPr>
          <w:t xml:space="preserve">4.2.6</w:t>
        </w:r>
      </w:hyperlink>
      <w:r>
        <w:t xml:space="preserve">;</w:t>
      </w:r>
      <w:r>
        <w:t xml:space="preserve"> </w:t>
      </w:r>
      <w:hyperlink w:anchor="X9eb2c8e7c5bc627a302d0d70db67a8586f266ab">
        <w:r>
          <w:rPr>
            <w:rStyle w:val="Hyperlink"/>
          </w:rPr>
          <w:t xml:space="preserve">4.3.3</w:t>
        </w:r>
      </w:hyperlink>
      <w:r>
        <w:t xml:space="preserve">]. Therefore, transparency is vital in order to ensure data is fair and accurate to them, yet it is not available [</w:t>
      </w:r>
      <w:hyperlink w:anchor="X9902a1eb94ef3aa68394787a4c511390162b100">
        <w:r>
          <w:rPr>
            <w:rStyle w:val="Hyperlink"/>
          </w:rPr>
          <w:t xml:space="preserve">4.3.4</w:t>
        </w:r>
      </w:hyperlink>
      <w:r>
        <w:t xml:space="preserve">] so they have no means to ensure this. Similarly in Case Study Two, the most popular GDPR goals around understanding inferences made from data about people [</w:t>
      </w:r>
      <w:hyperlink w:anchor="Xc89f60f46ccf047183c71c1efe28ba794cbc8f8">
        <w:r>
          <w:rPr>
            <w:rStyle w:val="Hyperlink"/>
          </w:rPr>
          <w:t xml:space="preserve">5.3.3</w:t>
        </w:r>
      </w:hyperlink>
      <w:r>
        <w:t xml:space="preserve">] remained unmet. Data was incomplete, delayed, or inaccessible [</w:t>
      </w:r>
      <w:hyperlink w:anchor="Xb52ada446f84acb5529ace8fe4f25e203a5dddb">
        <w:r>
          <w:rPr>
            <w:rStyle w:val="Hyperlink"/>
          </w:rPr>
          <w:t xml:space="preserve">5.3.2</w:t>
        </w:r>
      </w:hyperlink>
      <w:r>
        <w:t xml:space="preserve">] and the potentially most informative type of data when it comes to understanding processing—metadata, derived and acquired data—were typically absent. Apparently broad responses were discovered to be very limited when viewed through the lens of privacy policy commitments and GDPR transparency rights [</w:t>
      </w:r>
      <w:hyperlink w:anchor="X17fee6fbf9ee82826dccbd5118d485029a82ebe">
        <w:r>
          <w:rPr>
            <w:rStyle w:val="Hyperlink"/>
          </w:rPr>
          <w:t xml:space="preserve">5.3.4</w:t>
        </w:r>
      </w:hyperlink>
      <w:r>
        <w:t xml:space="preserve">].</w:t>
      </w:r>
    </w:p>
    <w:p>
      <w:pPr>
        <w:pStyle w:val="BodyText"/>
      </w:pPr>
      <w:r>
        <w:rPr>
          <w:bCs/>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w:t>
      </w:r>
      <w:hyperlink w:anchor="X1dbeb22450733a0c08e419e0b9d08ee870168d8">
        <w:r>
          <w:rPr>
            <w:rStyle w:val="Hyperlink"/>
          </w:rPr>
          <w:t xml:space="preserve">5.4.3</w:t>
        </w:r>
      </w:hyperlink>
      <w:r>
        <w:t xml:space="preserve">] can deliver some of this needed understanding and subsequently increase trust</w:t>
      </w:r>
      <w:r>
        <w:t xml:space="preserve"> </w:t>
      </w:r>
      <w:r>
        <w:t xml:space="preserve">(</w:t>
      </w:r>
      <w:hyperlink w:anchor="ref-glavic2021">
        <w:r>
          <w:rPr>
            <w:rStyle w:val="Hyperlink"/>
          </w:rPr>
          <w:t xml:space="preserve">Glavic</w:t>
        </w:r>
        <w:r>
          <w:rPr>
            <w:rStyle w:val="Hyperlink"/>
          </w:rPr>
          <w:t xml:space="preserve"> </w:t>
        </w:r>
        <w:r>
          <w:rPr>
            <w:rStyle w:val="Hyperlink"/>
            <w:iCs/>
            <w:i/>
          </w:rPr>
          <w:t xml:space="preserve">et al.</w:t>
        </w:r>
        <w:r>
          <w:rPr>
            <w:rStyle w:val="Hyperlink"/>
          </w:rPr>
          <w:t xml:space="preserve">, 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w:t>
      </w:r>
      <w:hyperlink w:anchor="X2902b4cdc2a826d64840aa586dae8f5626e82e7">
        <w:r>
          <w:rPr>
            <w:rStyle w:val="Hyperlink"/>
          </w:rPr>
          <w:t xml:space="preserve">5.4.4</w:t>
        </w:r>
      </w:hyperlink>
      <w:r>
        <w:t xml:space="preserve">;</w:t>
      </w:r>
      <w:r>
        <w:t xml:space="preserve"> </w:t>
      </w:r>
      <w:hyperlink w:anchor="X2246273db175b4d951c8ae09a9b87d55b422463">
        <w:r>
          <w:rPr>
            <w:rStyle w:val="Hyperlink"/>
          </w:rPr>
          <w:t xml:space="preserve">5.6</w:t>
        </w:r>
      </w:hyperlink>
      <w:r>
        <w:t xml:space="preserve">]) can harm trust, as in the majority of cases (52%) can harm trust [</w:t>
      </w:r>
      <w:hyperlink w:anchor="X17fee6fbf9ee82826dccbd5118d485029a82ebe">
        <w:r>
          <w:rPr>
            <w:rStyle w:val="Hyperlink"/>
          </w:rPr>
          <w:t xml:space="preserve">5.3.4</w:t>
        </w:r>
      </w:hyperlink>
      <w:r>
        <w:t xml:space="preserve">], leading to thoughts such as</w:t>
      </w:r>
      <w:r>
        <w:t xml:space="preserve"> </w:t>
      </w:r>
      <w:r>
        <w:t xml:space="preserve">‘</w:t>
      </w:r>
      <w:r>
        <w:t xml:space="preserve">what are they hiding?</w:t>
      </w:r>
      <w:r>
        <w:t xml:space="preserve">’</w:t>
      </w:r>
      <w:r>
        <w:t xml:space="preserve"> </w:t>
      </w:r>
      <w:r>
        <w:t xml:space="preserve">[</w:t>
      </w:r>
      <w:hyperlink w:anchor="X5ced3ee2ccb25053e7e84687bddad6552a5317e">
        <w:r>
          <w:rPr>
            <w:rStyle w:val="Hyperlink"/>
          </w:rPr>
          <w:t xml:space="preserve">5.4.4</w:t>
        </w:r>
      </w:hyperlink>
      <w:r>
        <w:t xml:space="preserve">]. Privacy policies that contradicted expectations or lacked sufficient explanations also led to distrust [</w:t>
      </w:r>
      <w:hyperlink w:anchor="X17fee6fbf9ee82826dccbd5118d485029a82ebe">
        <w:r>
          <w:rPr>
            <w:rStyle w:val="Hyperlink"/>
          </w:rPr>
          <w:t xml:space="preserve">5.3.4</w:t>
        </w:r>
      </w:hyperlink>
      <w:r>
        <w:t xml:space="preserve">]. Trust in the independence and integrity of data holders is essential</w:t>
      </w:r>
      <w:r>
        <w:t xml:space="preserve"> </w:t>
      </w:r>
      <w:r>
        <w:t xml:space="preserve">(</w:t>
      </w:r>
      <w:hyperlink w:anchor="ref-vandijck2014">
        <w:r>
          <w:rPr>
            <w:rStyle w:val="Hyperlink"/>
          </w:rPr>
          <w:t xml:space="preserve">Dijck, 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w:t>
      </w:r>
      <w:hyperlink w:anchor="Xb367cc24dc19d310f9af1157021067beef77465">
        <w:r>
          <w:rPr>
            <w:rStyle w:val="Hyperlink"/>
          </w:rPr>
          <w:t xml:space="preserve">4.2.2</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When families felt alienated from their data, trust was absent [</w:t>
      </w:r>
      <w:hyperlink w:anchor="X328e55f0b8c991dca9b1bed7c3b0763f63cd1bf">
        <w:r>
          <w:rPr>
            <w:rStyle w:val="Hyperlink"/>
          </w:rPr>
          <w:t xml:space="preserve">4.4.1</w:t>
        </w:r>
      </w:hyperlink>
      <w:r>
        <w:t xml:space="preserve">], and a lack of transparency and accountability makes it hard for families to maintain trust in the system [</w:t>
      </w:r>
      <w:hyperlink w:anchor="X9a7597c10f2e831aaf8a6526fb9a13e25ea680e">
        <w:r>
          <w:rPr>
            <w:rStyle w:val="Hyperlink"/>
          </w:rPr>
          <w:t xml:space="preserve">4.5</w:t>
        </w:r>
      </w:hyperlink>
      <w:r>
        <w:t xml:space="preserve">]. These issues of transparency and trust are inherent in a data-centric operating model, and the World Economic Forum have summarised this problem thus:</w:t>
      </w:r>
    </w:p>
    <w:p>
      <w:pPr>
        <w:pStyle w:val="BlockText"/>
      </w:pPr>
      <w:r>
        <w:rPr>
          <w:iCs/>
          <w:i/>
        </w:rPr>
        <w:t xml:space="preserve">“</w:t>
      </w:r>
      <w:r>
        <w:rPr>
          <w:iCs/>
          <w:i/>
        </w:rPr>
        <w:t xml:space="preserve">A crisis of trust is developing, stemming from the use of personal data in ways that are inconsistent with individuals’ preferences or expectations.</w:t>
      </w:r>
      <w:r>
        <w:rPr>
          <w:iCs/>
          <w:i/>
        </w:rPr>
        <w:t xml:space="preserve">”</w:t>
      </w:r>
      <w:r>
        <w:t xml:space="preserve"> </w:t>
      </w:r>
      <w:r>
        <w:t xml:space="preserve">(</w:t>
      </w:r>
      <w:hyperlink w:anchor="ref-wef2014context">
        <w:r>
          <w:rPr>
            <w:rStyle w:val="Hyperlink"/>
          </w:rPr>
          <w:t xml:space="preserve">Hoffman, 2014b</w:t>
        </w:r>
      </w:hyperlink>
      <w:r>
        <w:t xml:space="preserve">)</w:t>
      </w:r>
    </w:p>
    <w:p>
      <w:pPr>
        <w:pStyle w:val="FirstParagraph"/>
      </w:pPr>
      <w:r>
        <w:rPr>
          <w:bCs/>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w:t>
      </w:r>
      <w:hyperlink w:anchor="X33b0e93f97f87fa3bb3c4df915c0729032ea608">
        <w:r>
          <w:rPr>
            <w:rStyle w:val="Hyperlink"/>
          </w:rPr>
          <w:t xml:space="preserve">4.3.4</w:t>
        </w:r>
      </w:hyperlink>
      <w:r>
        <w:t xml:space="preserve">], while in Case Study Two we highlighted the potential benefits of increased consumer loyalty that greater transparency might bring [</w:t>
      </w:r>
      <w:hyperlink w:anchor="X279d3e70c4a8279cdfb499a60bef2c4f405d995">
        <w:r>
          <w:rPr>
            <w:rStyle w:val="Hyperlink"/>
          </w:rPr>
          <w:t xml:space="preserve">5.5.2</w:t>
        </w:r>
      </w:hyperlink>
      <w:r>
        <w:t xml:space="preserve">], as well as the need for policymakers to legislate in favour of increasing individuals’ understanding of data practices [</w:t>
      </w:r>
      <w:hyperlink w:anchor="X18b35402f3fbcb74b8e5bbc8aa2c0e3e784e473">
        <w:r>
          <w:rPr>
            <w:rStyle w:val="Hyperlink"/>
          </w:rPr>
          <w:t xml:space="preserve">5.5.1</w:t>
        </w:r>
      </w:hyperlink>
      <w:r>
        <w:t xml:space="preserve">]. In doing so, we are recommending a level of transparency that goes beyond current GDPR practice, and even beyond current GDPR policy; in order to redistribute power, GDPR needs to deliver meaningful transparency, not just the</w:t>
      </w:r>
      <w:r>
        <w:t xml:space="preserve"> </w:t>
      </w:r>
      <w:r>
        <w:rPr>
          <w:iCs/>
          <w:i/>
        </w:rPr>
        <w:t xml:space="preserve">“</w:t>
      </w:r>
      <w:r>
        <w:rPr>
          <w:iCs/>
          <w:i/>
        </w:rPr>
        <w:t xml:space="preserve">box ticking</w:t>
      </w:r>
      <w:r>
        <w:rPr>
          <w:iCs/>
          <w:i/>
        </w:rPr>
        <w:t xml:space="preserve">”</w:t>
      </w:r>
      <w:r>
        <w:t xml:space="preserve"> </w:t>
      </w:r>
      <w:r>
        <w:t xml:space="preserve">delivery of unhelpful files that our participants sometimes observed [</w:t>
      </w:r>
      <w:hyperlink w:anchor="X18b35402f3fbcb74b8e5bbc8aa2c0e3e784e473">
        <w:r>
          <w:rPr>
            <w:rStyle w:val="Hyperlink"/>
          </w:rPr>
          <w:t xml:space="preserve">5.5.1</w:t>
        </w:r>
      </w:hyperlink>
      <w:r>
        <w:t xml:space="preserve">]. Crabtree describes meaningful transparency by saying that it cannot be a</w:t>
      </w:r>
      <w:r>
        <w:t xml:space="preserve"> </w:t>
      </w:r>
      <w:r>
        <w:rPr>
          <w:iCs/>
          <w:i/>
        </w:rPr>
        <w:t xml:space="preserve">“</w:t>
      </w:r>
      <w:r>
        <w:rPr>
          <w:iCs/>
          <w:i/>
        </w:rPr>
        <w:t xml:space="preserve">one-way street</w:t>
      </w:r>
      <w:r>
        <w:rPr>
          <w:iCs/>
          <w:i/>
        </w:rPr>
        <w:t xml:space="preserve">”</w:t>
      </w:r>
      <w:r>
        <w:t xml:space="preserve"> </w:t>
      </w:r>
      <w:r>
        <w:t xml:space="preserve">that reduces individuals to</w:t>
      </w:r>
      <w:r>
        <w:t xml:space="preserve"> </w:t>
      </w:r>
      <w:r>
        <w:rPr>
          <w:iCs/>
          <w:i/>
        </w:rPr>
        <w:t xml:space="preserve">“</w:t>
      </w:r>
      <w:r>
        <w:rPr>
          <w:iCs/>
          <w:i/>
        </w:rPr>
        <w:t xml:space="preserve">being spectators</w:t>
      </w:r>
      <w:r>
        <w:rPr>
          <w:iCs/>
          <w:i/>
        </w:rPr>
        <w:t xml:space="preserve">”</w:t>
      </w:r>
      <w:r>
        <w:t xml:space="preserve"> </w:t>
      </w:r>
      <w:r>
        <w:t xml:space="preserve">on how their data is used; he says that it involves</w:t>
      </w:r>
      <w:r>
        <w:t xml:space="preserve"> </w:t>
      </w:r>
      <w:r>
        <w:rPr>
          <w:iCs/>
          <w:i/>
        </w:rPr>
        <w:t xml:space="preserve">“</w:t>
      </w:r>
      <w:r>
        <w:rPr>
          <w:iCs/>
          <w:i/>
        </w:rPr>
        <w:t xml:space="preserve">making the whole ecosystem transparent, not just the front end</w:t>
      </w:r>
      <w:r>
        <w:rPr>
          <w:iCs/>
          <w:i/>
        </w:rPr>
        <w:t xml:space="preserve">”</w:t>
      </w:r>
      <w:r>
        <w:t xml:space="preserve"> </w:t>
      </w:r>
      <w:r>
        <w:t xml:space="preserve">(</w:t>
      </w:r>
      <w:hyperlink w:anchor="ref-crabtree2016">
        <w:r>
          <w:rPr>
            <w:rStyle w:val="Hyperlink"/>
          </w:rPr>
          <w:t xml:space="preserve">Crabtree and Mortier, 2016</w:t>
        </w:r>
      </w:hyperlink>
      <w:r>
        <w:t xml:space="preserve">)</w:t>
      </w:r>
      <w:r>
        <w:t xml:space="preserve">. Access to good information about practices is the most effective way to earn trust [</w:t>
      </w:r>
      <w:hyperlink w:anchor="X04bbc487c5380998010e2e8287cf05350ecd6a2">
        <w:r>
          <w:rPr>
            <w:rStyle w:val="Hyperlink"/>
          </w:rPr>
          <w:t xml:space="preserve">5.4.4</w:t>
        </w:r>
      </w:hyperlink>
      <w:r>
        <w:t xml:space="preserve">], and both studies’ findings suggest that a proactive attitude can do just that [</w:t>
      </w:r>
      <w:hyperlink w:anchor="X328e55f0b8c991dca9b1bed7c3b0763f63cd1bf">
        <w:r>
          <w:rPr>
            <w:rStyle w:val="Hyperlink"/>
          </w:rPr>
          <w:t xml:space="preserve">4.4.1</w:t>
        </w:r>
      </w:hyperlink>
      <w:r>
        <w:t xml:space="preserve">;</w:t>
      </w:r>
      <w:r>
        <w:t xml:space="preserve"> </w:t>
      </w:r>
      <w:hyperlink w:anchor="Xbe70c6c3add1b71d0882d65bd5b5f009675e11a">
        <w:r>
          <w:rPr>
            <w:rStyle w:val="Hyperlink"/>
          </w:rPr>
          <w:t xml:space="preserve">4.3.4</w:t>
        </w:r>
      </w:hyperlink>
      <w:r>
        <w:t xml:space="preserve">;</w:t>
      </w:r>
      <w:r>
        <w:t xml:space="preserve"> </w:t>
      </w:r>
      <w:hyperlink w:anchor="X279d3e70c4a8279cdfb499a60bef2c4f405d995">
        <w:r>
          <w:rPr>
            <w:rStyle w:val="Hyperlink"/>
          </w:rPr>
          <w:t xml:space="preserve">5.5.2</w:t>
        </w:r>
      </w:hyperlink>
      <w:r>
        <w:t xml:space="preserve">;</w:t>
      </w:r>
      <w:r>
        <w:t xml:space="preserve"> </w:t>
      </w:r>
      <w:hyperlink w:anchor="X2246273db175b4d951c8ae09a9b87d55b422463">
        <w:r>
          <w:rPr>
            <w:rStyle w:val="Hyperlink"/>
          </w:rPr>
          <w:t xml:space="preserve">5.6</w:t>
        </w:r>
      </w:hyperlink>
      <w:r>
        <w:t xml:space="preserve">].</w:t>
      </w:r>
    </w:p>
    <w:p>
      <w:pPr>
        <w:pStyle w:val="BodyText"/>
      </w:pPr>
      <w:r>
        <w:rPr>
          <w:bCs/>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w:t>
      </w:r>
      <w:hyperlink w:anchor="X17fee6fbf9ee82826dccbd5118d485029a82ebe">
        <w:r>
          <w:rPr>
            <w:rStyle w:val="Hyperlink"/>
          </w:rPr>
          <w:t xml:space="preserve">5.3.4</w:t>
        </w:r>
      </w:hyperlink>
      <w:r>
        <w:t xml:space="preserve">],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w:t>
      </w:r>
      <w:hyperlink w:anchor="X2902b4cdc2a826d64840aa586dae8f5626e82e7">
        <w:r>
          <w:rPr>
            <w:rStyle w:val="Hyperlink"/>
          </w:rPr>
          <w:t xml:space="preserve">5.4.4</w:t>
        </w:r>
      </w:hyperlink>
      <w:r>
        <w:t xml:space="preserve">]. Data holders should not only be transparent, but should follow this up by acting upon subsequent feedback, improving practices that individuals discover and challenge [</w:t>
      </w:r>
      <w:hyperlink w:anchor="X5ced3ee2ccb25053e7e84687bddad6552a5317e">
        <w:r>
          <w:rPr>
            <w:rStyle w:val="Hyperlink"/>
          </w:rPr>
          <w:t xml:space="preserve">5.4.4</w:t>
        </w:r>
      </w:hyperlink>
      <w:r>
        <w:t xml:space="preserve">]. By shining a light, accountability becomes real and change for the better can occur. Ultimately, increasing transparency can help providers uncover exactly what they need to do to earn greater trust [</w:t>
      </w:r>
      <w:hyperlink w:anchor="X2246273db175b4d951c8ae09a9b87d55b422463">
        <w:r>
          <w:rPr>
            <w:rStyle w:val="Hyperlink"/>
          </w:rPr>
          <w:t xml:space="preserve">5.6</w:t>
        </w:r>
      </w:hyperlink>
      <w:r>
        <w:t xml:space="preserve">].</w:t>
      </w:r>
    </w:p>
    <w:p>
      <w:pPr>
        <w:pStyle w:val="BodyText"/>
      </w:pPr>
      <w:r>
        <w:rPr>
          <w:bCs/>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w:t>
      </w:r>
      <w:hyperlink w:anchor="X41dd5411c3ac1e32b00fee73de26a508f888c5b">
        <w:r>
          <w:rPr>
            <w:rStyle w:val="Hyperlink"/>
          </w:rPr>
          <w:t xml:space="preserve">5.5.3</w:t>
        </w:r>
      </w:hyperlink>
      <w:r>
        <w:t xml:space="preserve">]. Without transparency, data holders will continue to hold the balance of power, and individuals will lack agency and accountability.</w:t>
      </w:r>
    </w:p>
    <w:bookmarkEnd w:id="25"/>
    <w:bookmarkStart w:id="26" w:name="want-i2"/>
    <w:p>
      <w:pPr>
        <w:pStyle w:val="Heading3"/>
      </w:pPr>
      <w:r>
        <w:rPr>
          <w:rStyle w:val="SectionNumber"/>
        </w:rPr>
        <w:t xml:space="preserve">1.2.2</w:t>
      </w:r>
      <w:r>
        <w:tab/>
      </w:r>
      <w:r>
        <w:t xml:space="preserve">Individual Oversight</w:t>
      </w:r>
    </w:p>
    <w:p>
      <w:pPr>
        <w:pStyle w:val="FirstParagraph"/>
      </w:pPr>
      <w:r>
        <w:rPr>
          <w:bCs/>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w:t>
      </w:r>
      <w:hyperlink w:anchor="Xc89f60f46ccf047183c71c1efe28ba794cbc8f8">
        <w:r>
          <w:rPr>
            <w:rStyle w:val="Hyperlink"/>
          </w:rPr>
          <w:t xml:space="preserve">5.3.3</w:t>
        </w:r>
      </w:hyperlink>
      <w:r>
        <w:t xml:space="preserve">], mirroring the desires families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b367cc24dc19d310f9af1157021067beef77465">
        <w:r>
          <w:rPr>
            <w:rStyle w:val="Hyperlink"/>
          </w:rPr>
          <w:t xml:space="preserve">4.2.2</w:t>
        </w:r>
      </w:hyperlink>
      <w:r>
        <w:t xml:space="preserve">]. GDPR aims to adhere more to a</w:t>
      </w:r>
      <w:r>
        <w:t xml:space="preserve"> </w:t>
      </w:r>
      <w:r>
        <w:rPr>
          <w:iCs/>
          <w:i/>
        </w:rPr>
        <w:t xml:space="preserve">dynamic consent</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w:t>
      </w:r>
      <w:hyperlink w:anchor="ref-ico2018">
        <w:r>
          <w:rPr>
            <w:rStyle w:val="Hyperlink"/>
          </w:rPr>
          <w:t xml:space="preserve">Information Commissioner’s Office, 2018</w:t>
        </w:r>
      </w:hyperlink>
      <w:r>
        <w:t xml:space="preserve">)</w:t>
      </w:r>
      <w:r>
        <w:t xml:space="preserve">. In line with the</w:t>
      </w:r>
      <w:r>
        <w:t xml:space="preserve"> </w:t>
      </w:r>
      <w:r>
        <w:rPr>
          <w:iCs/>
          <w:i/>
        </w:rPr>
        <w:t xml:space="preserve">accountability principle</w:t>
      </w:r>
      <w:r>
        <w:t xml:space="preserve"> </w:t>
      </w:r>
      <w:r>
        <w:t xml:space="preserve">(</w:t>
      </w:r>
      <w:hyperlink w:anchor="ref-ec2010accountability">
        <w:r>
          <w:rPr>
            <w:rStyle w:val="Hyperlink"/>
          </w:rPr>
          <w:t xml:space="preserve">Article 29 Data Protection Working Party, 2010</w:t>
        </w:r>
      </w:hyperlink>
      <w:r>
        <w:t xml:space="preserve">;</w:t>
      </w:r>
      <w:r>
        <w:t xml:space="preserve"> </w:t>
      </w:r>
      <w:hyperlink w:anchor="ref-crabtree2016">
        <w:r>
          <w:rPr>
            <w:rStyle w:val="Hyperlink"/>
          </w:rPr>
          <w:t xml:space="preserve">Crabtree and Mortier, 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Cs/>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showed, there is a strong desire to ensure data is</w:t>
      </w:r>
      <w:r>
        <w:t xml:space="preserve"> </w:t>
      </w:r>
      <w:r>
        <w:rPr>
          <w:iCs/>
          <w:i/>
        </w:rPr>
        <w:t xml:space="preserve">fair</w:t>
      </w:r>
      <w:r>
        <w:t xml:space="preserve"> </w:t>
      </w:r>
      <w:r>
        <w:t xml:space="preserve">and</w:t>
      </w:r>
      <w:r>
        <w:t xml:space="preserve"> </w:t>
      </w:r>
      <w:r>
        <w:rPr>
          <w:iCs/>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w:t>
      </w:r>
      <w:hyperlink w:anchor="Xb52ada446f84acb5529ace8fe4f25e203a5dddb">
        <w:r>
          <w:rPr>
            <w:rStyle w:val="Hyperlink"/>
          </w:rPr>
          <w:t xml:space="preserve">5.3.2</w:t>
        </w:r>
      </w:hyperlink>
      <w:r>
        <w:t xml:space="preserve">]. Being able to ensure fair and accurate data goes beyond being able to see and understand the data, but requires also</w:t>
      </w:r>
      <w:r>
        <w:t xml:space="preserve"> </w:t>
      </w:r>
      <w:r>
        <w:rPr>
          <w:iCs/>
          <w:i/>
        </w:rPr>
        <w:t xml:space="preserve">agency</w:t>
      </w:r>
      <w:r>
        <w:t xml:space="preserve"> </w:t>
      </w:r>
      <w:r>
        <w:t xml:space="preserve">(the ability to act within a data system, such as to delete or correct data, or withdraw consent) and</w:t>
      </w:r>
      <w:r>
        <w:t xml:space="preserve"> </w:t>
      </w:r>
      <w:r>
        <w:rPr>
          <w:iCs/>
          <w:i/>
        </w:rPr>
        <w:t xml:space="preserve">negotiability</w:t>
      </w:r>
      <w:r>
        <w:t xml:space="preserve"> </w:t>
      </w:r>
      <w:r>
        <w:t xml:space="preserve">(the ability to continue to have a voice and make changes as circumstances change)</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People need a relationship with their data [</w:t>
      </w:r>
      <w:hyperlink w:anchor="X7e3a41454e034e5ad994df8bf12b61e9fb1e1bc">
        <w:r>
          <w:rPr>
            <w:rStyle w:val="Hyperlink"/>
          </w:rPr>
          <w:t xml:space="preserve">2.1.5</w:t>
        </w:r>
      </w:hyperlink>
      <w:r>
        <w:t xml:space="preserve">].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w:t>
      </w:r>
      <w:hyperlink w:anchor="X8ff615c03fc2afb91384f9ef05bab6acdbbe9e9">
        <w:r>
          <w:rPr>
            <w:rStyle w:val="Hyperlink"/>
          </w:rPr>
          <w:t xml:space="preserve">5.4.3</w:t>
        </w:r>
      </w:hyperlink>
      <w:r>
        <w:t xml:space="preserve">].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Cs/>
          <w:i/>
        </w:rPr>
        <w:t xml:space="preserve">“</w:t>
      </w:r>
      <w:r>
        <w:rPr>
          <w:iCs/>
          <w:i/>
        </w:rPr>
        <w:t xml:space="preserve">The right of individuals to access and challenge personal data is generally regarded as perhaps the most important privacy protection safeguard.</w:t>
      </w:r>
      <w:r>
        <w:rPr>
          <w:iCs/>
          <w:i/>
        </w:rPr>
        <w:t xml:space="preserve">”</w:t>
      </w:r>
      <w:r>
        <w:t xml:space="preserve"> </w:t>
      </w:r>
      <w:r>
        <w:t xml:space="preserve">(</w:t>
      </w:r>
      <w:hyperlink w:anchor="ref-OECD1980">
        <w:r>
          <w:rPr>
            <w:rStyle w:val="Hyperlink"/>
          </w:rPr>
          <w:t xml:space="preserve">Organisation for Economic Co-operation and Development, 1980</w:t>
        </w:r>
      </w:hyperlink>
      <w:r>
        <w:t xml:space="preserve">)</w:t>
      </w:r>
    </w:p>
    <w:p>
      <w:pPr>
        <w:pStyle w:val="FirstParagraph"/>
      </w:pPr>
      <w:r>
        <w:rPr>
          <w:bCs/>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w:t>
      </w:r>
      <w:hyperlink w:anchor="ref-gurstein2011">
        <w:r>
          <w:rPr>
            <w:rStyle w:val="Hyperlink"/>
          </w:rPr>
          <w:t xml:space="preserve">Gurstein, 2011</w:t>
        </w:r>
      </w:hyperlink>
      <w:r>
        <w:t xml:space="preserve">)</w:t>
      </w:r>
      <w:r>
        <w:t xml:space="preserve">. Individuals need to be able to give instructions, make changes and express permissions that have weight; they need to be listened to, so that they can meaningfully effect change [</w:t>
      </w:r>
      <w:hyperlink w:anchor="X2ad50ca4cbd63a3f83ddbd28315b55b52f600fb">
        <w:r>
          <w:rPr>
            <w:rStyle w:val="Hyperlink"/>
          </w:rPr>
          <w:t xml:space="preserve">4.4.2</w:t>
        </w:r>
      </w:hyperlink>
      <w:r>
        <w:t xml:space="preserve">].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Cs/>
          <w:i/>
        </w:rPr>
        <w:t xml:space="preserve">and</w:t>
      </w:r>
      <w:r>
        <w:t xml:space="preserve"> </w:t>
      </w:r>
      <w:r>
        <w:t xml:space="preserve">the decision-making should become objects that the individual subject can manipulate</w:t>
      </w:r>
      <w:r>
        <w:t xml:space="preserve"> </w:t>
      </w:r>
      <w:r>
        <w:t xml:space="preserve">(</w:t>
      </w:r>
      <w:hyperlink w:anchor="ref-bakardjieva2001">
        <w:r>
          <w:rPr>
            <w:rStyle w:val="Hyperlink"/>
          </w:rPr>
          <w:t xml:space="preserve">Bakardjieva and Feenberg, 2001</w:t>
        </w:r>
      </w:hyperlink>
      <w:r>
        <w:t xml:space="preserve">)</w:t>
      </w:r>
      <w:r>
        <w:t xml:space="preserve">. At the time of writing (March 2022), much of the focus on GDPR has been about access to data, perhaps because this is more tangible, and very little about GDPR’s other rights that can influence decision-making [</w:t>
      </w:r>
      <w:hyperlink w:anchor="X92368af88852a74e7510d645a6d2be57a6a50cb">
        <w:r>
          <w:rPr>
            <w:rStyle w:val="Hyperlink"/>
          </w:rPr>
          <w:t xml:space="preserve">5.1.2</w:t>
        </w:r>
      </w:hyperlink>
      <w:r>
        <w:t xml:space="preserve">]. This was backed up by participant experiences in Case Study Two, where desires to influence or change practices or delete data were either not actionable or ineffective [</w:t>
      </w:r>
      <w:hyperlink w:anchor="X8ff615c03fc2afb91384f9ef05bab6acdbbe9e9">
        <w:r>
          <w:rPr>
            <w:rStyle w:val="Hyperlink"/>
          </w:rPr>
          <w:t xml:space="preserve">5.4.3</w:t>
        </w:r>
      </w:hyperlink>
      <w:r>
        <w:t xml:space="preserve">]. Governance over individual data rights has two elements. First, to support individuals in complaints or challenges, which are currently unevenly enforced [</w:t>
      </w:r>
      <w:hyperlink w:anchor="X18b35402f3fbcb74b8e5bbc8aa2c0e3e784e473">
        <w:r>
          <w:rPr>
            <w:rStyle w:val="Hyperlink"/>
          </w:rPr>
          <w:t xml:space="preserve">5.5.1</w:t>
        </w:r>
      </w:hyperlink>
      <w:r>
        <w:t xml:space="preserve">].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w:t>
      </w:r>
      <w:hyperlink w:anchor="X38f625be2c0c748970e0e254c020e238dedd97d">
        <w:r>
          <w:rPr>
            <w:rStyle w:val="Hyperlink"/>
          </w:rPr>
          <w:t xml:space="preserve">5.4.4</w:t>
        </w:r>
      </w:hyperlink>
      <w:r>
        <w:t xml:space="preserve">].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w:t>
      </w:r>
      <w:hyperlink w:anchor="X33b0e93f97f87fa3bb3c4df915c0729032ea608">
        <w:r>
          <w:rPr>
            <w:rStyle w:val="Hyperlink"/>
          </w:rPr>
          <w:t xml:space="preserve">4.3.4</w:t>
        </w:r>
      </w:hyperlink>
      <w:r>
        <w:t xml:space="preserve">]; this is particularly difficult given that no organisation can see the full picture of an individual’s civic data.</w:t>
      </w:r>
    </w:p>
    <w:p>
      <w:pPr>
        <w:pStyle w:val="BodyText"/>
      </w:pPr>
      <w:r>
        <w:rPr>
          <w:bCs/>
          <w:b/>
        </w:rPr>
        <w:t xml:space="preserve">Individual oversight would bring individuals back to the centre of their personal data ecosystem as an active participant.</w:t>
      </w:r>
      <w:r>
        <w:t xml:space="preserve"> </w:t>
      </w:r>
      <w:r>
        <w:t xml:space="preserve">As outlined in</w:t>
      </w:r>
      <w:r>
        <w:t xml:space="preserve"> </w:t>
      </w:r>
      <w:hyperlink w:anchor="X7b06b2486a051055e43ae1127e87196d505e2f3">
        <w:r>
          <w:rPr>
            <w:rStyle w:val="Hyperlink"/>
          </w:rPr>
          <w:t xml:space="preserve">2.3.4</w:t>
        </w:r>
      </w:hyperlink>
      <w:r>
        <w:t xml:space="preserve">,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Decision makers consult data first, as the primary source of truth [</w:t>
      </w:r>
      <w:hyperlink w:anchor="X6442478f1f952d62cb89e1b634d5937a7d2863f">
        <w:r>
          <w:rPr>
            <w:rStyle w:val="Hyperlink"/>
          </w:rPr>
          <w:t xml:space="preserve">4.1.2</w:t>
        </w:r>
      </w:hyperlink>
      <w:r>
        <w:t xml:space="preserve">;</w:t>
      </w:r>
      <w:r>
        <w:t xml:space="preserve"> </w:t>
      </w:r>
      <w:hyperlink w:anchor="X2fecb37588747cdb8227230edc41ff2ca6557e1">
        <w:r>
          <w:rPr>
            <w:rStyle w:val="Hyperlink"/>
          </w:rPr>
          <w:t xml:space="preserve">2.1.2</w:t>
        </w:r>
      </w:hyperlink>
      <w:r>
        <w:t xml:space="preserve">], and the individual second (if at all). For transparency to be meaningful, data flows need to open up to include individuals as part of the loop, changing them from passive spectators to active participants</w:t>
      </w:r>
      <w:r>
        <w:t xml:space="preserve"> </w:t>
      </w:r>
      <w:r>
        <w:t xml:space="preserve">(</w:t>
      </w:r>
      <w:hyperlink w:anchor="ref-wef2014lens">
        <w:r>
          <w:rPr>
            <w:rStyle w:val="Hyperlink"/>
          </w:rPr>
          <w:t xml:space="preserve">Hoffman, 2014a</w:t>
        </w:r>
      </w:hyperlink>
      <w:r>
        <w:t xml:space="preserve">;</w:t>
      </w:r>
      <w:r>
        <w:t xml:space="preserve"> </w:t>
      </w:r>
      <w:hyperlink w:anchor="ref-crabtree2016">
        <w:r>
          <w:rPr>
            <w:rStyle w:val="Hyperlink"/>
          </w:rPr>
          <w:t xml:space="preserve">Crabtree and Mortier, 2016</w:t>
        </w:r>
      </w:hyperlink>
      <w:r>
        <w:t xml:space="preserve">)</w:t>
      </w:r>
      <w:r>
        <w:t xml:space="preserve"> </w:t>
      </w:r>
      <w:r>
        <w:t xml:space="preserve">in the processing of their data. Examples of specific oversight abilities desired in Case Study One were the ability to explain or annotate datapoints [</w:t>
      </w:r>
      <w:hyperlink w:anchor="X262cd4b6878756308bb897aef02e9ea807e22b4">
        <w:r>
          <w:rPr>
            <w:rStyle w:val="Hyperlink"/>
          </w:rPr>
          <w:t xml:space="preserve">4.3.3</w:t>
        </w:r>
      </w:hyperlink>
      <w:r>
        <w:t xml:space="preserve">], to be able to check data together with support workers, with the record of that check becoming part of the data [</w:t>
      </w:r>
      <w:hyperlink w:anchor="X41229fc76820bbab1bf5990bde38071ad9b8ae7">
        <w:r>
          <w:rPr>
            <w:rStyle w:val="Hyperlink"/>
          </w:rPr>
          <w:t xml:space="preserve">4.3.3</w:t>
        </w:r>
      </w:hyperlink>
      <w:r>
        <w:t xml:space="preserve">], or to have granular access controls over precisely which data could be seen by whom [</w:t>
      </w:r>
      <w:hyperlink w:anchor="X36832e10ac55eae084921486a19fa3c35187d8c">
        <w:r>
          <w:rPr>
            <w:rStyle w:val="Hyperlink"/>
          </w:rPr>
          <w:t xml:space="preserve">4.3.3</w:t>
        </w:r>
      </w:hyperlink>
      <w:r>
        <w:t xml:space="preserve">]. In Case Study Two, a clear picture emerged that what participants want is the ability to make choices. They want control over the data they are forced to sacrifice to companies [</w:t>
      </w:r>
      <w:hyperlink w:anchor="X38f625be2c0c748970e0e254c020e238dedd97d">
        <w:r>
          <w:rPr>
            <w:rStyle w:val="Hyperlink"/>
          </w:rPr>
          <w:t xml:space="preserve">5.4.4</w:t>
        </w:r>
      </w:hyperlink>
      <w:r>
        <w:t xml:space="preserve">]; to avoid the</w:t>
      </w:r>
      <w:r>
        <w:t xml:space="preserve"> </w:t>
      </w:r>
      <w:r>
        <w:rPr>
          <w:iCs/>
          <w:i/>
        </w:rPr>
        <w:t xml:space="preserve">‘</w:t>
      </w:r>
      <w:r>
        <w:rPr>
          <w:iCs/>
          <w:i/>
        </w:rPr>
        <w:t xml:space="preserve">point of severance</w:t>
      </w:r>
      <w:r>
        <w:rPr>
          <w:iCs/>
          <w:i/>
        </w:rPr>
        <w:t xml:space="preserve">’</w:t>
      </w:r>
      <w:r>
        <w:t xml:space="preserve"> </w:t>
      </w:r>
      <w:r>
        <w:t xml:space="preserve">Luger describes, data sacrifice should be a loan or sublicense, not a taking-possession-of.</w:t>
      </w:r>
    </w:p>
    <w:p>
      <w:pPr>
        <w:pStyle w:val="BodyText"/>
      </w:pPr>
      <w:r>
        <w:rPr>
          <w:bCs/>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w:t>
      </w:r>
      <w:hyperlink w:anchor="ref-cornford2013">
        <w:r>
          <w:rPr>
            <w:rStyle w:val="Hyperlink"/>
          </w:rPr>
          <w:t xml:space="preserve">Cornford, Baines and Wilson, 2013</w:t>
        </w:r>
      </w:hyperlink>
      <w:r>
        <w:t xml:space="preserve">;</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 Case Study One, the findings showed the need for numerous efforts to augment data in order to combat its inherent inadequacy, such as support workers seeking to understand the people behind the records [</w:t>
      </w:r>
      <w:hyperlink w:anchor="X9eb2c8e7c5bc627a302d0d70db67a8586f266ab">
        <w:r>
          <w:rPr>
            <w:rStyle w:val="Hyperlink"/>
          </w:rPr>
          <w:t xml:space="preserve">4.3.3</w:t>
        </w:r>
      </w:hyperlink>
      <w:r>
        <w:t xml:space="preserve">] and maintaining a constant attitude of seeking to understand more deeply than the data record can allow [</w:t>
      </w:r>
      <w:hyperlink w:anchor="Xbe70c6c3add1b71d0882d65bd5b5f009675e11a">
        <w:r>
          <w:rPr>
            <w:rStyle w:val="Hyperlink"/>
          </w:rPr>
          <w:t xml:space="preserve">4.3.4</w:t>
        </w:r>
      </w:hyperlink>
      <w:r>
        <w:t xml:space="preserve">].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one-time informed consent upon data collection is inadequate in this ever-changing context [</w:t>
      </w:r>
      <w:hyperlink w:anchor="Xb367cc24dc19d310f9af1157021067beef77465">
        <w:r>
          <w:rPr>
            <w:rStyle w:val="Hyperlink"/>
          </w:rPr>
          <w:t xml:space="preserve">4.2.2</w:t>
        </w:r>
      </w:hyperlink>
      <w:r>
        <w:t xml:space="preserve">;</w:t>
      </w:r>
      <w:r>
        <w:t xml:space="preserve"> </w:t>
      </w:r>
      <w:hyperlink w:anchor="X2924b50fa0eb4c179281a1a665ffae8de515714">
        <w:r>
          <w:rPr>
            <w:rStyle w:val="Hyperlink"/>
          </w:rPr>
          <w:t xml:space="preserve">4.2.6</w:t>
        </w:r>
      </w:hyperlink>
      <w:r>
        <w:t xml:space="preserve">;</w:t>
      </w:r>
      <w:r>
        <w:t xml:space="preserve"> </w:t>
      </w:r>
      <w:hyperlink w:anchor="X765544707e63d114a5f98236a33a1ab147f236f">
        <w:r>
          <w:rPr>
            <w:rStyle w:val="Hyperlink"/>
          </w:rPr>
          <w:t xml:space="preserve">4.3.3</w:t>
        </w:r>
      </w:hyperlink>
      <w:r>
        <w:t xml:space="preserve">].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w:t>
      </w:r>
      <w:hyperlink w:anchor="Xb367cc24dc19d310f9af1157021067beef77465">
        <w:r>
          <w:rPr>
            <w:rStyle w:val="Hyperlink"/>
          </w:rPr>
          <w:t xml:space="preserve">4.2.2</w:t>
        </w:r>
      </w:hyperlink>
      <w:r>
        <w:t xml:space="preserve">;</w:t>
      </w:r>
      <w:r>
        <w:t xml:space="preserve"> </w:t>
      </w:r>
      <w:hyperlink w:anchor="Xc3386c80ed9a8cff1b198fe602b5fc87b19c203">
        <w:r>
          <w:rPr>
            <w:rStyle w:val="Hyperlink"/>
          </w:rPr>
          <w:t xml:space="preserve">4.3.2</w:t>
        </w:r>
      </w:hyperlink>
      <w:r>
        <w:t xml:space="preserve">]. Systems and processes must treat data as dynamic</w:t>
      </w:r>
      <w:r>
        <w:t xml:space="preserve"> </w:t>
      </w:r>
      <w:hyperlink w:anchor="X765544707e63d114a5f98236a33a1ab147f236f">
        <w:r>
          <w:rPr>
            <w:rStyle w:val="Hyperlink"/>
          </w:rPr>
          <w:t xml:space="preserve">4.3.3</w:t>
        </w:r>
      </w:hyperlink>
      <w:r>
        <w:t xml:space="preserve">],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into account at all [</w:t>
      </w:r>
      <w:hyperlink w:anchor="X18b35402f3fbcb74b8e5bbc8aa2c0e3e784e473">
        <w:r>
          <w:rPr>
            <w:rStyle w:val="Hyperlink"/>
          </w:rPr>
          <w:t xml:space="preserve">5.5.1</w:t>
        </w:r>
      </w:hyperlink>
      <w:r>
        <w:t xml:space="preserve">]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Cs/>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w:t>
      </w:r>
      <w:hyperlink w:anchor="Xedf6a14348e4bc362e215e4dcd1e066e0bd16f7">
        <w:r>
          <w:rPr>
            <w:rStyle w:val="Hyperlink"/>
          </w:rPr>
          <w:t xml:space="preserve">3.5.3</w:t>
        </w:r>
      </w:hyperlink>
      <w:r>
        <w:t xml:space="preserve">;</w:t>
      </w:r>
      <w:r>
        <w:t xml:space="preserve"> </w:t>
      </w:r>
      <w:hyperlink w:anchor="X9eceb9e9c217634ec9f895ac06d6365d53b4cb7">
        <w:r>
          <w:rPr>
            <w:rStyle w:val="Hyperlink"/>
          </w:rPr>
          <w:t xml:space="preserve">4.3.2</w:t>
        </w:r>
      </w:hyperlink>
      <w:r>
        <w:t xml:space="preserve">;</w:t>
      </w:r>
      <w:r>
        <w:t xml:space="preserve"> </w:t>
      </w:r>
      <w:hyperlink w:anchor="X2285808197953ac457f39dc4e219915ef5b5145">
        <w:r>
          <w:rPr>
            <w:rStyle w:val="Hyperlink"/>
          </w:rPr>
          <w:t xml:space="preserve">4.3.2</w:t>
        </w:r>
      </w:hyperlink>
      <w:r>
        <w:t xml:space="preserve">], no such interfaces exist. The entirety of their data access and influence is limited to what can be achieved verbally with their support workers [</w:t>
      </w:r>
      <w:hyperlink w:anchor="Xdecc0e8ff84b4e8fdb98d4490fcb5b15d4e95fa">
        <w:r>
          <w:rPr>
            <w:rStyle w:val="Hyperlink"/>
          </w:rPr>
          <w:t xml:space="preserve">4.2.4</w:t>
        </w:r>
      </w:hyperlink>
      <w:r>
        <w:t xml:space="preserve">;</w:t>
      </w:r>
      <w:r>
        <w:t xml:space="preserve"> </w:t>
      </w:r>
      <w:hyperlink w:anchor="X8a50e98458a9c28886ed15ffb2cc666b2d3d49b">
        <w:r>
          <w:rPr>
            <w:rStyle w:val="Hyperlink"/>
          </w:rPr>
          <w:t xml:space="preserve">4.4.3</w:t>
        </w:r>
      </w:hyperlink>
      <w:r>
        <w:t xml:space="preserve">].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w:t>
      </w:r>
      <w:hyperlink w:anchor="Xc89f60f46ccf047183c71c1efe28ba794cbc8f8">
        <w:r>
          <w:rPr>
            <w:rStyle w:val="Hyperlink"/>
          </w:rPr>
          <w:t xml:space="preserve">5.3.3</w:t>
        </w:r>
      </w:hyperlink>
      <w:r>
        <w:t xml:space="preserve">].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w:t>
      </w:r>
      <w:hyperlink w:anchor="Xc89f60f46ccf047183c71c1efe28ba794cbc8f8">
        <w:r>
          <w:rPr>
            <w:rStyle w:val="Hyperlink"/>
          </w:rPr>
          <w:t xml:space="preserve">5.3.3</w:t>
        </w:r>
      </w:hyperlink>
      <w:r>
        <w:t xml:space="preserve">]. The general view was one of widespread disappointment, that despite the promise of GDPR it did not confer any power to the individual to influence data use [</w:t>
      </w:r>
      <w:hyperlink w:anchor="X1cd4adbd9cf88d595989351fa75f215427f932d">
        <w:r>
          <w:rPr>
            <w:rStyle w:val="Hyperlink"/>
          </w:rPr>
          <w:t xml:space="preserve">5.2.4</w:t>
        </w:r>
      </w:hyperlink>
      <w:r>
        <w:t xml:space="preserve">],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w:t>
      </w:r>
      <w:hyperlink w:anchor="X8ff615c03fc2afb91384f9ef05bab6acdbbe9e9">
        <w:r>
          <w:rPr>
            <w:rStyle w:val="Hyperlink"/>
          </w:rPr>
          <w:t xml:space="preserve">5.4.3</w:t>
        </w:r>
      </w:hyperlink>
      <w:r>
        <w:t xml:space="preserve">]. Ultimately oversight means having choices, which is essential in the data-centric world. The case studies’ findings show that, in general, participants felt they had been forced to sacrifice data to access services, and offered</w:t>
      </w:r>
      <w:r>
        <w:t xml:space="preserve"> </w:t>
      </w:r>
      <w:r>
        <w:rPr>
          <w:iCs/>
          <w:i/>
        </w:rPr>
        <w:t xml:space="preserve">no</w:t>
      </w:r>
      <w:r>
        <w:t xml:space="preserve"> </w:t>
      </w:r>
      <w:r>
        <w:t xml:space="preserve">practical choices or control over that data. Without individual oversight, there is no choice and people remain powerless.</w:t>
      </w:r>
    </w:p>
    <w:bookmarkEnd w:id="26"/>
    <w:bookmarkStart w:id="27" w:name="want-i3"/>
    <w:p>
      <w:pPr>
        <w:pStyle w:val="Heading3"/>
      </w:pPr>
      <w:r>
        <w:rPr>
          <w:rStyle w:val="SectionNumber"/>
        </w:rPr>
        <w:t xml:space="preserve">1.2.3</w:t>
      </w:r>
      <w:r>
        <w:tab/>
      </w:r>
      <w:r>
        <w:t xml:space="preserve">Decision-making Involvement</w:t>
      </w:r>
    </w:p>
    <w:p>
      <w:pPr>
        <w:pStyle w:val="FirstParagraph"/>
      </w:pPr>
      <w:r>
        <w:rPr>
          <w:bCs/>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w:t>
      </w:r>
      <w:hyperlink w:anchor="X2fecb37588747cdb8227230edc41ff2ca6557e1">
        <w:r>
          <w:rPr>
            <w:rStyle w:val="Hyperlink"/>
          </w:rPr>
          <w:t xml:space="preserve">2.1.2</w:t>
        </w:r>
      </w:hyperlink>
      <w:r>
        <w:t xml:space="preserve">]. In the care context it is similar but there is also a desire to create a society that functions at large without individuals requiring special handling and support [</w:t>
      </w:r>
      <w:hyperlink w:anchor="X2aae5955584904bc2d13eabc3cf07107b276398">
        <w:r>
          <w:rPr>
            <w:rStyle w:val="Hyperlink"/>
          </w:rPr>
          <w:t xml:space="preserve">3.4.1</w:t>
        </w:r>
      </w:hyperlink>
      <w:r>
        <w:t xml:space="preserve">]. Both case studies’ findings, consistent with literature</w:t>
      </w:r>
      <w:r>
        <w:t xml:space="preserve"> </w:t>
      </w:r>
      <w:r>
        <w:t xml:space="preserve">(</w:t>
      </w:r>
      <w:hyperlink w:anchor="ref-abiteboul2015">
        <w:r>
          <w:rPr>
            <w:rStyle w:val="Hyperlink"/>
          </w:rPr>
          <w:t xml:space="preserve">Abiteboul, André and Kaplan, 2015</w:t>
        </w:r>
      </w:hyperlink>
      <w:r>
        <w:t xml:space="preserve">;</w:t>
      </w:r>
      <w:r>
        <w:t xml:space="preserve"> </w:t>
      </w:r>
      <w:hyperlink w:anchor="ref-crabtree2016">
        <w:r>
          <w:rPr>
            <w:rStyle w:val="Hyperlink"/>
          </w:rPr>
          <w:t xml:space="preserve">Crabtree and Mortier, 2016</w:t>
        </w:r>
      </w:hyperlink>
      <w:r>
        <w:t xml:space="preserve">)</w:t>
      </w:r>
      <w:r>
        <w:t xml:space="preserve">, reveal myriad problems created by the exclusion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of people from matters that affect them - from feelings of alienation or disengagement [</w:t>
      </w:r>
      <w:hyperlink w:anchor="X38f625be2c0c748970e0e254c020e238dedd97d">
        <w:r>
          <w:rPr>
            <w:rStyle w:val="Hyperlink"/>
          </w:rPr>
          <w:t xml:space="preserve">5.4.4</w:t>
        </w:r>
      </w:hyperlink>
      <w:r>
        <w:t xml:space="preserve">] to actual harms caused by erroneous or unfair judgements [</w:t>
      </w:r>
      <w:hyperlink w:anchor="Xb367cc24dc19d310f9af1157021067beef77465">
        <w:r>
          <w:rPr>
            <w:rStyle w:val="Hyperlink"/>
          </w:rPr>
          <w:t xml:space="preserve">4.2.2</w:t>
        </w:r>
      </w:hyperlink>
      <w:r>
        <w:t xml:space="preserve">]. Service providers holding data need to contextualise data as an incomplete view into the complex human world, and seek greater understanding [</w:t>
      </w:r>
      <w:hyperlink w:anchor="Xbe70c6c3add1b71d0882d65bd5b5f009675e11a">
        <w:r>
          <w:rPr>
            <w:rStyle w:val="Hyperlink"/>
          </w:rPr>
          <w:t xml:space="preserve">4.3.4</w:t>
        </w:r>
      </w:hyperlink>
      <w:r>
        <w:t xml:space="preserve">] while looking for positives in data [</w:t>
      </w:r>
      <w:hyperlink w:anchor="X9902a1eb94ef3aa68394787a4c511390162b100">
        <w:r>
          <w:rPr>
            <w:rStyle w:val="Hyperlink"/>
          </w:rPr>
          <w:t xml:space="preserve">4.3.4</w:t>
        </w:r>
      </w:hyperlink>
      <w:r>
        <w:t xml:space="preserve">]. It is interesting to note that the Troubled Families programme was created help find the human situations of people slipping through the cracks of the system, which highlights the inadequacy of purely data-based decision making [</w:t>
      </w:r>
      <w:hyperlink w:anchor="X2aae5955584904bc2d13eabc3cf07107b276398">
        <w:r>
          <w:rPr>
            <w:rStyle w:val="Hyperlink"/>
          </w:rPr>
          <w:t xml:space="preserve">3.4.1</w:t>
        </w:r>
      </w:hyperlink>
      <w:r>
        <w:t xml:space="preserve">].</w:t>
      </w:r>
    </w:p>
    <w:p>
      <w:pPr>
        <w:pStyle w:val="BodyText"/>
      </w:pPr>
      <w:r>
        <w:rPr>
          <w:bCs/>
          <w:b/>
        </w:rPr>
        <w:t xml:space="preserve">Consent to access and use data needs to be dynamic and meaningful, which can only happen through ongoing involvement.</w:t>
      </w:r>
      <w:r>
        <w:t xml:space="preserve"> </w:t>
      </w:r>
      <w:r>
        <w:t xml:space="preserve">As established in</w:t>
      </w:r>
      <w:r>
        <w:t xml:space="preserve"> </w:t>
      </w:r>
      <w:hyperlink w:anchor="X328e55f0b8c991dca9b1bed7c3b0763f63cd1bf">
        <w:r>
          <w:rPr>
            <w:rStyle w:val="Hyperlink"/>
          </w:rPr>
          <w:t xml:space="preserve">4.4.1</w:t>
        </w:r>
      </w:hyperlink>
      <w:r>
        <w:t xml:space="preserve"> </w:t>
      </w:r>
      <w:r>
        <w:t xml:space="preserve">and above in</w:t>
      </w:r>
      <w:r>
        <w:t xml:space="preserve"> </w:t>
      </w:r>
      <w:hyperlink w:anchor="Xa12d3bdce91425575a83cf92ced2c2e796b4046">
        <w:r>
          <w:rPr>
            <w:rStyle w:val="Hyperlink"/>
          </w:rPr>
          <w:t xml:space="preserve">6.2.2</w:t>
        </w:r>
      </w:hyperlink>
      <w:r>
        <w:t xml:space="preserve">, ongoing data consent is essential, and this is especially important where that data is used to make decisions [</w:t>
      </w:r>
      <w:hyperlink w:anchor="X8a50e98458a9c28886ed15ffb2cc666b2d3d49b">
        <w:r>
          <w:rPr>
            <w:rStyle w:val="Hyperlink"/>
          </w:rPr>
          <w:t xml:space="preserve">4.4.3</w:t>
        </w:r>
      </w:hyperlink>
      <w:r>
        <w:t xml:space="preserve">]. One-time consent is ineffective and meaningless [</w:t>
      </w:r>
      <w:hyperlink w:anchor="X9a7597c10f2e831aaf8a6526fb9a13e25ea680e">
        <w:r>
          <w:rPr>
            <w:rStyle w:val="Hyperlink"/>
          </w:rPr>
          <w:t xml:space="preserve">4.5</w:t>
        </w:r>
      </w:hyperlink>
      <w:r>
        <w:t xml:space="preserve">]. Asking individuals for consent and subsequently less involved in decision making reinforces a hierarchical, rather than an equitable, power relationship, as Bakardjieva and Feenberg found in their work looking at how to involve virtual subjects in research</w:t>
      </w:r>
      <w:r>
        <w:t xml:space="preserve"> </w:t>
      </w:r>
      <w:r>
        <w:t xml:space="preserve">(</w:t>
      </w:r>
      <w:hyperlink w:anchor="ref-bakardjieva2001">
        <w:r>
          <w:rPr>
            <w:rStyle w:val="Hyperlink"/>
          </w:rPr>
          <w:t xml:space="preserve">Bakardjieva and Feenberg, 2001</w:t>
        </w:r>
      </w:hyperlink>
      <w:r>
        <w:t xml:space="preserve">)</w:t>
      </w:r>
      <w:r>
        <w:t xml:space="preserve">. Without ongoing consent, the power imbalance is amplified [</w:t>
      </w:r>
      <w:hyperlink w:anchor="X9a7597c10f2e831aaf8a6526fb9a13e25ea680e">
        <w:r>
          <w:rPr>
            <w:rStyle w:val="Hyperlink"/>
          </w:rPr>
          <w:t xml:space="preserve">4.5</w:t>
        </w:r>
      </w:hyperlink>
      <w:r>
        <w:t xml:space="preserve">]. In the commercial context, companies view data as their asset to exploit</w:t>
      </w:r>
      <w:r>
        <w:t xml:space="preserve"> </w:t>
      </w:r>
      <w:r>
        <w:t xml:space="preserve">(</w:t>
      </w:r>
      <w:hyperlink w:anchor="ref-wef2011">
        <w:r>
          <w:rPr>
            <w:rStyle w:val="Hyperlink"/>
          </w:rPr>
          <w:t xml:space="preserve">Hoffman, 2011</w:t>
        </w:r>
      </w:hyperlink>
      <w:r>
        <w:t xml:space="preserve">;</w:t>
      </w:r>
      <w:r>
        <w:t xml:space="preserve"> </w:t>
      </w:r>
      <w:hyperlink w:anchor="ref-toonders2014">
        <w:r>
          <w:rPr>
            <w:rStyle w:val="Hyperlink"/>
          </w:rPr>
          <w:t xml:space="preserve">Toonders, 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w:t>
      </w:r>
      <w:hyperlink w:anchor="ref-melendez2019">
        <w:r>
          <w:rPr>
            <w:rStyle w:val="Hyperlink"/>
          </w:rPr>
          <w:t xml:space="preserve">Melendez and Pasternack, 2019</w:t>
        </w:r>
      </w:hyperlink>
      <w:r>
        <w:t xml:space="preserve">;</w:t>
      </w:r>
      <w:r>
        <w:t xml:space="preserve"> </w:t>
      </w:r>
      <w:hyperlink w:anchor="ref-evans2021">
        <w:r>
          <w:rPr>
            <w:rStyle w:val="Hyperlink"/>
          </w:rPr>
          <w:t xml:space="preserve">Evans, 2021</w:t>
        </w:r>
      </w:hyperlink>
      <w:r>
        <w:t xml:space="preserve">;</w:t>
      </w:r>
      <w:r>
        <w:t xml:space="preserve"> </w:t>
      </w:r>
      <w:hyperlink w:anchor="ref-claburn2021">
        <w:r>
          <w:rPr>
            <w:rStyle w:val="Hyperlink"/>
          </w:rPr>
          <w:t xml:space="preserve">Claburn, 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w:t>
      </w:r>
      <w:hyperlink w:anchor="ref-britannicaHobsonsChoice">
        <w:r>
          <w:rPr>
            <w:rStyle w:val="Hyperlink"/>
          </w:rPr>
          <w:t xml:space="preserve">‘</w:t>
        </w:r>
        <w:r>
          <w:rPr>
            <w:rStyle w:val="Hyperlink"/>
          </w:rPr>
          <w:t xml:space="preserve">Hobson’s Choice</w:t>
        </w:r>
        <w:r>
          <w:rPr>
            <w:rStyle w:val="Hyperlink"/>
          </w:rPr>
          <w:t xml:space="preserve">’</w:t>
        </w:r>
        <w:r>
          <w:rPr>
            <w:rStyle w:val="Hyperlink"/>
          </w:rPr>
          <w:t xml:space="preserve">, 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t>
      </w:r>
      <w:hyperlink w:anchor="ref-woods2022">
        <w:r>
          <w:rPr>
            <w:rStyle w:val="Hyperlink"/>
          </w:rPr>
          <w:t xml:space="preserve">Woods and Böhme, 2022</w:t>
        </w:r>
      </w:hyperlink>
      <w:r>
        <w:t xml:space="preserve">)</w:t>
      </w:r>
      <w:r>
        <w:t xml:space="preserve">. This can only happen when the individual about which data is held is excluded from data handling processes.</w:t>
      </w:r>
    </w:p>
    <w:p>
      <w:pPr>
        <w:pStyle w:val="BodyText"/>
      </w:pPr>
      <w:r>
        <w:rPr>
          <w:bCs/>
          <w:b/>
        </w:rPr>
        <w:t xml:space="preserve">A human channel for conversation is wanted, to enable explanations, questions, and consultation</w:t>
      </w:r>
      <w:r>
        <w:t xml:space="preserve">. In my earlier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in Case Study One, all participants viewed that individuals should be able to talk to someone about their data [</w:t>
      </w:r>
      <w:hyperlink w:anchor="X2924b50fa0eb4c179281a1a665ffae8de515714">
        <w:r>
          <w:rPr>
            <w:rStyle w:val="Hyperlink"/>
          </w:rPr>
          <w:t xml:space="preserve">4.2.6</w:t>
        </w:r>
      </w:hyperlink>
      <w:r>
        <w:t xml:space="preserve">;</w:t>
      </w:r>
      <w:r>
        <w:t xml:space="preserve"> </w:t>
      </w:r>
      <w:hyperlink w:anchor="Xc3386c80ed9a8cff1b198fe602b5fc87b19c203">
        <w:r>
          <w:rPr>
            <w:rStyle w:val="Hyperlink"/>
          </w:rPr>
          <w:t xml:space="preserve">4.3.2</w:t>
        </w:r>
      </w:hyperlink>
      <w:r>
        <w:t xml:space="preserve">], in order to ask questions or explain datapoints. In Case Study Two, participants had questions about their data that they wanted to answer [</w:t>
      </w:r>
      <w:hyperlink w:anchor="Xc89f60f46ccf047183c71c1efe28ba794cbc8f8">
        <w:r>
          <w:rPr>
            <w:rStyle w:val="Hyperlink"/>
          </w:rPr>
          <w:t xml:space="preserve">5.3.3</w:t>
        </w:r>
      </w:hyperlink>
      <w:r>
        <w:t xml:space="preserve">], yet these questions remained unanswered [</w:t>
      </w:r>
      <w:hyperlink w:anchor="X8d5a662eacbe04476712d7d613e0eac674cbffc">
        <w:r>
          <w:rPr>
            <w:rStyle w:val="Hyperlink"/>
          </w:rPr>
          <w:t xml:space="preserve">5.4.2</w:t>
        </w:r>
      </w:hyperlink>
      <w:r>
        <w:t xml:space="preserve">]. Participants regularly experienced painful and ineffective processes when trying to answer their questions, found that GDPR responses, often unhelpful, provided no backchannel for follow-up questions or further communication [</w:t>
      </w:r>
      <w:hyperlink w:anchor="X1cd4adbd9cf88d595989351fa75f215427f932d">
        <w:r>
          <w:rPr>
            <w:rStyle w:val="Hyperlink"/>
          </w:rPr>
          <w:t xml:space="preserve">5.4.2</w:t>
        </w:r>
      </w:hyperlink>
      <w:r>
        <w:t xml:space="preserve">]. They were left</w:t>
      </w:r>
      <w:r>
        <w:t xml:space="preserve"> </w:t>
      </w:r>
      <w:r>
        <w:rPr>
          <w:iCs/>
          <w:i/>
        </w:rPr>
        <w:t xml:space="preserve">‘</w:t>
      </w:r>
      <w:r>
        <w:rPr>
          <w:iCs/>
          <w:i/>
        </w:rPr>
        <w:t xml:space="preserve">in the dark</w:t>
      </w:r>
      <w:r>
        <w:rPr>
          <w:iCs/>
          <w:i/>
        </w:rPr>
        <w:t xml:space="preserve">’</w:t>
      </w:r>
      <w:r>
        <w:t xml:space="preserve">. This highlights the need for a human support channel, which is not mandated by GDPR, not just to better understand the data itself [</w:t>
      </w:r>
      <w:hyperlink w:anchor="X238446be5e2d7d8b7b5d3c3f92842c91d895c1e">
        <w:r>
          <w:rPr>
            <w:rStyle w:val="Hyperlink"/>
          </w:rPr>
          <w:t xml:space="preserve">6.1.2</w:t>
        </w:r>
      </w:hyperlink>
      <w:r>
        <w:t xml:space="preserve">], but to enable ongoing consent negotiation within the relationship with data holders.</w:t>
      </w:r>
    </w:p>
    <w:p>
      <w:pPr>
        <w:pStyle w:val="BodyText"/>
      </w:pPr>
      <w:r>
        <w:rPr>
          <w:bCs/>
          <w:b/>
        </w:rPr>
        <w:t xml:space="preserve">Individuals should be consulted in decision 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w:t>
      </w:r>
      <w:hyperlink w:anchor="X41229fc76820bbab1bf5990bde38071ad9b8ae7">
        <w:r>
          <w:rPr>
            <w:rStyle w:val="Hyperlink"/>
          </w:rPr>
          <w:t xml:space="preserve">4.3.3</w:t>
        </w:r>
      </w:hyperlink>
      <w:r>
        <w:t xml:space="preserve">], valued the prospect of making their own contributions to the data to</w:t>
      </w:r>
      <w:r>
        <w:t xml:space="preserve"> </w:t>
      </w:r>
      <w:r>
        <w:rPr>
          <w:iCs/>
          <w:i/>
        </w:rPr>
        <w:t xml:space="preserve">‘</w:t>
      </w:r>
      <w:r>
        <w:rPr>
          <w:iCs/>
          <w:i/>
        </w:rPr>
        <w:t xml:space="preserve">tell their own story</w:t>
      </w:r>
      <w:r>
        <w:rPr>
          <w:iCs/>
          <w:i/>
        </w:rPr>
        <w:t xml:space="preserve">’</w:t>
      </w:r>
      <w:r>
        <w:t xml:space="preserve"> </w:t>
      </w:r>
      <w:r>
        <w:t xml:space="preserve">[</w:t>
      </w:r>
      <w:hyperlink w:anchor="X262cd4b6878756308bb897aef02e9ea807e22b4">
        <w:r>
          <w:rPr>
            <w:rStyle w:val="Hyperlink"/>
          </w:rPr>
          <w:t xml:space="preserve">4.3.3</w:t>
        </w:r>
      </w:hyperlink>
      <w:r>
        <w:t xml:space="preserve">] and wanted a</w:t>
      </w:r>
      <w:r>
        <w:t xml:space="preserve"> </w:t>
      </w:r>
      <w:r>
        <w:rPr>
          <w:iCs/>
          <w:i/>
        </w:rPr>
        <w:t xml:space="preserve">‘</w:t>
      </w:r>
      <w:r>
        <w:rPr>
          <w:iCs/>
          <w:i/>
        </w:rPr>
        <w:t xml:space="preserve">right to explain</w:t>
      </w:r>
      <w:r>
        <w:rPr>
          <w:iCs/>
          <w:i/>
        </w:rPr>
        <w:t xml:space="preserve">’</w:t>
      </w:r>
      <w:r>
        <w:t xml:space="preserve"> </w:t>
      </w:r>
      <w:r>
        <w:t xml:space="preserve">or annotate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Support workers recognised the need to work with families to understand their situation better [</w:t>
      </w:r>
      <w:hyperlink w:anchor="X69499d105ae7f22db5523e1bc379bd7b19f73f7">
        <w:r>
          <w:rPr>
            <w:rStyle w:val="Hyperlink"/>
          </w:rPr>
          <w:t xml:space="preserve">4.3.2</w:t>
        </w:r>
      </w:hyperlink>
      <w:r>
        <w:t xml:space="preserve">]. These findings show it is important to give the human data subject a role in data creation or checking, and that if they are involved, to ensure a fairer and more complete view can be obtained than the limited view presented by the data record [</w:t>
      </w:r>
      <w:hyperlink w:anchor="X9eb2c8e7c5bc627a302d0d70db67a8586f266ab">
        <w:r>
          <w:rPr>
            <w:rStyle w:val="Hyperlink"/>
          </w:rPr>
          <w:t xml:space="preserve">4.3.3</w:t>
        </w:r>
      </w:hyperlink>
      <w:r>
        <w:t xml:space="preserve">]. Without involvement, 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will always be limited. 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this means all stakeholders should be given a role</w:t>
      </w:r>
      <w:r>
        <w:t xml:space="preserve"> </w:t>
      </w:r>
      <w:r>
        <w:t xml:space="preserve">(</w:t>
      </w:r>
      <w:hyperlink w:anchor="ref-bowker2005">
        <w:r>
          <w:rPr>
            <w:rStyle w:val="Hyperlink"/>
          </w:rPr>
          <w:t xml:space="preserve">Bowker, 2005</w:t>
        </w:r>
      </w:hyperlink>
      <w:r>
        <w:t xml:space="preserve">)</w:t>
      </w:r>
      <w:r>
        <w:t xml:space="preserve"> </w:t>
      </w:r>
      <w:r>
        <w:t xml:space="preserve">in order to avoid errors, harm or disempowerment [</w:t>
      </w:r>
      <w:hyperlink w:anchor="X328e55f0b8c991dca9b1bed7c3b0763f63cd1bf">
        <w:r>
          <w:rPr>
            <w:rStyle w:val="Hyperlink"/>
          </w:rPr>
          <w:t xml:space="preserve">4.4.1</w:t>
        </w:r>
      </w:hyperlink>
      <w:r>
        <w:t xml:space="preserve">]. While involvement is negligible in the care context (being limited to the TAF and the support worker relationship, in the commercial context, there is no such involvement, and the results of this can be seen in the low accuracy of previously unseen data [</w:t>
      </w:r>
      <w:hyperlink w:anchor="Xc89f60f46ccf047183c71c1efe28ba794cbc8f8">
        <w:r>
          <w:rPr>
            <w:rStyle w:val="Hyperlink"/>
          </w:rPr>
          <w:t xml:space="preserve">5.3.3</w:t>
        </w:r>
      </w:hyperlink>
      <w:r>
        <w:t xml:space="preserve">] and in the low trust ratings [</w:t>
      </w:r>
      <w:hyperlink w:anchor="X17fee6fbf9ee82826dccbd5118d485029a82ebe">
        <w:r>
          <w:rPr>
            <w:rStyle w:val="Hyperlink"/>
          </w:rPr>
          <w:t xml:space="preserve">5.3.4</w:t>
        </w:r>
      </w:hyperlink>
      <w:r>
        <w:t xml:space="preserve">] given to many providers after seeing data returns. It seems that data and knowledge would become more accurate when it is closer the data is to the individuals concerned [</w:t>
      </w:r>
      <w:hyperlink w:anchor="X8a50e98458a9c28886ed15ffb2cc666b2d3d49b">
        <w:r>
          <w:rPr>
            <w:rStyle w:val="Hyperlink"/>
          </w:rPr>
          <w:t xml:space="preserve">4.4.3</w:t>
        </w:r>
      </w:hyperlink>
      <w:r>
        <w:t xml:space="preserve">;</w:t>
      </w:r>
      <w:r>
        <w:t xml:space="preserve"> </w:t>
      </w:r>
      <w:hyperlink w:anchor="X9a7597c10f2e831aaf8a6526fb9a13e25ea680e">
        <w:r>
          <w:rPr>
            <w:rStyle w:val="Hyperlink"/>
          </w:rPr>
          <w:t xml:space="preserve">4.5</w:t>
        </w:r>
      </w:hyperlink>
      <w:r>
        <w:t xml:space="preserve">]; data created and handled far from the family would intuitively be less accurate and less likely to have been considered from their perspective [</w:t>
      </w:r>
      <w:hyperlink w:anchor="Xb367cc24dc19d310f9af1157021067beef77465">
        <w:r>
          <w:rPr>
            <w:rStyle w:val="Hyperlink"/>
          </w:rPr>
          <w:t xml:space="preserve">4.2.2</w:t>
        </w:r>
      </w:hyperlink>
      <w:r>
        <w:t xml:space="preserve">]. Organisations on both sides value data accuracy [</w:t>
      </w:r>
      <w:hyperlink w:anchor="X8cbcb7cef9521c96c80a1a730e6569d6e1dfa4d">
        <w:r>
          <w:rPr>
            <w:rStyle w:val="Hyperlink"/>
          </w:rPr>
          <w:t xml:space="preserve">4.2.3</w:t>
        </w:r>
      </w:hyperlink>
      <w:r>
        <w:t xml:space="preserve">;</w:t>
      </w:r>
      <w:r>
        <w:t xml:space="preserve"> </w:t>
      </w:r>
      <w:hyperlink w:anchor="X2fecb37588747cdb8227230edc41ff2ca6557e1">
        <w:r>
          <w:rPr>
            <w:rStyle w:val="Hyperlink"/>
          </w:rPr>
          <w:t xml:space="preserve">2.1.2</w:t>
        </w:r>
      </w:hyperlink>
      <w:r>
        <w:t xml:space="preserve">]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w:t>
      </w:r>
      <w:hyperlink w:anchor="X328e55f0b8c991dca9b1bed7c3b0763f63cd1bf">
        <w:r>
          <w:rPr>
            <w:rStyle w:val="Hyperlink"/>
          </w:rPr>
          <w:t xml:space="preserve">4.4.1</w:t>
        </w:r>
      </w:hyperlink>
      <w:r>
        <w:t xml:space="preserve">]. Of course, this call for involvement in decision 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Cs/>
          <w:i/>
        </w:rPr>
        <w:t xml:space="preserve">‘</w:t>
      </w:r>
      <w:r>
        <w:rPr>
          <w:iCs/>
          <w:i/>
        </w:rPr>
        <w:t xml:space="preserve">design by committee</w:t>
      </w:r>
      <w:r>
        <w:rPr>
          <w:iCs/>
          <w:i/>
        </w:rPr>
        <w:t xml:space="preserve">’</w:t>
      </w:r>
      <w:r>
        <w:t xml:space="preserve">. In fact, the attitude conveyed toward the individual is critical (as borne out in our Case Study Two findings [</w:t>
      </w:r>
      <w:hyperlink w:anchor="X04bbc487c5380998010e2e8287cf05350ecd6a2">
        <w:r>
          <w:rPr>
            <w:rStyle w:val="Hyperlink"/>
          </w:rPr>
          <w:t xml:space="preserve">5.4.4</w:t>
        </w:r>
      </w:hyperlink>
      <w:r>
        <w:t xml:space="preserve">;</w:t>
      </w:r>
      <w:r>
        <w:t xml:space="preserve"> </w:t>
      </w:r>
      <w:hyperlink w:anchor="X5ced3ee2ccb25053e7e84687bddad6552a5317e">
        <w:r>
          <w:rPr>
            <w:rStyle w:val="Hyperlink"/>
          </w:rPr>
          <w:t xml:space="preserve">5.4.4</w:t>
        </w:r>
      </w:hyperlink>
      <w:r>
        <w:t xml:space="preserve">]; Edwards and Elwyn, in their paper on shared decision making, argue that</w:t>
      </w:r>
      <w:r>
        <w:t xml:space="preserve"> </w:t>
      </w:r>
      <w:r>
        <w:rPr>
          <w:iCs/>
          <w:i/>
        </w:rPr>
        <w:t xml:space="preserve">feeling</w:t>
      </w:r>
      <w:r>
        <w:t xml:space="preserve"> </w:t>
      </w:r>
      <w:r>
        <w:t xml:space="preserve">involved is actually more important that actually contributing to decisions</w:t>
      </w:r>
      <w:r>
        <w:t xml:space="preserve"> </w:t>
      </w:r>
      <w:r>
        <w:t xml:space="preserve">(</w:t>
      </w:r>
      <w:hyperlink w:anchor="ref-edwards2006">
        <w:r>
          <w:rPr>
            <w:rStyle w:val="Hyperlink"/>
          </w:rPr>
          <w:t xml:space="preserve">Edwards and Elwyn, 2006</w:t>
        </w:r>
      </w:hyperlink>
      <w:r>
        <w:t xml:space="preserve">)</w:t>
      </w:r>
      <w:r>
        <w:t xml:space="preserve">.</w:t>
      </w:r>
    </w:p>
    <w:p>
      <w:pPr>
        <w:pStyle w:val="BodyText"/>
      </w:pPr>
      <w:r>
        <w:rPr>
          <w:bCs/>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w:t>
      </w:r>
      <w:r>
        <w:t xml:space="preserve"> </w:t>
      </w:r>
      <w:hyperlink w:anchor="Xc522393afef60216141778dd694dd810eda5c25">
        <w:r>
          <w:rPr>
            <w:rStyle w:val="Hyperlink"/>
          </w:rPr>
          <w:t xml:space="preserve">4.2.5</w:t>
        </w:r>
      </w:hyperlink>
      <w:r>
        <w:t xml:space="preserve">) findings as a possible way to meet the needs of both supported families and support workers. Shared values were identified [</w:t>
      </w:r>
      <w:hyperlink w:anchor="X2924b50fa0eb4c179281a1a665ffae8de515714">
        <w:r>
          <w:rPr>
            <w:rStyle w:val="Hyperlink"/>
          </w:rPr>
          <w:t xml:space="preserve">4.2.6</w:t>
        </w:r>
      </w:hyperlink>
      <w:r>
        <w:t xml:space="preserve">] and a model for shared data interaction builds upon the findings [</w:t>
      </w:r>
      <w:hyperlink w:anchor="X8a50e98458a9c28886ed15ffb2cc666b2d3d49b">
        <w:r>
          <w:rPr>
            <w:rStyle w:val="Hyperlink"/>
          </w:rPr>
          <w:t xml:space="preserve">4.4.3</w:t>
        </w:r>
      </w:hyperlink>
      <w:r>
        <w:t xml:space="preserve">].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 </w:t>
      </w:r>
      <w:r>
        <w:t xml:space="preserve">Department for Education (</w:t>
      </w:r>
      <w:hyperlink w:anchor="ref-dfe2018">
        <w:r>
          <w:rPr>
            <w:rStyle w:val="Hyperlink"/>
          </w:rPr>
          <w:t xml:space="preserve">2018</w:t>
        </w:r>
      </w:hyperlink>
      <w:r>
        <w:t xml:space="preserve">)</w:t>
      </w:r>
      <w:r>
        <w:t xml:space="preserve">;</w:t>
      </w:r>
      <w:r>
        <w:t xml:space="preserve"> </w:t>
      </w:r>
      <w:hyperlink w:anchor="X6442478f1f952d62cb89e1b634d5937a7d2863f">
        <w:r>
          <w:rPr>
            <w:rStyle w:val="Hyperlink"/>
          </w:rPr>
          <w:t xml:space="preserve">4.1.2</w:t>
        </w:r>
      </w:hyperlink>
      <w:r>
        <w:t xml:space="preserve">] and as seen in the findings [</w:t>
      </w:r>
      <w:hyperlink w:anchor="X69499d105ae7f22db5523e1bc379bd7b19f73f7">
        <w:r>
          <w:rPr>
            <w:rStyle w:val="Hyperlink"/>
          </w:rPr>
          <w:t xml:space="preserve">4.3.2</w:t>
        </w:r>
      </w:hyperlink>
      <w:r>
        <w:t xml:space="preserve">;</w:t>
      </w:r>
      <w:r>
        <w:t xml:space="preserve"> </w:t>
      </w:r>
      <w:hyperlink w:anchor="X7d362c1e174c59583bc075f9c4f790b095f0935">
        <w:r>
          <w:rPr>
            <w:rStyle w:val="Hyperlink"/>
          </w:rPr>
          <w:t xml:space="preserve">4.3.3</w:t>
        </w:r>
      </w:hyperlink>
      <w:r>
        <w:t xml:space="preserve">;</w:t>
      </w:r>
      <w:r>
        <w:t xml:space="preserve"> </w:t>
      </w:r>
      <w:hyperlink w:anchor="X328e55f0b8c991dca9b1bed7c3b0763f63cd1bf">
        <w:r>
          <w:rPr>
            <w:rStyle w:val="Hyperlink"/>
          </w:rPr>
          <w:t xml:space="preserve">4.4.1</w:t>
        </w:r>
      </w:hyperlink>
      <w:r>
        <w:t xml:space="preserve">]. Families and staff saw potential benefits from checking data together [</w:t>
      </w:r>
      <w:hyperlink w:anchor="X41229fc76820bbab1bf5990bde38071ad9b8ae7">
        <w:r>
          <w:rPr>
            <w:rStyle w:val="Hyperlink"/>
          </w:rPr>
          <w:t xml:space="preserve">4.3.3</w:t>
        </w:r>
      </w:hyperlink>
      <w:r>
        <w:t xml:space="preserve">], using specific datapoints in discussions as evidence</w:t>
      </w:r>
      <w:r>
        <w:t xml:space="preserve"> </w:t>
      </w:r>
      <w:r>
        <w:t xml:space="preserve">[</w:t>
      </w:r>
      <w:hyperlink w:anchor="X69499d105ae7f22db5523e1bc379bd7b19f73f7">
        <w:r>
          <w:rPr>
            <w:rStyle w:val="Hyperlink"/>
          </w:rPr>
          <w:t xml:space="preserve">4.3.2</w:t>
        </w:r>
      </w:hyperlink>
      <w:r>
        <w:t xml:space="preserve">], or to help families open up [</w:t>
      </w:r>
      <w:hyperlink w:anchor="X2ad50ca4cbd63a3f83ddbd28315b55b52f600fb">
        <w:r>
          <w:rPr>
            <w:rStyle w:val="Hyperlink"/>
          </w:rPr>
          <w:t xml:space="preserve">4.4.2</w:t>
        </w:r>
      </w:hyperlink>
      <w:r>
        <w:t xml:space="preserve">], on top of the simple benefits of making all evidence equally visible [</w:t>
      </w:r>
      <w:hyperlink w:anchor="X69499d105ae7f22db5523e1bc379bd7b19f73f7">
        <w:r>
          <w:rPr>
            <w:rStyle w:val="Hyperlink"/>
          </w:rPr>
          <w:t xml:space="preserve">4.3.2</w:t>
        </w:r>
      </w:hyperlink>
      <w:r>
        <w:t xml:space="preserve">;</w:t>
      </w:r>
      <w:r>
        <w:t xml:space="preserve"> </w:t>
      </w:r>
      <w:hyperlink w:anchor="Xecaf8be5654f259a19f021dd696c8aed0425326">
        <w:r>
          <w:rPr>
            <w:rStyle w:val="Hyperlink"/>
          </w:rPr>
          <w:t xml:space="preserve">6.1.1</w:t>
        </w:r>
      </w:hyperlink>
      <w:r>
        <w:t xml:space="preserve">]. Throughout such shared data interactions, representations of data perform an important function as a boundary object</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it provides a common focus to discussions that is relatable to both parties,</w:t>
      </w:r>
      <w:r>
        <w:t xml:space="preserve"> </w:t>
      </w:r>
      <w:r>
        <w:rPr>
          <w:iCs/>
          <w:i/>
        </w:rPr>
        <w:t xml:space="preserve">“</w:t>
      </w:r>
      <w:r>
        <w:rPr>
          <w:iCs/>
          <w:i/>
        </w:rPr>
        <w:t xml:space="preserve">things to think 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This helps improve legibility by surfacing the (perfectly valid) differences in different parties’ perspectives</w:t>
      </w:r>
      <w:r>
        <w:t xml:space="preserve"> </w:t>
      </w:r>
      <w:r>
        <w:t xml:space="preserve">(6.1.2,</w:t>
      </w:r>
      <w:r>
        <w:t xml:space="preserve"> </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w:t>
      </w:r>
      <w:hyperlink w:anchor="Xba1cdcd02c8fe15ffff21ff0cb646a3324830ca">
        <w:r>
          <w:rPr>
            <w:rStyle w:val="Hyperlink"/>
          </w:rPr>
          <w:t xml:space="preserve">4.1.1</w:t>
        </w:r>
      </w:hyperlink>
      <w:r>
        <w:t xml:space="preserve">], or to a process that only provides a one-time snapshot of data [</w:t>
      </w:r>
      <w:hyperlink w:anchor="X18b35402f3fbcb74b8e5bbc8aa2c0e3e784e473">
        <w:r>
          <w:rPr>
            <w:rStyle w:val="Hyperlink"/>
          </w:rPr>
          <w:t xml:space="preserve">5.5.1</w:t>
        </w:r>
      </w:hyperlink>
      <w:r>
        <w:t xml:space="preserve">] reinforces the hierarchical power imbalance. Giving access to data and abilities to explore and ask questions</w:t>
      </w:r>
      <w:r>
        <w:t xml:space="preserve"> </w:t>
      </w:r>
      <w:r>
        <w:rPr>
          <w:iCs/>
          <w:i/>
        </w:rPr>
        <w:t xml:space="preserve">“</w:t>
      </w:r>
      <w:r>
        <w:rPr>
          <w:iCs/>
          <w:i/>
        </w:rPr>
        <w:t xml:space="preserve">in your own time</w:t>
      </w:r>
      <w:r>
        <w:rPr>
          <w:iCs/>
          <w:i/>
        </w:rPr>
        <w:t xml:space="preserve">”</w:t>
      </w:r>
      <w:r>
        <w:t xml:space="preserve"> </w:t>
      </w:r>
      <w:r>
        <w:t xml:space="preserve">[</w:t>
      </w:r>
      <w:hyperlink w:anchor="Xc3386c80ed9a8cff1b198fe602b5fc87b19c203">
        <w:r>
          <w:rPr>
            <w:rStyle w:val="Hyperlink"/>
          </w:rPr>
          <w:t xml:space="preserve">4.3.2</w:t>
        </w:r>
      </w:hyperlink>
      <w:r>
        <w:t xml:space="preserve">] can unlock new individual benefits from data [</w:t>
      </w:r>
      <w:hyperlink w:anchor="X1dbeb22450733a0c08e419e0b9d08ee870168d8">
        <w:r>
          <w:rPr>
            <w:rStyle w:val="Hyperlink"/>
          </w:rPr>
          <w:t xml:space="preserve">5.4.3</w:t>
        </w:r>
      </w:hyperlink>
      <w:r>
        <w:t xml:space="preserve">;</w:t>
      </w:r>
      <w:r>
        <w:t xml:space="preserve"> </w:t>
      </w:r>
      <w:hyperlink w:anchor="X7f3cb9988fc4f21a782e780e51ff565a0b00582">
        <w:r>
          <w:rPr>
            <w:rStyle w:val="Hyperlink"/>
          </w:rPr>
          <w:t xml:space="preserve">6.1.3</w:t>
        </w:r>
      </w:hyperlink>
      <w:r>
        <w:t xml:space="preserve">] and provide more immediate feedback that can help people measure their progress towards improvement goals [</w:t>
      </w:r>
      <w:hyperlink w:anchor="X243f3446bb1226eacba3cdb8b904ef729d6ec9d">
        <w:r>
          <w:rPr>
            <w:rStyle w:val="Hyperlink"/>
          </w:rPr>
          <w:t xml:space="preserve">2.2.3</w:t>
        </w:r>
      </w:hyperlink>
      <w:r>
        <w:t xml:space="preserve">;</w:t>
      </w:r>
      <w:r>
        <w:t xml:space="preserve"> </w:t>
      </w:r>
      <w:hyperlink w:anchor="X2ad50ca4cbd63a3f83ddbd28315b55b52f600fb">
        <w:r>
          <w:rPr>
            <w:rStyle w:val="Hyperlink"/>
          </w:rPr>
          <w:t xml:space="preserve">4.4.2</w:t>
        </w:r>
      </w:hyperlink>
      <w:r>
        <w:t xml:space="preserve">;</w:t>
      </w:r>
      <w:r>
        <w:t xml:space="preserve"> </w:t>
      </w:r>
      <w:hyperlink w:anchor="X8a50e98458a9c28886ed15ffb2cc666b2d3d49b">
        <w:r>
          <w:rPr>
            <w:rStyle w:val="Hyperlink"/>
          </w:rPr>
          <w:t xml:space="preserve">4.4.3</w:t>
        </w:r>
      </w:hyperlink>
      <w:r>
        <w:t xml:space="preserve">], as well as enabling ongoing individual oversight [</w:t>
      </w:r>
      <w:hyperlink w:anchor="X2ad50ca4cbd63a3f83ddbd28315b55b52f600fb">
        <w:r>
          <w:rPr>
            <w:rStyle w:val="Hyperlink"/>
          </w:rPr>
          <w:t xml:space="preserve">4.4.2</w:t>
        </w:r>
      </w:hyperlink>
      <w:r>
        <w:t xml:space="preserve">] and dynamic consent [</w:t>
      </w:r>
      <w:hyperlink w:anchor="X33b0e93f97f87fa3bb3c4df915c0729032ea608">
        <w:r>
          <w:rPr>
            <w:rStyle w:val="Hyperlink"/>
          </w:rPr>
          <w:t xml:space="preserve">4.3.4</w:t>
        </w:r>
      </w:hyperlink>
      <w:r>
        <w:t xml:space="preserve">]. In the face of providers making decisions based on unseen data using processes that cannot be observed, people feel excluded and powerless [</w:t>
      </w:r>
      <w:hyperlink w:anchor="X38f625be2c0c748970e0e254c020e238dedd97d">
        <w:r>
          <w:rPr>
            <w:rStyle w:val="Hyperlink"/>
          </w:rPr>
          <w:t xml:space="preserve">5.4.4</w:t>
        </w:r>
      </w:hyperlink>
      <w:r>
        <w:t xml:space="preserve">;</w:t>
      </w:r>
      <w:r>
        <w:t xml:space="preserve"> </w:t>
      </w:r>
      <w:hyperlink w:anchor="Xecaf8be5654f259a19f021dd696c8aed0425326">
        <w:r>
          <w:rPr>
            <w:rStyle w:val="Hyperlink"/>
          </w:rPr>
          <w:t xml:space="preserve">6.1.1</w:t>
        </w:r>
      </w:hyperlink>
      <w:r>
        <w:t xml:space="preserve">]. To ensure effective access</w:t>
      </w:r>
      <w:r>
        <w:t xml:space="preserve"> </w:t>
      </w:r>
      <w:r>
        <w:t xml:space="preserve">(</w:t>
      </w:r>
      <w:hyperlink w:anchor="ref-gurstein2011">
        <w:r>
          <w:rPr>
            <w:rStyle w:val="Hyperlink"/>
          </w:rPr>
          <w:t xml:space="preserve">Gurstein, 2011</w:t>
        </w:r>
      </w:hyperlink>
      <w:r>
        <w:t xml:space="preserve">)</w:t>
      </w:r>
      <w:r>
        <w:t xml:space="preserve">, accountability and trust, there must be ongoing involvement, data access and transparency [</w:t>
      </w:r>
      <w:hyperlink w:anchor="X18b35402f3fbcb74b8e5bbc8aa2c0e3e784e473">
        <w:r>
          <w:rPr>
            <w:rStyle w:val="Hyperlink"/>
          </w:rPr>
          <w:t xml:space="preserve">5.5.1</w:t>
        </w:r>
      </w:hyperlink>
      <w:r>
        <w:t xml:space="preserve">;</w:t>
      </w:r>
      <w:r>
        <w:t xml:space="preserve"> </w:t>
      </w:r>
      <w:hyperlink w:anchor="Xa12d3bdce91425575a83cf92ced2c2e796b4046">
        <w:r>
          <w:rPr>
            <w:rStyle w:val="Hyperlink"/>
          </w:rPr>
          <w:t xml:space="preserve">6.2.2</w:t>
        </w:r>
      </w:hyperlink>
      <w:r>
        <w:t xml:space="preserve">].</w:t>
      </w:r>
    </w:p>
    <w:p>
      <w:pPr>
        <w:pStyle w:val="BodyText"/>
      </w:pPr>
      <w:r>
        <w:rPr>
          <w:bCs/>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w:t>
      </w:r>
      <w:hyperlink w:anchor="X5ced3ee2ccb25053e7e84687bddad6552a5317e">
        <w:r>
          <w:rPr>
            <w:rStyle w:val="Hyperlink"/>
          </w:rPr>
          <w:t xml:space="preserve">5.4.4</w:t>
        </w:r>
      </w:hyperlink>
      <w:r>
        <w:t xml:space="preserve">] and lamented the inability to discuss data or resolve questions [</w:t>
      </w:r>
      <w:hyperlink w:anchor="Xc89f60f46ccf047183c71c1efe28ba794cbc8f8">
        <w:r>
          <w:rPr>
            <w:rStyle w:val="Hyperlink"/>
          </w:rPr>
          <w:t xml:space="preserve">5.3.3</w:t>
        </w:r>
      </w:hyperlink>
      <w:r>
        <w:t xml:space="preserve">;</w:t>
      </w:r>
      <w:r>
        <w:t xml:space="preserve"> </w:t>
      </w:r>
      <w:hyperlink w:anchor="X8d5a662eacbe04476712d7d613e0eac674cbffc">
        <w:r>
          <w:rPr>
            <w:rStyle w:val="Hyperlink"/>
          </w:rPr>
          <w:t xml:space="preserve">5.4.2</w:t>
        </w:r>
      </w:hyperlink>
      <w:r>
        <w:t xml:space="preserv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participants wanted</w:t>
      </w:r>
      <w:r>
        <w:t xml:space="preserve"> </w:t>
      </w:r>
      <w:r>
        <w:rPr>
          <w:iCs/>
          <w:i/>
        </w:rPr>
        <w:t xml:space="preserve">‘</w:t>
      </w:r>
      <w:r>
        <w:rPr>
          <w:iCs/>
          <w:i/>
        </w:rPr>
        <w:t xml:space="preserve">to have a conversation</w:t>
      </w:r>
      <w:r>
        <w:rPr>
          <w:iCs/>
          <w:i/>
        </w:rPr>
        <w:t xml:space="preserve">’</w:t>
      </w:r>
      <w:r>
        <w:t xml:space="preserve"> </w:t>
      </w:r>
      <w:r>
        <w:t xml:space="preserve">about their data and in Case Study One participant data interface designs included buttons to chat to their support worker or ask questions [</w:t>
      </w:r>
      <w:hyperlink w:anchor="X2285808197953ac457f39dc4e219915ef5b5145">
        <w:r>
          <w:rPr>
            <w:rStyle w:val="Hyperlink"/>
          </w:rPr>
          <w:t xml:space="preserve">4.3.2</w:t>
        </w:r>
      </w:hyperlink>
      <w:r>
        <w:t xml:space="preserve">]. People do not want to be severed or alienated from their data, yet they feel they have no choice but to relinquish access and involvement [</w:t>
      </w:r>
      <w:hyperlink w:anchor="X2ad50ca4cbd63a3f83ddbd28315b55b52f600fb">
        <w:r>
          <w:rPr>
            <w:rStyle w:val="Hyperlink"/>
          </w:rPr>
          <w:t xml:space="preserve">4.4.2</w:t>
        </w:r>
      </w:hyperlink>
      <w:r>
        <w:t xml:space="preserve">;</w:t>
      </w:r>
      <w:r>
        <w:t xml:space="preserve"> </w:t>
      </w:r>
      <w:hyperlink w:anchor="X38f625be2c0c748970e0e254c020e238dedd97d">
        <w:r>
          <w:rPr>
            <w:rStyle w:val="Hyperlink"/>
          </w:rPr>
          <w:t xml:space="preserve">5.4.4</w:t>
        </w:r>
      </w:hyperlink>
      <w:r>
        <w:t xml:space="preserve">]. Ideally, all data-using organisations would have a human face or point of contact that individuals can address questions to and in whom their trust of the organisation can be embodied [</w:t>
      </w:r>
      <w:hyperlink w:anchor="X2ad50ca4cbd63a3f83ddbd28315b55b52f600fb">
        <w:r>
          <w:rPr>
            <w:rStyle w:val="Hyperlink"/>
          </w:rPr>
          <w:t xml:space="preserve">4.4.2</w:t>
        </w:r>
      </w:hyperlink>
      <w:r>
        <w:t xml:space="preserve">].</w:t>
      </w:r>
    </w:p>
    <w:p>
      <w:pPr>
        <w:pStyle w:val="BodyText"/>
      </w:pPr>
      <w:r>
        <w:rPr>
          <w:bCs/>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38f625be2c0c748970e0e254c020e238dedd97d">
        <w:r>
          <w:rPr>
            <w:rStyle w:val="Hyperlink"/>
          </w:rPr>
          <w:t xml:space="preserve">5.4.4</w:t>
        </w:r>
      </w:hyperlink>
      <w:r>
        <w:t xml:space="preserve">]. People have consequently lost control and agency</w:t>
      </w:r>
      <w:r>
        <w:t xml:space="preserve"> </w:t>
      </w:r>
      <w:r>
        <w:t xml:space="preserve">(</w:t>
      </w:r>
      <w:hyperlink w:anchor="ref-crabtree2016">
        <w:r>
          <w:rPr>
            <w:rStyle w:val="Hyperlink"/>
          </w:rPr>
          <w:t xml:space="preserve">Crabtree and Mortier, 2016</w:t>
        </w:r>
      </w:hyperlink>
      <w:r>
        <w:t xml:space="preserve">)</w:t>
      </w:r>
      <w:r>
        <w:t xml:space="preserve">, creating a crisis of trust and a power imbalance</w:t>
      </w:r>
      <w:r>
        <w:t xml:space="preserve"> </w:t>
      </w:r>
      <w:r>
        <w:t xml:space="preserve">(</w:t>
      </w:r>
      <w:hyperlink w:anchor="ref-wef2014lens">
        <w:r>
          <w:rPr>
            <w:rStyle w:val="Hyperlink"/>
          </w:rPr>
          <w:t xml:space="preserve">Hoffman, 2014a</w:t>
        </w:r>
      </w:hyperlink>
      <w:r>
        <w:t xml:space="preserve">,</w:t>
      </w:r>
      <w:r>
        <w:t xml:space="preserve"> </w:t>
      </w:r>
      <w:hyperlink w:anchor="ref-wef2014context">
        <w:r>
          <w:rPr>
            <w:rStyle w:val="Hyperlink"/>
          </w:rPr>
          <w:t xml:space="preserve">2014b</w:t>
        </w:r>
      </w:hyperlink>
      <w:r>
        <w:t xml:space="preserve">)</w:t>
      </w:r>
      <w:r>
        <w:t xml:space="preserve">. Exclusion from data handling and decision 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w:t>
      </w:r>
      <w:hyperlink w:anchor="X86a6a7bbe6a4ae5c1502558f013f6ed6b9ae6f2">
        <w:r>
          <w:rPr>
            <w:rStyle w:val="Hyperlink"/>
          </w:rPr>
          <w:t xml:space="preserve">6.2</w:t>
        </w:r>
      </w:hyperlink>
      <w:r>
        <w:t xml:space="preserve">] into direct data interaction [</w:t>
      </w:r>
      <w:hyperlink w:anchor="X8258c05de79d267cff0777b650c09dd0e24396f">
        <w:r>
          <w:rPr>
            <w:rStyle w:val="Hyperlink"/>
          </w:rPr>
          <w:t xml:space="preserve">6.1</w:t>
        </w:r>
      </w:hyperlink>
      <w:r>
        <w:t xml:space="preserve">] and transform the individual experience of service use. Of course such a shift is difficult and costly to offer, for both small and large companies—the data-centric world emerged in part as a means to reduce costly human interactions and facilitate large-scale scaling up to serve larger user bases—but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7"/>
    <w:bookmarkEnd w:id="28"/>
    <w:bookmarkStart w:id="29" w:name="X3c10c50990743199cc887aaacd3f88a0a0a026e"/>
    <w:p>
      <w:pPr>
        <w:pStyle w:val="Heading2"/>
      </w:pPr>
      <w:r>
        <w:rPr>
          <w:rStyle w:val="SectionNumber"/>
        </w:rPr>
        <w:t xml:space="preserve">1.3</w:t>
      </w:r>
      <w:r>
        <w:tab/>
      </w:r>
      <w:r>
        <w:t xml:space="preserve">Summation: Six Wants That Would Empower Individuals with Better HDR</w:t>
      </w:r>
    </w:p>
    <w:p>
      <w:pPr>
        <w:pStyle w:val="FirstParagraph"/>
      </w:pPr>
      <w:r>
        <w:t xml:space="preserve">In this chapter, the separate Case Study findings and insights from Chapters</w:t>
      </w:r>
      <w:r>
        <w:t xml:space="preserve"> </w:t>
      </w:r>
      <w:hyperlink w:anchor="chapter-4">
        <w:r>
          <w:rPr>
            <w:rStyle w:val="Hyperlink"/>
          </w:rPr>
          <w:t xml:space="preserve">4</w:t>
        </w:r>
      </w:hyperlink>
      <w:r>
        <w:t xml:space="preserve"> </w:t>
      </w:r>
      <w:r>
        <w:t xml:space="preserve">and</w:t>
      </w:r>
      <w:r>
        <w:t xml:space="preserve"> </w:t>
      </w:r>
      <w:hyperlink w:anchor="chapter-5">
        <w:r>
          <w:rPr>
            <w:rStyle w:val="Hyperlink"/>
          </w:rPr>
          <w:t xml:space="preserve">5</w:t>
        </w:r>
      </w:hyperlink>
      <w:r>
        <w:t xml:space="preserve"> </w:t>
      </w:r>
      <w:r>
        <w:t xml:space="preserve">have been synthesised to identify six specific capabilities that people need in their relationship with their personal data - both from the direct perspective of</w:t>
      </w:r>
      <w:r>
        <w:t xml:space="preserve"> </w:t>
      </w:r>
      <w:hyperlink w:anchor="RQ1">
        <w:r>
          <w:rPr>
            <w:rStyle w:val="Hyperlink"/>
          </w:rPr>
          <w:t xml:space="preserve">RQ1</w:t>
        </w:r>
      </w:hyperlink>
      <w:r>
        <w:t xml:space="preserve">, where people want for</w:t>
      </w:r>
      <w:r>
        <w:t xml:space="preserve"> </w:t>
      </w:r>
      <w:r>
        <w:rPr>
          <w:bCs/>
          <w:b/>
        </w:rPr>
        <w:t xml:space="preserve">visible, understandable and useable</w:t>
      </w:r>
      <w:hyperlink w:anchor="fn10">
        <w:r>
          <w:rPr>
            <w:rStyle w:val="Hyperlink"/>
            <w:bCs/>
            <w:b/>
          </w:rPr>
          <w:t xml:space="preserve">10</w:t>
        </w:r>
      </w:hyperlink>
      <w:r>
        <w:rPr>
          <w:bCs/>
          <w:b/>
        </w:rPr>
        <w:t xml:space="preserve"> </w:t>
      </w:r>
      <w:r>
        <w:rPr>
          <w:bCs/>
          <w:b/>
        </w:rPr>
        <w:t xml:space="preserve">data</w:t>
      </w:r>
      <w:r>
        <w:t xml:space="preserve">, and from the indirect perspective of</w:t>
      </w:r>
      <w:r>
        <w:t xml:space="preserve"> </w:t>
      </w:r>
      <w:hyperlink w:anchor="RQ2">
        <w:r>
          <w:rPr>
            <w:rStyle w:val="Hyperlink"/>
          </w:rPr>
          <w:t xml:space="preserve">RQ2</w:t>
        </w:r>
      </w:hyperlink>
      <w:r>
        <w:t xml:space="preserve">, where people want for</w:t>
      </w:r>
      <w:r>
        <w:t xml:space="preserve"> </w:t>
      </w:r>
      <w:r>
        <w:rPr>
          <w:bCs/>
          <w:b/>
        </w:rPr>
        <w:t xml:space="preserve">process transparency, individual oversight and decision-making involvement</w:t>
      </w:r>
      <w:r>
        <w:t xml:space="preserve">.</w:t>
      </w:r>
    </w:p>
    <w:p>
      <w:pPr>
        <w:pStyle w:val="BodyText"/>
      </w:pPr>
      <w:r>
        <w:t xml:space="preserve">In line with the pragmatist, individualist outlook of this thesis [</w:t>
      </w:r>
      <w:hyperlink w:anchor="X16a3b37862d25c71eb7293f7b653e91636f92a7">
        <w:r>
          <w:rPr>
            <w:rStyle w:val="Hyperlink"/>
          </w:rPr>
          <w:t xml:space="preserve">3.1</w:t>
        </w:r>
      </w:hyperlink>
      <w:r>
        <w:t xml:space="preserve">], these six wants amount to</w:t>
      </w:r>
      <w:r>
        <w:t xml:space="preserve"> </w:t>
      </w:r>
      <w:r>
        <w:rPr>
          <w:bCs/>
          <w:b/>
        </w:rPr>
        <w:t xml:space="preserve">a desire for empowerment</w:t>
      </w:r>
      <w:r>
        <w:t xml:space="preserve">, motivated by a desire to pursue one’s own happiness and self-interest. Empowerment is defined as</w:t>
      </w:r>
      <w:r>
        <w:t xml:space="preserve"> </w:t>
      </w:r>
      <w:r>
        <w:rPr>
          <w:iCs/>
          <w:i/>
        </w:rPr>
        <w:t xml:space="preserve">‘</w:t>
      </w:r>
      <w:r>
        <w:rPr>
          <w:iCs/>
          <w:i/>
        </w:rPr>
        <w:t xml:space="preserve">the process of gaining freedom and power to do what you want or to control what happens to you</w:t>
      </w:r>
      <w:r>
        <w:rPr>
          <w:iCs/>
          <w:i/>
        </w:rPr>
        <w:t xml:space="preserve">’</w:t>
      </w:r>
      <w:r>
        <w:t xml:space="preserve"> </w:t>
      </w:r>
      <w:r>
        <w:t xml:space="preserve">(</w:t>
      </w:r>
      <w:hyperlink w:anchor="ref-dictEmpowerment">
        <w:r>
          <w:rPr>
            <w:rStyle w:val="Hyperlink"/>
          </w:rPr>
          <w:t xml:space="preserve">Cambridge Dictionary, no date</w:t>
        </w:r>
      </w:hyperlink>
      <w:r>
        <w:t xml:space="preserve">)</w:t>
      </w:r>
      <w:r>
        <w:t xml:space="preserve">. In essence, empowerment is achieved when the individual, in consideration of the question</w:t>
      </w:r>
      <w:r>
        <w:t xml:space="preserve"> </w:t>
      </w:r>
      <w:r>
        <w:rPr>
          <w:iCs/>
          <w:i/>
        </w:rPr>
        <w:t xml:space="preserve">“</w:t>
      </w:r>
      <w:r>
        <w:rPr>
          <w:iCs/>
          <w:i/>
        </w:rPr>
        <w:t xml:space="preserve">what can I do?</w:t>
      </w:r>
      <w:r>
        <w:rPr>
          <w:iCs/>
          <w:i/>
        </w:rPr>
        <w:t xml:space="preserve">”</w:t>
      </w:r>
      <w:r>
        <w:t xml:space="preserve">, judges that they can do more. Power, it transpires, is a double-edged concept. The power imbalance over personal data [</w:t>
      </w:r>
      <w:hyperlink w:anchor="X2fecb37588747cdb8227230edc41ff2ca6557e1">
        <w:r>
          <w:rPr>
            <w:rStyle w:val="Hyperlink"/>
          </w:rPr>
          <w:t xml:space="preserve">2.1.2</w:t>
        </w:r>
      </w:hyperlink>
      <w:r>
        <w:t xml:space="preserve">] encompasses both</w:t>
      </w:r>
      <w:r>
        <w:t xml:space="preserve"> </w:t>
      </w:r>
      <w:r>
        <w:rPr>
          <w:iCs/>
          <w:i/>
        </w:rPr>
        <w:t xml:space="preserve">‘</w:t>
      </w:r>
      <w:r>
        <w:rPr>
          <w:iCs/>
          <w:i/>
        </w:rPr>
        <w:t xml:space="preserve">power to</w:t>
      </w:r>
      <w:r>
        <w:rPr>
          <w:iCs/>
          <w:i/>
        </w:rPr>
        <w:t xml:space="preserve">’</w:t>
      </w:r>
      <w:r>
        <w:t xml:space="preserve"> </w:t>
      </w:r>
      <w:r>
        <w:t xml:space="preserve">but also the concept of</w:t>
      </w:r>
      <w:r>
        <w:t xml:space="preserve"> </w:t>
      </w:r>
      <w:r>
        <w:rPr>
          <w:iCs/>
          <w:i/>
        </w:rPr>
        <w:t xml:space="preserve">‘</w:t>
      </w:r>
      <w:r>
        <w:rPr>
          <w:iCs/>
          <w:i/>
        </w:rPr>
        <w:t xml:space="preserve">power over</w:t>
      </w:r>
      <w:r>
        <w:rPr>
          <w:iCs/>
          <w:i/>
        </w:rPr>
        <w:t xml:space="preserve">’</w:t>
      </w:r>
      <w:r>
        <w:t xml:space="preserve">. These are best considered as two sides of the same coin or two perspectives on the same set of facts: organisations have</w:t>
      </w:r>
      <w:r>
        <w:t xml:space="preserve"> </w:t>
      </w:r>
      <w:r>
        <w:rPr>
          <w:iCs/>
          <w:i/>
        </w:rPr>
        <w:t xml:space="preserve">‘</w:t>
      </w:r>
      <w:r>
        <w:rPr>
          <w:iCs/>
          <w:i/>
        </w:rPr>
        <w:t xml:space="preserve">social power</w:t>
      </w:r>
      <w:r>
        <w:rPr>
          <w:iCs/>
          <w:i/>
        </w:rPr>
        <w:t xml:space="preserve">’</w:t>
      </w:r>
      <w:r>
        <w:t xml:space="preserve"> </w:t>
      </w:r>
      <w:r>
        <w:t xml:space="preserve">over individuals, that affects what both parties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w:t>
      </w:r>
      <w:hyperlink w:anchor="ref-pansardi2012">
        <w:r>
          <w:rPr>
            <w:rStyle w:val="Hyperlink"/>
          </w:rPr>
          <w:t xml:space="preserve">Pansardi, 2012</w:t>
        </w:r>
      </w:hyperlink>
      <w:r>
        <w:t xml:space="preserve">)</w:t>
      </w:r>
      <w:r>
        <w:t xml:space="preserve">. Concepts of power are explored further in</w:t>
      </w:r>
      <w:r>
        <w:t xml:space="preserve"> </w:t>
      </w:r>
      <w:hyperlink w:anchor="Xeb34d101d5161623ed77334cea0f47e8a0c0af7">
        <w:r>
          <w:rPr>
            <w:rStyle w:val="Hyperlink"/>
          </w:rPr>
          <w:t xml:space="preserve">7.3.4</w:t>
        </w:r>
      </w:hyperlink>
      <w:r>
        <w:t xml:space="preserve">.</w:t>
      </w:r>
    </w:p>
    <w:p>
      <w:pPr>
        <w:pStyle w:val="BodyText"/>
      </w:pPr>
      <w:r>
        <w:t xml:space="preserve">Not only do these six wants lead to individual empowerment, there is a clear correlation.</w:t>
      </w:r>
      <w:r>
        <w:t xml:space="preserve"> </w:t>
      </w:r>
      <w:r>
        <w:rPr>
          <w:bCs/>
          <w:b/>
        </w:rPr>
        <w:t xml:space="preserve">The more that the six data wants can be addressed, the more empowering it is to individuals.</w:t>
      </w:r>
      <w:r>
        <w:t xml:space="preserve"> </w:t>
      </w:r>
      <w:r>
        <w:t xml:space="preserve">From the case studies it is clear that the status quo of the data-centric world [</w:t>
      </w:r>
      <w:hyperlink w:anchor="X1f566259c1a3f810256e3679e10faa457bb4a0b">
        <w:r>
          <w:rPr>
            <w:rStyle w:val="Hyperlink"/>
          </w:rPr>
          <w:t xml:space="preserve">2.1</w:t>
        </w:r>
      </w:hyperlink>
      <w:r>
        <w:t xml:space="preserve">] is that lack of these six capabilities reduces individual capacity to act, individuals are</w:t>
      </w:r>
      <w:r>
        <w:t xml:space="preserve"> </w:t>
      </w:r>
      <w:r>
        <w:rPr>
          <w:bCs/>
          <w:b/>
        </w:rPr>
        <w:t xml:space="preserve">disempowered</w:t>
      </w:r>
      <w:r>
        <w:t xml:space="preserve">. People are treated indirectly through data</w:t>
      </w:r>
      <w:r>
        <w:t xml:space="preserve"> </w:t>
      </w:r>
      <w:r>
        <w:t xml:space="preserve">(</w:t>
      </w:r>
      <w:hyperlink w:anchor="ref-cornford2013">
        <w:r>
          <w:rPr>
            <w:rStyle w:val="Hyperlink"/>
          </w:rPr>
          <w:t xml:space="preserve">Cornford, Baines and Wilson, 2013</w:t>
        </w:r>
      </w:hyperlink>
      <w:r>
        <w:t xml:space="preserve">)</w:t>
      </w:r>
      <w:r>
        <w:t xml:space="preserve">; they are excluded and not involved [</w:t>
      </w:r>
      <w:hyperlink w:anchor="X9a7597c10f2e831aaf8a6526fb9a13e25ea680e">
        <w:r>
          <w:rPr>
            <w:rStyle w:val="Hyperlink"/>
          </w:rPr>
          <w:t xml:space="preserve">4.5</w:t>
        </w:r>
      </w:hyperlink>
      <w:r>
        <w:t xml:space="preserve">,</w:t>
      </w:r>
      <w:r>
        <w:t xml:space="preserve"> </w:t>
      </w:r>
      <w:hyperlink w:anchor="X61668d6575f2536b8984a471ac570156abd14ef">
        <w:r>
          <w:rPr>
            <w:rStyle w:val="Hyperlink"/>
          </w:rPr>
          <w:t xml:space="preserve">5.4.2</w:t>
        </w:r>
      </w:hyperlink>
      <w:r>
        <w:t xml:space="preserve">,</w:t>
      </w:r>
      <w:r>
        <w:t xml:space="preserve"> </w:t>
      </w:r>
      <w:hyperlink w:anchor="X8ff615c03fc2afb91384f9ef05bab6acdbbe9e9">
        <w:r>
          <w:rPr>
            <w:rStyle w:val="Hyperlink"/>
          </w:rPr>
          <w:t xml:space="preserve">5.4.3</w:t>
        </w:r>
      </w:hyperlink>
      <w:r>
        <w:t xml:space="preserve">,</w:t>
      </w:r>
      <w:r>
        <w:t xml:space="preserve"> </w:t>
      </w:r>
      <w:hyperlink w:anchor="X38f625be2c0c748970e0e254c020e238dedd97d">
        <w:r>
          <w:rPr>
            <w:rStyle w:val="Hyperlink"/>
          </w:rPr>
          <w:t xml:space="preserve">5.4.4</w:t>
        </w:r>
      </w:hyperlink>
      <w:r>
        <w:t xml:space="preserve">]. While in both Case Studies many of the findings are based on the</w:t>
      </w:r>
      <w:r>
        <w:t xml:space="preserve"> </w:t>
      </w:r>
      <w:r>
        <w:rPr>
          <w:iCs/>
          <w:i/>
        </w:rPr>
        <w:t xml:space="preserve">opinions</w:t>
      </w:r>
      <w:r>
        <w:t xml:space="preserve"> </w:t>
      </w:r>
      <w:r>
        <w:t xml:space="preserve">of participants as to what they believe</w:t>
      </w:r>
      <w:r>
        <w:t xml:space="preserve"> </w:t>
      </w:r>
      <w:r>
        <w:rPr>
          <w:iCs/>
          <w:i/>
        </w:rPr>
        <w:t xml:space="preserve">would</w:t>
      </w:r>
      <w:r>
        <w:t xml:space="preserve"> </w:t>
      </w:r>
      <w:r>
        <w:t xml:space="preserve">be desirable, preferable or more successful, in the case of data visibility [</w:t>
      </w:r>
      <w:hyperlink w:anchor="X7f3cb9988fc4f21a782e780e51ff565a0b00582">
        <w:r>
          <w:rPr>
            <w:rStyle w:val="Hyperlink"/>
          </w:rPr>
          <w:t xml:space="preserve">6.1.3</w:t>
        </w:r>
      </w:hyperlink>
      <w:r>
        <w:t xml:space="preserve">] and process transparency [</w:t>
      </w:r>
      <w:hyperlink w:anchor="Xffca9b2145cbe8b44269c74219f807eace99c3e">
        <w:r>
          <w:rPr>
            <w:rStyle w:val="Hyperlink"/>
          </w:rPr>
          <w:t xml:space="preserve">6.2.1</w:t>
        </w:r>
      </w:hyperlink>
      <w:r>
        <w:t xml:space="preserve">] there is clear evidence that it</w:t>
      </w:r>
      <w:r>
        <w:t xml:space="preserve"> </w:t>
      </w:r>
      <w:r>
        <w:rPr>
          <w:iCs/>
          <w:i/>
        </w:rPr>
        <w:t xml:space="preserve">does</w:t>
      </w:r>
      <w:r>
        <w:t xml:space="preserve"> </w:t>
      </w:r>
      <w:r>
        <w:t xml:space="preserve">have an impact on individual’s subjective assessment of their own empowerment: In Case Study Two, 45% of cases saw people experience a change in power after examining privacy policies and scrutinising GDPR responses. 29% felt a decrease in power, and 17% an increase. Data visibility and process transparency seem to be key first steps towards empowerment, as they allow a more accurate assessment of one’s own capability. In 52% of cases Case Study Two participants felt more distrustful, having discovered unsatisfactory exertions of power by providers [</w:t>
      </w:r>
      <w:hyperlink w:anchor="X17fee6fbf9ee82826dccbd5118d485029a82ebe">
        <w:r>
          <w:rPr>
            <w:rStyle w:val="Hyperlink"/>
          </w:rPr>
          <w:t xml:space="preserve">5.3.4</w:t>
        </w:r>
      </w:hyperlink>
      <w:r>
        <w:t xml:space="preserve">]. Once visibility and transparency have been achieved, it is clear that this should be followed soon after with understanding [</w:t>
      </w:r>
      <w:hyperlink w:anchor="Xecaf8be5654f259a19f021dd696c8aed0425326">
        <w:r>
          <w:rPr>
            <w:rStyle w:val="Hyperlink"/>
          </w:rPr>
          <w:t xml:space="preserve">6.1.1</w:t>
        </w:r>
      </w:hyperlink>
      <w:r>
        <w:t xml:space="preserve">], agency [</w:t>
      </w:r>
      <w:hyperlink w:anchor="X7f3cb9988fc4f21a782e780e51ff565a0b00582">
        <w:r>
          <w:rPr>
            <w:rStyle w:val="Hyperlink"/>
          </w:rPr>
          <w:t xml:space="preserve">6.1.3</w:t>
        </w:r>
      </w:hyperlink>
      <w:r>
        <w:t xml:space="preserve">,</w:t>
      </w:r>
      <w:r>
        <w:t xml:space="preserve"> </w:t>
      </w:r>
      <w:hyperlink w:anchor="Xa12d3bdce91425575a83cf92ced2c2e796b4046">
        <w:r>
          <w:rPr>
            <w:rStyle w:val="Hyperlink"/>
          </w:rPr>
          <w:t xml:space="preserve">6.2.2</w:t>
        </w:r>
      </w:hyperlink>
      <w:r>
        <w:t xml:space="preserve">] and involvement [</w:t>
      </w:r>
      <w:hyperlink w:anchor="X7481ad987ac6949d28340eb658a28e09f325713">
        <w:r>
          <w:rPr>
            <w:rStyle w:val="Hyperlink"/>
          </w:rPr>
          <w:t xml:space="preserve">6.2.3</w:t>
        </w:r>
      </w:hyperlink>
      <w:r>
        <w:t xml:space="preserve">]. Any one of the six wants can improve HDR for the individual, but the combination of all six is likely to produce more than the sum of its parts—an empowered digital citizen.</w:t>
      </w:r>
    </w:p>
    <w:p>
      <w:pPr>
        <w:pStyle w:val="BodyText"/>
      </w:pPr>
      <w:r>
        <w:t xml:space="preserve">Considering the societal level, these six wants show</w:t>
      </w:r>
      <w:r>
        <w:t xml:space="preserve"> </w:t>
      </w:r>
      <w:r>
        <w:rPr>
          <w:bCs/>
          <w:b/>
        </w:rPr>
        <w:t xml:space="preserve">how society should be reconfigured to improve HDR</w:t>
      </w:r>
      <w:r>
        <w:t xml:space="preserve">. Giving people a role in influencing the life of their own data is a key ingredient in and of more progressive digital citizenship</w:t>
      </w:r>
      <w:r>
        <w:t xml:space="preserve"> </w:t>
      </w:r>
      <w:r>
        <w:t xml:space="preserve">(</w:t>
      </w:r>
      <w:hyperlink w:anchor="ref-bridle2016">
        <w:r>
          <w:rPr>
            <w:rStyle w:val="Hyperlink"/>
          </w:rPr>
          <w:t xml:space="preserve">Bridle, 2016</w:t>
        </w:r>
      </w:hyperlink>
      <w:r>
        <w:t xml:space="preserve">)</w:t>
      </w:r>
      <w:r>
        <w:t xml:space="preserve">. Shifting data interaction interfaces and processes to a more human-centric [</w:t>
      </w:r>
      <w:hyperlink w:anchor="Xe0d88c5002b6cf7664052f1fc7d652cbdadccec">
        <w:r>
          <w:rPr>
            <w:rStyle w:val="Hyperlink"/>
          </w:rPr>
          <w:t xml:space="preserve">2.3</w:t>
        </w:r>
      </w:hyperlink>
      <w:r>
        <w:t xml:space="preserve">] model where people are controllers at the centre of their own personal data ecosystem [</w:t>
      </w:r>
      <w:hyperlink w:anchor="X7b06b2486a051055e43ae1127e87196d505e2f3">
        <w:r>
          <w:rPr>
            <w:rStyle w:val="Hyperlink"/>
          </w:rPr>
          <w:t xml:space="preserve">2.3.4</w:t>
        </w:r>
      </w:hyperlink>
      <w:r>
        <w:t xml:space="preserve">] would be progressive and transformative, and not without cost, education, deployment and uptake challenges. Nonetheless participants in both studies could easily imagine more human-centric interfaces and more empowering service interactions and demanded those improvements. And it is possible; just as some human-centric practices were beginning to emerge among support services in Case Study One [</w:t>
      </w:r>
      <w:hyperlink w:anchor="X5c213d3f7d5eb3b3913f2bcc99b547ab52233a9">
        <w:r>
          <w:rPr>
            <w:rStyle w:val="Hyperlink"/>
          </w:rPr>
          <w:t xml:space="preserve">4.3.1</w:t>
        </w:r>
      </w:hyperlink>
      <w:r>
        <w:t xml:space="preserve">], so some companies targeted in Case Study Two are already beginning to move in this direction: some offer privacy hubs and explanations of data practices, while others offer interfaces solely for accessing data and exerting data rights [</w:t>
      </w:r>
      <w:hyperlink w:anchor="X18d96849acd4f3914538408fbb4a3dca66ff25c">
        <w:r>
          <w:rPr>
            <w:rStyle w:val="Hyperlink"/>
          </w:rPr>
          <w:t xml:space="preserve">5.1.1</w:t>
        </w:r>
      </w:hyperlink>
      <w:r>
        <w:t xml:space="preserve">]. In both Case Studies there was a clear demand for this initial forays by service providers to be expanded: be it through more pro-active data practices in the care context [</w:t>
      </w:r>
      <w:hyperlink w:anchor="X33b0e93f97f87fa3bb3c4df915c0729032ea608">
        <w:r>
          <w:rPr>
            <w:rStyle w:val="Hyperlink"/>
          </w:rPr>
          <w:t xml:space="preserve">4.3.4</w:t>
        </w:r>
      </w:hyperlink>
      <w:r>
        <w:t xml:space="preserve">], or new models of data involvement in the commercial context [</w:t>
      </w:r>
      <w:hyperlink w:anchor="X279d3e70c4a8279cdfb499a60bef2c4f405d995">
        <w:r>
          <w:rPr>
            <w:rStyle w:val="Hyperlink"/>
          </w:rPr>
          <w:t xml:space="preserve">5.5.2</w:t>
        </w:r>
      </w:hyperlink>
      <w:r>
        <w:t xml:space="preserve">]. If the locus of decision making [</w:t>
      </w:r>
      <w:hyperlink w:anchor="X8a50e98458a9c28886ed15ffb2cc666b2d3d49b">
        <w:r>
          <w:rPr>
            <w:rStyle w:val="Hyperlink"/>
          </w:rPr>
          <w:t xml:space="preserve">4.4.3</w:t>
        </w:r>
      </w:hyperlink>
      <w:r>
        <w:t xml:space="preserve">] could be shifted towards individuals through such reconfigurations of existing practices, this would give them a role to play as agents in the life of their data, allowing them to curate their own data self, the representation of them used in decision making, so that it is fair, accurate and representative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a50e98458a9c28886ed15ffb2cc666b2d3d49b">
        <w:r>
          <w:rPr>
            <w:rStyle w:val="Hyperlink"/>
          </w:rPr>
          <w:t xml:space="preserve">4.4.3</w:t>
        </w:r>
      </w:hyperlink>
      <w:r>
        <w:t xml:space="preserve">].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Cs/>
          <w:b/>
        </w:rPr>
        <w:t xml:space="preserve">Empowering individuals with better HDR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w:t>
      </w:r>
      <w:hyperlink w:anchor="X279d3e70c4a8279cdfb499a60bef2c4f405d995">
        <w:r>
          <w:rPr>
            <w:rStyle w:val="Hyperlink"/>
          </w:rPr>
          <w:t xml:space="preserve">5.5.2</w:t>
        </w:r>
      </w:hyperlink>
      <w:r>
        <w:t xml:space="preserve">], and potentially to capitalise on new demands for data insight tools [</w:t>
      </w:r>
      <w:hyperlink w:anchor="X41dd5411c3ac1e32b00fee73de26a508f888c5b">
        <w:r>
          <w:rPr>
            <w:rStyle w:val="Hyperlink"/>
          </w:rPr>
          <w:t xml:space="preserve">5.5.3</w:t>
        </w:r>
      </w:hyperlink>
      <w:r>
        <w:t xml:space="preserve">]. The ideal is that individuals would have a</w:t>
      </w:r>
      <w:r>
        <w:t xml:space="preserve"> </w:t>
      </w:r>
      <w:r>
        <w:rPr>
          <w:iCs/>
          <w:i/>
        </w:rPr>
        <w:t xml:space="preserve">‘</w:t>
      </w:r>
      <w:r>
        <w:rPr>
          <w:iCs/>
          <w:i/>
        </w:rPr>
        <w:t xml:space="preserve">permanently open two-way communication channel [with data holders], allowing a dialogue to take place</w:t>
      </w:r>
      <w:r>
        <w:rPr>
          <w:iCs/>
          <w:i/>
        </w:rPr>
        <w:t xml:space="preserve">’</w:t>
      </w:r>
      <w:r>
        <w:t xml:space="preserve"> </w:t>
      </w:r>
      <w:r>
        <w:t xml:space="preserve">(</w:t>
      </w:r>
      <w:hyperlink w:anchor="ref-bakardjieva2001">
        <w:r>
          <w:rPr>
            <w:rStyle w:val="Hyperlink"/>
          </w:rPr>
          <w:t xml:space="preserve">Bakardjieva and Feenberg, 2001</w:t>
        </w:r>
      </w:hyperlink>
      <w:r>
        <w:t xml:space="preserve">)</w:t>
      </w:r>
      <w:r>
        <w:t xml:space="preserve">, delivering dynamic consent and ongoing involvement. Such a change in thinking, away from legal box-ticking (be it capturing informed consent [</w:t>
      </w:r>
      <w:hyperlink w:anchor="X6442478f1f952d62cb89e1b634d5937a7d2863f">
        <w:r>
          <w:rPr>
            <w:rStyle w:val="Hyperlink"/>
          </w:rPr>
          <w:t xml:space="preserve">4.1.2</w:t>
        </w:r>
      </w:hyperlink>
      <w:r>
        <w:t xml:space="preserve">], or satisfying GDPR requests [</w:t>
      </w:r>
      <w:hyperlink w:anchor="X18b35402f3fbcb74b8e5bbc8aa2c0e3e784e473">
        <w:r>
          <w:rPr>
            <w:rStyle w:val="Hyperlink"/>
          </w:rPr>
          <w:t xml:space="preserve">5.5.1</w:t>
        </w:r>
      </w:hyperlink>
      <w:r>
        <w:t xml:space="preserve">])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w:t>
      </w:r>
      <w:r>
        <w:t xml:space="preserve"> </w:t>
      </w:r>
      <w:r>
        <w:t xml:space="preserve">innovation in data access and process involvement to flourish.</w:t>
      </w:r>
    </w:p>
    <w:p>
      <w:pPr>
        <w:pStyle w:val="BodyText"/>
      </w:pPr>
      <w:r>
        <w:t xml:space="preserve">The vision of these new empowered individuals, given new inclusive roles in the lives of their data, therefore, is the ultimate answer to</w:t>
      </w:r>
      <w:r>
        <w:t xml:space="preserve"> </w:t>
      </w:r>
      <w:hyperlink w:anchor="RQ">
        <w:r>
          <w:rPr>
            <w:rStyle w:val="Hyperlink"/>
          </w:rPr>
          <w:t xml:space="preserve">the research question</w:t>
        </w:r>
      </w:hyperlink>
      <w:r>
        <w:t xml:space="preserve"> </w:t>
      </w:r>
      <w:r>
        <w:t xml:space="preserve">this thesis set out to answer: This data-empowered and process-involved future is what better HDR looks like.</w:t>
      </w:r>
    </w:p>
    <w:p>
      <w:r>
        <w:pict>
          <v:rect style="width:0;height:1.5pt" o:hralign="center" o:hrstd="t" o:hr="t"/>
        </w:pict>
      </w:r>
    </w:p>
    <w:bookmarkEnd w:id="29"/>
    <w:bookmarkEnd w:id="30"/>
    <w:bookmarkStart w:id="141" w:name="bibliography"/>
    <w:p>
      <w:pPr>
        <w:pStyle w:val="Heading1"/>
      </w:pPr>
      <w:r>
        <w:t xml:space="preserve">Bibliography</w:t>
      </w:r>
    </w:p>
    <w:bookmarkStart w:id="140" w:name="refs"/>
    <w:bookmarkStart w:id="32"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31">
        <w:r>
          <w:rPr>
            <w:rStyle w:val="Hyperlink"/>
          </w:rPr>
          <w:t xml:space="preserve">10.1145/2670528</w:t>
        </w:r>
      </w:hyperlink>
      <w:r>
        <w:t xml:space="preserve">.</w:t>
      </w:r>
    </w:p>
    <w:bookmarkEnd w:id="32"/>
    <w:bookmarkStart w:id="34" w:name="ref-gdpr2018art13"/>
    <w:p>
      <w:pPr>
        <w:pStyle w:val="Bibliography"/>
      </w:pPr>
      <w:r>
        <w:t xml:space="preserve">‘</w:t>
      </w:r>
      <w:r>
        <w:t xml:space="preserve">Article 13: Information to be provided where personal data are collected from the data subject</w:t>
      </w:r>
      <w:r>
        <w:t xml:space="preserve">’</w:t>
      </w:r>
      <w:r>
        <w:t xml:space="preserve"> </w:t>
      </w:r>
      <w:r>
        <w:t xml:space="preserve">(2020). doi:</w:t>
      </w:r>
      <w:r>
        <w:t xml:space="preserve"> </w:t>
      </w:r>
      <w:hyperlink r:id="rId33">
        <w:r>
          <w:rPr>
            <w:rStyle w:val="Hyperlink"/>
          </w:rPr>
          <w:t xml:space="preserve">10.1093/oso/9780198826491.003.0044</w:t>
        </w:r>
      </w:hyperlink>
      <w:r>
        <w:t xml:space="preserve">.</w:t>
      </w:r>
    </w:p>
    <w:bookmarkEnd w:id="34"/>
    <w:bookmarkStart w:id="35" w:name="ref-ec2010accountability"/>
    <w:p>
      <w:pPr>
        <w:pStyle w:val="Bibliography"/>
      </w:pPr>
      <w:r>
        <w:t xml:space="preserve">Article 29 Data Protection Working Party (2010)</w:t>
      </w:r>
      <w:r>
        <w:t xml:space="preserve"> </w:t>
      </w:r>
      <w:r>
        <w:rPr>
          <w:iCs/>
          <w:i/>
        </w:rPr>
        <w:t xml:space="preserve">Opinion 3/2010 on the principle of accountability</w:t>
      </w:r>
      <w:r>
        <w:t xml:space="preserve">. Brussels: European Commission.</w:t>
      </w:r>
    </w:p>
    <w:bookmarkEnd w:id="35"/>
    <w:bookmarkStart w:id="37" w:name="ref-bakardjieva2001"/>
    <w:p>
      <w:pPr>
        <w:pStyle w:val="Bibliography"/>
      </w:pPr>
      <w:r>
        <w:t xml:space="preserve">Bakardjieva, M. and Feenberg, A. (2001)</w:t>
      </w:r>
      <w:r>
        <w:t xml:space="preserve"> </w:t>
      </w:r>
      <w:r>
        <w:t xml:space="preserve">‘</w:t>
      </w:r>
      <w:r>
        <w:t xml:space="preserve">Involving the Virtual Subjects</w:t>
      </w:r>
      <w:r>
        <w:t xml:space="preserve">’</w:t>
      </w:r>
      <w:r>
        <w:t xml:space="preserve">,</w:t>
      </w:r>
      <w:r>
        <w:t xml:space="preserve"> </w:t>
      </w:r>
      <w:r>
        <w:rPr>
          <w:iCs/>
          <w:i/>
        </w:rPr>
        <w:t xml:space="preserve">Ethics and Information Technology</w:t>
      </w:r>
      <w:r>
        <w:t xml:space="preserve">, 2, pp. 233–240. doi:</w:t>
      </w:r>
      <w:r>
        <w:t xml:space="preserve"> </w:t>
      </w:r>
      <w:hyperlink r:id="rId36">
        <w:r>
          <w:rPr>
            <w:rStyle w:val="Hyperlink"/>
          </w:rPr>
          <w:t xml:space="preserve">10.1023/A:1011454606534</w:t>
        </w:r>
      </w:hyperlink>
      <w:r>
        <w:t xml:space="preserve">.</w:t>
      </w:r>
    </w:p>
    <w:bookmarkEnd w:id="37"/>
    <w:bookmarkStart w:id="39" w:name="ref-binns2022"/>
    <w:p>
      <w:pPr>
        <w:pStyle w:val="Bibliography"/>
      </w:pPr>
      <w:r>
        <w:t xml:space="preserve">Binns, R. (2022)</w:t>
      </w:r>
      <w:r>
        <w:t xml:space="preserve"> </w:t>
      </w:r>
      <w:r>
        <w:t xml:space="preserve">‘</w:t>
      </w:r>
      <w:r>
        <w:t xml:space="preserve">Tracking on the Web, Mobile and the Internet-of-Things</w:t>
      </w:r>
      <w:r>
        <w:t xml:space="preserve">’</w:t>
      </w:r>
      <w:r>
        <w:t xml:space="preserve">. Available at:</w:t>
      </w:r>
      <w:r>
        <w:t xml:space="preserve"> </w:t>
      </w:r>
      <w:hyperlink r:id="rId38">
        <w:r>
          <w:rPr>
            <w:rStyle w:val="Hyperlink"/>
          </w:rPr>
          <w:t xml:space="preserve">http://arxiv.org/abs/2201.10831</w:t>
        </w:r>
      </w:hyperlink>
      <w:r>
        <w:t xml:space="preserve">.</w:t>
      </w:r>
    </w:p>
    <w:bookmarkEnd w:id="39"/>
    <w:bookmarkStart w:id="40" w:name="ref-bowker2005"/>
    <w:p>
      <w:pPr>
        <w:pStyle w:val="Bibliography"/>
      </w:pPr>
      <w:r>
        <w:t xml:space="preserve">Bowker, G. C. (2005)</w:t>
      </w:r>
      <w:r>
        <w:t xml:space="preserve"> </w:t>
      </w:r>
      <w:r>
        <w:rPr>
          <w:iCs/>
          <w:i/>
        </w:rPr>
        <w:t xml:space="preserve">Memory practices in the sciences</w:t>
      </w:r>
      <w:r>
        <w:t xml:space="preserve">. MIT Press, p. 261.</w:t>
      </w:r>
    </w:p>
    <w:bookmarkEnd w:id="40"/>
    <w:bookmarkStart w:id="42"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41">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2"/>
    <w:bookmarkStart w:id="44"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43">
        <w:r>
          <w:rPr>
            <w:rStyle w:val="Hyperlink"/>
          </w:rPr>
          <w:t xml:space="preserve">http://radar.oreilly.com/2011/07/why-files-need-to-die.html</w:t>
        </w:r>
      </w:hyperlink>
      <w:r>
        <w:t xml:space="preserve">.</w:t>
      </w:r>
    </w:p>
    <w:bookmarkEnd w:id="44"/>
    <w:bookmarkStart w:id="46"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45">
        <w:r>
          <w:rPr>
            <w:rStyle w:val="Hyperlink"/>
          </w:rPr>
          <w:t xml:space="preserve">10.1145/3173574.3173710</w:t>
        </w:r>
      </w:hyperlink>
      <w:r>
        <w:t xml:space="preserve">.</w:t>
      </w:r>
    </w:p>
    <w:bookmarkEnd w:id="46"/>
    <w:bookmarkStart w:id="4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7">
        <w:r>
          <w:rPr>
            <w:rStyle w:val="Hyperlink"/>
          </w:rPr>
          <w:t xml:space="preserve">10.1145/1011870.1011885</w:t>
        </w:r>
      </w:hyperlink>
      <w:r>
        <w:t xml:space="preserve">.</w:t>
      </w:r>
    </w:p>
    <w:bookmarkEnd w:id="48"/>
    <w:bookmarkStart w:id="5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49">
        <w:r>
          <w:rPr>
            <w:rStyle w:val="Hyperlink"/>
          </w:rPr>
          <w:t xml:space="preserve">10.1080/2373566x.2016.1237858</w:t>
        </w:r>
      </w:hyperlink>
      <w:r>
        <w:t xml:space="preserve">.</w:t>
      </w:r>
    </w:p>
    <w:bookmarkEnd w:id="50"/>
    <w:bookmarkStart w:id="52" w:name="ref-dictEmpowerment"/>
    <w:p>
      <w:pPr>
        <w:pStyle w:val="Bibliography"/>
      </w:pPr>
      <w:r>
        <w:t xml:space="preserve">Cambridge Dictionary (no date)</w:t>
      </w:r>
      <w:r>
        <w:t xml:space="preserve"> </w:t>
      </w:r>
      <w:r>
        <w:t xml:space="preserve">‘</w:t>
      </w:r>
      <w:r>
        <w:t xml:space="preserve">Empowerment</w:t>
      </w:r>
      <w:r>
        <w:t xml:space="preserve">’</w:t>
      </w:r>
      <w:r>
        <w:t xml:space="preserve">. Available at:</w:t>
      </w:r>
      <w:r>
        <w:t xml:space="preserve"> </w:t>
      </w:r>
      <w:hyperlink r:id="rId51">
        <w:r>
          <w:rPr>
            <w:rStyle w:val="Hyperlink"/>
          </w:rPr>
          <w:t xml:space="preserve">https://dictionary.cambridge.org/dictionary/english/empowerment</w:t>
        </w:r>
      </w:hyperlink>
      <w:r>
        <w:t xml:space="preserve">.</w:t>
      </w:r>
    </w:p>
    <w:bookmarkEnd w:id="52"/>
    <w:bookmarkStart w:id="54"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53">
        <w:r>
          <w:rPr>
            <w:rStyle w:val="Hyperlink"/>
          </w:rPr>
          <w:t xml:space="preserve">https://www.vox.com/policy-and-politics/2018/3/23/17151916/facebook-cambridge-analytica-trump-diagram</w:t>
        </w:r>
      </w:hyperlink>
      <w:r>
        <w:t xml:space="preserve">.</w:t>
      </w:r>
    </w:p>
    <w:bookmarkEnd w:id="54"/>
    <w:bookmarkStart w:id="56" w:name="ref-claburn2021"/>
    <w:p>
      <w:pPr>
        <w:pStyle w:val="Bibliography"/>
      </w:pPr>
      <w:r>
        <w:t xml:space="preserve">Claburn, T. (2021)</w:t>
      </w:r>
      <w:r>
        <w:t xml:space="preserve"> </w:t>
      </w:r>
      <w:r>
        <w:t xml:space="preserve">‘</w:t>
      </w:r>
      <w:r>
        <w:t xml:space="preserve">Android’s Messages, Dialer apps quietly sent text, call info to Google</w:t>
      </w:r>
      <w:r>
        <w:t xml:space="preserve">’</w:t>
      </w:r>
      <w:r>
        <w:t xml:space="preserve">. Available at:</w:t>
      </w:r>
      <w:r>
        <w:t xml:space="preserve"> </w:t>
      </w:r>
      <w:hyperlink r:id="rId55">
        <w:r>
          <w:rPr>
            <w:rStyle w:val="Hyperlink"/>
          </w:rPr>
          <w:t xml:space="preserve">https://www.theregister.com/2022/03/21/google_messages_gdpr/</w:t>
        </w:r>
      </w:hyperlink>
      <w:r>
        <w:t xml:space="preserve">.</w:t>
      </w:r>
    </w:p>
    <w:bookmarkEnd w:id="56"/>
    <w:bookmarkStart w:id="58" w:name="ref-dictUseability"/>
    <w:p>
      <w:pPr>
        <w:pStyle w:val="Bibliography"/>
      </w:pPr>
      <w:r>
        <w:t xml:space="preserve">Collins English Dictionary (no date a)</w:t>
      </w:r>
      <w:r>
        <w:t xml:space="preserve"> </w:t>
      </w:r>
      <w:r>
        <w:t xml:space="preserve">‘</w:t>
      </w:r>
      <w:r>
        <w:t xml:space="preserve">Useability</w:t>
      </w:r>
      <w:r>
        <w:t xml:space="preserve">’</w:t>
      </w:r>
      <w:r>
        <w:t xml:space="preserve">. Available at:</w:t>
      </w:r>
      <w:r>
        <w:t xml:space="preserve"> </w:t>
      </w:r>
      <w:hyperlink r:id="rId57">
        <w:r>
          <w:rPr>
            <w:rStyle w:val="Hyperlink"/>
          </w:rPr>
          <w:t xml:space="preserve">https://www.thefreedictionary.com/useability</w:t>
        </w:r>
      </w:hyperlink>
      <w:r>
        <w:t xml:space="preserve">.</w:t>
      </w:r>
    </w:p>
    <w:bookmarkEnd w:id="58"/>
    <w:bookmarkStart w:id="60" w:name="ref-dictUseable"/>
    <w:p>
      <w:pPr>
        <w:pStyle w:val="Bibliography"/>
      </w:pPr>
      <w:r>
        <w:t xml:space="preserve">Collins English Dictionary (no date b)</w:t>
      </w:r>
      <w:r>
        <w:t xml:space="preserve"> </w:t>
      </w:r>
      <w:r>
        <w:t xml:space="preserve">‘</w:t>
      </w:r>
      <w:r>
        <w:t xml:space="preserve">Useable</w:t>
      </w:r>
      <w:r>
        <w:t xml:space="preserve">’</w:t>
      </w:r>
      <w:r>
        <w:t xml:space="preserve">. Available at:</w:t>
      </w:r>
      <w:r>
        <w:t xml:space="preserve"> </w:t>
      </w:r>
      <w:hyperlink r:id="rId59">
        <w:r>
          <w:rPr>
            <w:rStyle w:val="Hyperlink"/>
          </w:rPr>
          <w:t xml:space="preserve">https://www.thefreedictionary.com/useable</w:t>
        </w:r>
      </w:hyperlink>
      <w:r>
        <w:t xml:space="preserve">.</w:t>
      </w:r>
    </w:p>
    <w:bookmarkEnd w:id="60"/>
    <w:bookmarkStart w:id="6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61">
        <w:r>
          <w:rPr>
            <w:rStyle w:val="Hyperlink"/>
          </w:rPr>
          <w:t xml:space="preserve">10.21552/edpl/2016/1/5</w:t>
        </w:r>
      </w:hyperlink>
      <w:r>
        <w:t xml:space="preserve">.</w:t>
      </w:r>
    </w:p>
    <w:bookmarkEnd w:id="62"/>
    <w:bookmarkStart w:id="6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3">
        <w:r>
          <w:rPr>
            <w:rStyle w:val="Hyperlink"/>
          </w:rPr>
          <w:t xml:space="preserve">10.1332/030557312X645838</w:t>
        </w:r>
      </w:hyperlink>
      <w:r>
        <w:t xml:space="preserve">.</w:t>
      </w:r>
    </w:p>
    <w:bookmarkEnd w:id="64"/>
    <w:bookmarkStart w:id="66"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5">
        <w:r>
          <w:rPr>
            <w:rStyle w:val="Hyperlink"/>
          </w:rPr>
          <w:t xml:space="preserve">10.2139/ssrn.2874312</w:t>
        </w:r>
      </w:hyperlink>
      <w:r>
        <w:t xml:space="preserve">.</w:t>
      </w:r>
    </w:p>
    <w:bookmarkEnd w:id="66"/>
    <w:bookmarkStart w:id="68" w:name="ref-avast2022databrokers"/>
    <w:p>
      <w:pPr>
        <w:pStyle w:val="Bibliography"/>
      </w:pPr>
      <w:r>
        <w:t xml:space="preserve">‘</w:t>
      </w:r>
      <w:r>
        <w:t xml:space="preserve">Data Brokers: Everything You Need to Know</w:t>
      </w:r>
      <w:r>
        <w:t xml:space="preserve">’</w:t>
      </w:r>
      <w:r>
        <w:t xml:space="preserve"> </w:t>
      </w:r>
      <w:r>
        <w:t xml:space="preserve">(2022). Available at:</w:t>
      </w:r>
      <w:r>
        <w:t xml:space="preserve"> </w:t>
      </w:r>
      <w:hyperlink r:id="rId67">
        <w:r>
          <w:rPr>
            <w:rStyle w:val="Hyperlink"/>
          </w:rPr>
          <w:t xml:space="preserve">https://www.avast.com/c-data-brokers</w:t>
        </w:r>
      </w:hyperlink>
      <w:r>
        <w:t xml:space="preserve"> </w:t>
      </w:r>
      <w:r>
        <w:t xml:space="preserve">(Accessed: 11 February 2022).</w:t>
      </w:r>
    </w:p>
    <w:bookmarkEnd w:id="68"/>
    <w:bookmarkStart w:id="70"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69">
        <w:r>
          <w:rPr>
            <w:rStyle w:val="Hyperlink"/>
          </w:rPr>
          <w:t xml:space="preserve">10.1080/13561820020003919</w:t>
        </w:r>
      </w:hyperlink>
      <w:r>
        <w:t xml:space="preserve">.</w:t>
      </w:r>
    </w:p>
    <w:bookmarkEnd w:id="70"/>
    <w:bookmarkStart w:id="72"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1">
        <w:r>
          <w:rPr>
            <w:rStyle w:val="Hyperlink"/>
          </w:rPr>
          <w:t xml:space="preserve">10.24908/ss.v12i2.4776</w:t>
        </w:r>
      </w:hyperlink>
      <w:r>
        <w:t xml:space="preserve">.</w:t>
      </w:r>
    </w:p>
    <w:bookmarkEnd w:id="72"/>
    <w:bookmarkStart w:id="74" w:name="ref-edwards2006"/>
    <w:p>
      <w:pPr>
        <w:pStyle w:val="Bibliography"/>
      </w:pPr>
      <w:r>
        <w:t xml:space="preserve">Edwards, A. and Elwyn, G. (2006)</w:t>
      </w:r>
      <w:r>
        <w:t xml:space="preserve"> </w:t>
      </w:r>
      <w:r>
        <w:t xml:space="preserve">‘</w:t>
      </w:r>
      <w:r>
        <w:t xml:space="preserve">Inside the black box of shared decision making: distinguishing between the process of involvement and who makes the decision</w:t>
      </w:r>
      <w:r>
        <w:t xml:space="preserve">’</w:t>
      </w:r>
      <w:r>
        <w:t xml:space="preserve">,</w:t>
      </w:r>
      <w:r>
        <w:t xml:space="preserve"> </w:t>
      </w:r>
      <w:r>
        <w:rPr>
          <w:iCs/>
          <w:i/>
        </w:rPr>
        <w:t xml:space="preserve">Health Expectations</w:t>
      </w:r>
      <w:r>
        <w:t xml:space="preserve">. Wiley/Blackwell (10.1111), 9(4), pp. 307–320. doi:</w:t>
      </w:r>
      <w:r>
        <w:t xml:space="preserve"> </w:t>
      </w:r>
      <w:hyperlink r:id="rId73">
        <w:r>
          <w:rPr>
            <w:rStyle w:val="Hyperlink"/>
          </w:rPr>
          <w:t xml:space="preserve">10.1111/j.1369-7625.2006.00401.x</w:t>
        </w:r>
      </w:hyperlink>
      <w:r>
        <w:t xml:space="preserve">.</w:t>
      </w:r>
    </w:p>
    <w:bookmarkEnd w:id="74"/>
    <w:bookmarkStart w:id="75" w:name="ref-evans2021"/>
    <w:p>
      <w:pPr>
        <w:pStyle w:val="Bibliography"/>
      </w:pPr>
      <w:r>
        <w:t xml:space="preserve">Evans, W. (2021)</w:t>
      </w:r>
      <w:r>
        <w:t xml:space="preserve"> </w:t>
      </w:r>
      <w:r>
        <w:t xml:space="preserve">‘</w:t>
      </w:r>
      <w:r>
        <w:t xml:space="preserve">Amazon’s dark secret: It has failed to protect your data</w:t>
      </w:r>
      <w:r>
        <w:t xml:space="preserve">’</w:t>
      </w:r>
      <w:r>
        <w:t xml:space="preserve">.</w:t>
      </w:r>
    </w:p>
    <w:bookmarkEnd w:id="75"/>
    <w:bookmarkStart w:id="77"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76">
        <w:r>
          <w:rPr>
            <w:rStyle w:val="Hyperlink"/>
          </w:rPr>
          <w:t xml:space="preserve">https://mitpress.mit.edu/books/raw-data-oxymoron</w:t>
        </w:r>
      </w:hyperlink>
      <w:r>
        <w:t xml:space="preserve">.</w:t>
      </w:r>
    </w:p>
    <w:bookmarkEnd w:id="77"/>
    <w:bookmarkStart w:id="79" w:name="ref-glavic2021"/>
    <w:p>
      <w:pPr>
        <w:pStyle w:val="Bibliography"/>
      </w:pPr>
      <w:r>
        <w:t xml:space="preserve">Glavic, B.</w:t>
      </w:r>
      <w:r>
        <w:t xml:space="preserve"> </w:t>
      </w:r>
      <w:r>
        <w:rPr>
          <w:iCs/>
          <w:i/>
        </w:rPr>
        <w:t xml:space="preserve">et al.</w:t>
      </w:r>
      <w:r>
        <w:t xml:space="preserve"> </w:t>
      </w:r>
      <w:r>
        <w:t xml:space="preserve">(2021)</w:t>
      </w:r>
      <w:r>
        <w:t xml:space="preserve"> </w:t>
      </w:r>
      <w:r>
        <w:t xml:space="preserve">‘</w:t>
      </w:r>
      <w:r>
        <w:t xml:space="preserve">Trends in Explanations: Understanding and Debugging Data-driven Systems</w:t>
      </w:r>
      <w:r>
        <w:t xml:space="preserve">’</w:t>
      </w:r>
      <w:r>
        <w:t xml:space="preserve">,</w:t>
      </w:r>
      <w:r>
        <w:t xml:space="preserve"> </w:t>
      </w:r>
      <w:r>
        <w:rPr>
          <w:iCs/>
          <w:i/>
        </w:rPr>
        <w:t xml:space="preserve">Foundations and Trends</w:t>
      </w:r>
      <w:r>
        <w:rPr>
          <w:iCs/>
          <w:i/>
        </w:rPr>
        <w:t xml:space="preserve">in Databases</w:t>
      </w:r>
      <w:r>
        <w:t xml:space="preserve">. Now Publishers, Inc., 11(3), pp. 226–318. doi:</w:t>
      </w:r>
      <w:r>
        <w:t xml:space="preserve"> </w:t>
      </w:r>
      <w:hyperlink r:id="rId78">
        <w:r>
          <w:rPr>
            <w:rStyle w:val="Hyperlink"/>
          </w:rPr>
          <w:t xml:space="preserve">10.1561/XXXXXXXXX.Boris</w:t>
        </w:r>
      </w:hyperlink>
      <w:r>
        <w:t xml:space="preserve">.</w:t>
      </w:r>
    </w:p>
    <w:bookmarkEnd w:id="79"/>
    <w:bookmarkStart w:id="80" w:name="ref-goffe2021"/>
    <w:p>
      <w:pPr>
        <w:pStyle w:val="Bibliography"/>
      </w:pPr>
      <w:r>
        <w:t xml:space="preserve">Goffe, L.</w:t>
      </w:r>
      <w:r>
        <w:t xml:space="preserve"> </w:t>
      </w:r>
      <w:r>
        <w:rPr>
          <w:iCs/>
          <w:i/>
        </w:rPr>
        <w:t xml:space="preserve">et al.</w:t>
      </w:r>
      <w:r>
        <w:t xml:space="preserve"> </w:t>
      </w:r>
      <w:r>
        <w:t xml:space="preserve">(2021)</w:t>
      </w:r>
      <w:r>
        <w:t xml:space="preserve"> </w:t>
      </w:r>
      <w:r>
        <w:t xml:space="preserve">‘Appetite for disruption: Designing human-centred augmentations to an online food ordering platform’</w:t>
      </w:r>
      <w:r>
        <w:t xml:space="preserve">, in</w:t>
      </w:r>
      <w:r>
        <w:t xml:space="preserve"> </w:t>
      </w:r>
      <w:r>
        <w:rPr>
          <w:iCs/>
          <w:i/>
        </w:rPr>
        <w:t xml:space="preserve">34th british HCI conference</w:t>
      </w:r>
      <w:r>
        <w:t xml:space="preserve">, pp. 155–167.</w:t>
      </w:r>
    </w:p>
    <w:bookmarkEnd w:id="80"/>
    <w:bookmarkStart w:id="82"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1">
        <w:r>
          <w:rPr>
            <w:rStyle w:val="Hyperlink"/>
          </w:rPr>
          <w:t xml:space="preserve">10.5210/fm.v16i2.3316</w:t>
        </w:r>
      </w:hyperlink>
      <w:r>
        <w:t xml:space="preserve">.</w:t>
      </w:r>
    </w:p>
    <w:bookmarkEnd w:id="82"/>
    <w:bookmarkStart w:id="84" w:name="ref-britannicaHobsonsChoice"/>
    <w:p>
      <w:pPr>
        <w:pStyle w:val="Bibliography"/>
      </w:pPr>
      <w:r>
        <w:t xml:space="preserve">‘</w:t>
      </w:r>
      <w:r>
        <w:t xml:space="preserve">Hobson’s Choice</w:t>
      </w:r>
      <w:r>
        <w:t xml:space="preserve">’</w:t>
      </w:r>
      <w:r>
        <w:t xml:space="preserve"> </w:t>
      </w:r>
      <w:r>
        <w:t xml:space="preserve">(no date). Available at:</w:t>
      </w:r>
      <w:r>
        <w:t xml:space="preserve"> </w:t>
      </w:r>
      <w:hyperlink r:id="rId83">
        <w:r>
          <w:rPr>
            <w:rStyle w:val="Hyperlink"/>
          </w:rPr>
          <w:t xml:space="preserve">https://www.britannica.com/dictionary/Hobson%27s-choice</w:t>
        </w:r>
      </w:hyperlink>
      <w:r>
        <w:t xml:space="preserve">.</w:t>
      </w:r>
    </w:p>
    <w:bookmarkEnd w:id="84"/>
    <w:bookmarkStart w:id="86"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85">
        <w:r>
          <w:rPr>
            <w:rStyle w:val="Hyperlink"/>
          </w:rPr>
          <w:t xml:space="preserve">http://www.weforum.org/reports/personal-data-emergence-new-asset-class</w:t>
        </w:r>
      </w:hyperlink>
      <w:r>
        <w:t xml:space="preserve">.</w:t>
      </w:r>
    </w:p>
    <w:bookmarkEnd w:id="86"/>
    <w:bookmarkStart w:id="88"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87">
        <w:r>
          <w:rPr>
            <w:rStyle w:val="Hyperlink"/>
          </w:rPr>
          <w:t xml:space="preserve">http://www3.weforum.org/docs/WEF_RethinkingPersonalData_ANewLens_Report_2014.pdf</w:t>
        </w:r>
      </w:hyperlink>
      <w:r>
        <w:t xml:space="preserve">.</w:t>
      </w:r>
    </w:p>
    <w:bookmarkEnd w:id="88"/>
    <w:bookmarkStart w:id="90"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89">
        <w:r>
          <w:rPr>
            <w:rStyle w:val="Hyperlink"/>
          </w:rPr>
          <w:t xml:space="preserve">http://www3.weforum.org/docs/WEF_RethinkingPersonalData_TrustandContext_Report_2014.pdf</w:t>
        </w:r>
      </w:hyperlink>
      <w:r>
        <w:t xml:space="preserve">.</w:t>
      </w:r>
    </w:p>
    <w:bookmarkEnd w:id="90"/>
    <w:bookmarkStart w:id="9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91">
        <w:r>
          <w:rPr>
            <w:rStyle w:val="Hyperlink"/>
          </w:rPr>
          <w:t xml:space="preserve">https://ico.org.uk/your-data-matters/</w:t>
        </w:r>
      </w:hyperlink>
      <w:r>
        <w:t xml:space="preserve">.</w:t>
      </w:r>
    </w:p>
    <w:bookmarkEnd w:id="92"/>
    <w:bookmarkStart w:id="94"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3">
        <w:r>
          <w:rPr>
            <w:rStyle w:val="Hyperlink"/>
          </w:rPr>
          <w:t xml:space="preserve">10.1038/ejhg.2014.71</w:t>
        </w:r>
      </w:hyperlink>
      <w:r>
        <w:t xml:space="preserve">.</w:t>
      </w:r>
    </w:p>
    <w:bookmarkEnd w:id="94"/>
    <w:bookmarkStart w:id="96" w:name="ref-kroger2021"/>
    <w:p>
      <w:pPr>
        <w:pStyle w:val="Bibliography"/>
      </w:pPr>
      <w:r>
        <w:t xml:space="preserve">Kröger, J. L., Miceli, M. and Müller, F. (2021)</w:t>
      </w:r>
      <w:r>
        <w:t xml:space="preserve"> </w:t>
      </w:r>
      <w:r>
        <w:t xml:space="preserve">‘</w:t>
      </w:r>
      <w:r>
        <w:t xml:space="preserve">How Data Can Be Used Against People: A Classification of Personal Data Misuses</w:t>
      </w:r>
      <w:r>
        <w:t xml:space="preserve">’</w:t>
      </w:r>
      <w:r>
        <w:t xml:space="preserve">,</w:t>
      </w:r>
      <w:r>
        <w:t xml:space="preserve"> </w:t>
      </w:r>
      <w:r>
        <w:rPr>
          <w:iCs/>
          <w:i/>
        </w:rPr>
        <w:t xml:space="preserve">SSRN Electronic Journal</w:t>
      </w:r>
      <w:r>
        <w:t xml:space="preserve">, (December). doi:</w:t>
      </w:r>
      <w:r>
        <w:t xml:space="preserve"> </w:t>
      </w:r>
      <w:hyperlink r:id="rId95">
        <w:r>
          <w:rPr>
            <w:rStyle w:val="Hyperlink"/>
          </w:rPr>
          <w:t xml:space="preserve">10.2139/ssrn.3887097</w:t>
        </w:r>
      </w:hyperlink>
      <w:r>
        <w:t xml:space="preserve">.</w:t>
      </w:r>
    </w:p>
    <w:bookmarkEnd w:id="96"/>
    <w:bookmarkStart w:id="98"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97">
        <w:r>
          <w:rPr>
            <w:rStyle w:val="Hyperlink"/>
          </w:rPr>
          <w:t xml:space="preserve">10.14763/2018.2.791</w:t>
        </w:r>
      </w:hyperlink>
      <w:r>
        <w:t xml:space="preserve">.</w:t>
      </w:r>
    </w:p>
    <w:bookmarkEnd w:id="98"/>
    <w:bookmarkStart w:id="10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99">
        <w:r>
          <w:rPr>
            <w:rStyle w:val="Hyperlink"/>
          </w:rPr>
          <w:t xml:space="preserve">10.1145/1753846.1754181</w:t>
        </w:r>
      </w:hyperlink>
      <w:r>
        <w:t xml:space="preserve">.</w:t>
      </w:r>
    </w:p>
    <w:bookmarkEnd w:id="100"/>
    <w:bookmarkStart w:id="10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01">
        <w:r>
          <w:rPr>
            <w:rStyle w:val="Hyperlink"/>
          </w:rPr>
          <w:t xml:space="preserve">10.1145/2493432.2493446</w:t>
        </w:r>
      </w:hyperlink>
      <w:r>
        <w:t xml:space="preserve">.</w:t>
      </w:r>
    </w:p>
    <w:bookmarkEnd w:id="102"/>
    <w:bookmarkStart w:id="103" w:name="ref-mcnamee2019"/>
    <w:p>
      <w:pPr>
        <w:pStyle w:val="Bibliography"/>
      </w:pPr>
      <w:r>
        <w:t xml:space="preserve">McNamee, R. (2019)</w:t>
      </w:r>
      <w:r>
        <w:t xml:space="preserve"> </w:t>
      </w:r>
      <w:r>
        <w:rPr>
          <w:iCs/>
          <w:i/>
        </w:rPr>
        <w:t xml:space="preserve">Zucked: Waking up to the Facebook Catasrophe</w:t>
      </w:r>
      <w:r>
        <w:t xml:space="preserve">, p. 336.</w:t>
      </w:r>
    </w:p>
    <w:bookmarkEnd w:id="103"/>
    <w:bookmarkStart w:id="105" w:name="ref-melendez2019"/>
    <w:p>
      <w:pPr>
        <w:pStyle w:val="Bibliography"/>
      </w:pPr>
      <w:r>
        <w:t xml:space="preserve">Melendez, S. and Pasternack, A. (2019)</w:t>
      </w:r>
      <w:r>
        <w:t xml:space="preserve"> </w:t>
      </w:r>
      <w:r>
        <w:t xml:space="preserve">‘</w:t>
      </w:r>
      <w:r>
        <w:t xml:space="preserve">The data brokers quietly buying and selling your personal information</w:t>
      </w:r>
      <w:r>
        <w:t xml:space="preserve">’</w:t>
      </w:r>
      <w:r>
        <w:t xml:space="preserve">. Available at:</w:t>
      </w:r>
      <w:r>
        <w:t xml:space="preserve"> </w:t>
      </w:r>
      <w:hyperlink r:id="rId104">
        <w:r>
          <w:rPr>
            <w:rStyle w:val="Hyperlink"/>
          </w:rPr>
          <w:t xml:space="preserve">https://www.fastcompany.com/90310803/here-are-the-data-brokers-quietly-buying-and-selling-your-personal-information</w:t>
        </w:r>
      </w:hyperlink>
      <w:r>
        <w:t xml:space="preserve">.</w:t>
      </w:r>
    </w:p>
    <w:bookmarkEnd w:id="105"/>
    <w:bookmarkStart w:id="107" w:name="ref-dictUsability"/>
    <w:p>
      <w:pPr>
        <w:pStyle w:val="Bibliography"/>
      </w:pPr>
      <w:r>
        <w:t xml:space="preserve">Merriam-Webster Dictionary (no date a)</w:t>
      </w:r>
      <w:r>
        <w:t xml:space="preserve"> </w:t>
      </w:r>
      <w:r>
        <w:t xml:space="preserve">‘</w:t>
      </w:r>
      <w:r>
        <w:t xml:space="preserve">Usability</w:t>
      </w:r>
      <w:r>
        <w:t xml:space="preserve">’</w:t>
      </w:r>
      <w:r>
        <w:t xml:space="preserve">. Available at:</w:t>
      </w:r>
      <w:r>
        <w:t xml:space="preserve"> </w:t>
      </w:r>
      <w:hyperlink r:id="rId106">
        <w:r>
          <w:rPr>
            <w:rStyle w:val="Hyperlink"/>
          </w:rPr>
          <w:t xml:space="preserve">https://www.merriam-webster.com/dictionary/usability</w:t>
        </w:r>
      </w:hyperlink>
      <w:r>
        <w:t xml:space="preserve">.</w:t>
      </w:r>
    </w:p>
    <w:bookmarkEnd w:id="107"/>
    <w:bookmarkStart w:id="109" w:name="ref-dictUsable"/>
    <w:p>
      <w:pPr>
        <w:pStyle w:val="Bibliography"/>
      </w:pPr>
      <w:r>
        <w:t xml:space="preserve">Merriam-Webster Dictionary (no date b)</w:t>
      </w:r>
      <w:r>
        <w:t xml:space="preserve"> </w:t>
      </w:r>
      <w:r>
        <w:t xml:space="preserve">‘</w:t>
      </w:r>
      <w:r>
        <w:t xml:space="preserve">Usable</w:t>
      </w:r>
      <w:r>
        <w:t xml:space="preserve">’</w:t>
      </w:r>
      <w:r>
        <w:t xml:space="preserve">. Available at:</w:t>
      </w:r>
      <w:r>
        <w:t xml:space="preserve"> </w:t>
      </w:r>
      <w:hyperlink r:id="rId108">
        <w:r>
          <w:rPr>
            <w:rStyle w:val="Hyperlink"/>
          </w:rPr>
          <w:t xml:space="preserve">https://www.merriam-webster.com/dictionary/usable</w:t>
        </w:r>
      </w:hyperlink>
      <w:r>
        <w:t xml:space="preserve">.</w:t>
      </w:r>
    </w:p>
    <w:bookmarkEnd w:id="109"/>
    <w:bookmarkStart w:id="111"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110">
        <w:r>
          <w:rPr>
            <w:rStyle w:val="Hyperlink"/>
          </w:rPr>
          <w:t xml:space="preserve">10.5210/fm.v17i5.4013</w:t>
        </w:r>
      </w:hyperlink>
      <w:r>
        <w:t xml:space="preserve">.</w:t>
      </w:r>
    </w:p>
    <w:bookmarkEnd w:id="111"/>
    <w:bookmarkStart w:id="113"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2">
        <w:r>
          <w:rPr>
            <w:rStyle w:val="Hyperlink"/>
          </w:rPr>
          <w:t xml:space="preserve">10.2139/ssrn.2508051</w:t>
        </w:r>
      </w:hyperlink>
      <w:r>
        <w:t xml:space="preserve">.</w:t>
      </w:r>
    </w:p>
    <w:bookmarkEnd w:id="113"/>
    <w:bookmarkStart w:id="115"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4">
        <w:r>
          <w:rPr>
            <w:rStyle w:val="Hyperlink"/>
          </w:rPr>
          <w:t xml:space="preserve">10.1089/big.2013.0029</w:t>
        </w:r>
      </w:hyperlink>
      <w:r>
        <w:t xml:space="preserve">.</w:t>
      </w:r>
    </w:p>
    <w:bookmarkEnd w:id="115"/>
    <w:bookmarkStart w:id="117" w:name="ref-nielsen2012"/>
    <w:p>
      <w:pPr>
        <w:pStyle w:val="Bibliography"/>
      </w:pPr>
      <w:r>
        <w:t xml:space="preserve">Nielsen, J. (2012)</w:t>
      </w:r>
      <w:r>
        <w:t xml:space="preserve"> </w:t>
      </w:r>
      <w:r>
        <w:t xml:space="preserve">‘</w:t>
      </w:r>
      <w:r>
        <w:t xml:space="preserve">Usability 101: Introduction to Usability</w:t>
      </w:r>
      <w:r>
        <w:t xml:space="preserve">’</w:t>
      </w:r>
      <w:r>
        <w:t xml:space="preserve">. Available at:</w:t>
      </w:r>
      <w:r>
        <w:t xml:space="preserve"> </w:t>
      </w:r>
      <w:hyperlink r:id="rId116">
        <w:r>
          <w:rPr>
            <w:rStyle w:val="Hyperlink"/>
          </w:rPr>
          <w:t xml:space="preserve">https://www.nngroup.com/articles/usability-101-introduction-to-usability/</w:t>
        </w:r>
      </w:hyperlink>
      <w:r>
        <w:t xml:space="preserve">.</w:t>
      </w:r>
    </w:p>
    <w:bookmarkEnd w:id="117"/>
    <w:bookmarkStart w:id="119"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18">
        <w:r>
          <w:rPr>
            <w:rStyle w:val="Hyperlink"/>
          </w:rPr>
          <w:t xml:space="preserve">www.ofsted.gov.uk https://www.gov.uk/government/uploads/system/uploads/attachment_data/file/410378/Early_help_whose_responsibility.pdf</w:t>
        </w:r>
      </w:hyperlink>
      <w:r>
        <w:t xml:space="preserve">.</w:t>
      </w:r>
    </w:p>
    <w:bookmarkEnd w:id="119"/>
    <w:bookmarkStart w:id="12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120">
        <w:r>
          <w:rPr>
            <w:rStyle w:val="Hyperlink"/>
          </w:rPr>
          <w:t xml:space="preserve">https://www.oecd.org/digital/ieconomy/oecdguidelinesontheprotectionofprivacyandtransborderflowsofpersonaldata.htm</w:t>
        </w:r>
      </w:hyperlink>
      <w:r>
        <w:t xml:space="preserve">.</w:t>
      </w:r>
    </w:p>
    <w:bookmarkEnd w:id="121"/>
    <w:bookmarkStart w:id="123" w:name="ref-pansardi2012"/>
    <w:p>
      <w:pPr>
        <w:pStyle w:val="Bibliography"/>
      </w:pPr>
      <w:r>
        <w:t xml:space="preserve">Pansardi, P. (2012)</w:t>
      </w:r>
      <w:r>
        <w:t xml:space="preserve"> </w:t>
      </w:r>
      <w:r>
        <w:t xml:space="preserve">‘</w:t>
      </w:r>
      <w:r>
        <w:t xml:space="preserve">Power to and power over: Two distinct concepts of power?</w:t>
      </w:r>
      <w:r>
        <w:t xml:space="preserve">’</w:t>
      </w:r>
      <w:r>
        <w:t xml:space="preserve">,</w:t>
      </w:r>
      <w:r>
        <w:t xml:space="preserve"> </w:t>
      </w:r>
      <w:r>
        <w:rPr>
          <w:iCs/>
          <w:i/>
        </w:rPr>
        <w:t xml:space="preserve">Journal of Political Power</w:t>
      </w:r>
      <w:r>
        <w:t xml:space="preserve">, 5(1), pp. 73–89. doi:</w:t>
      </w:r>
      <w:r>
        <w:t xml:space="preserve"> </w:t>
      </w:r>
      <w:hyperlink r:id="rId122">
        <w:r>
          <w:rPr>
            <w:rStyle w:val="Hyperlink"/>
          </w:rPr>
          <w:t xml:space="preserve">10.1080/2158379X.2012.658278</w:t>
        </w:r>
      </w:hyperlink>
      <w:r>
        <w:t xml:space="preserve">.</w:t>
      </w:r>
    </w:p>
    <w:bookmarkEnd w:id="123"/>
    <w:bookmarkStart w:id="124"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4"/>
    <w:bookmarkStart w:id="126"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25">
        <w:r>
          <w:rPr>
            <w:rStyle w:val="Hyperlink"/>
          </w:rPr>
          <w:t xml:space="preserve">10.1177/0162243910377624</w:t>
        </w:r>
      </w:hyperlink>
      <w:r>
        <w:t xml:space="preserve">.</w:t>
      </w:r>
    </w:p>
    <w:bookmarkEnd w:id="126"/>
    <w:bookmarkStart w:id="127" w:name="ref-strohmayer2021"/>
    <w:p>
      <w:pPr>
        <w:pStyle w:val="Bibliography"/>
      </w:pPr>
      <w:r>
        <w:t xml:space="preserve">Strohmayer, A.</w:t>
      </w:r>
      <w:r>
        <w:t xml:space="preserve"> </w:t>
      </w:r>
      <w:r>
        <w:rPr>
          <w:iCs/>
          <w:i/>
        </w:rPr>
        <w:t xml:space="preserve">et al.</w:t>
      </w:r>
      <w:r>
        <w:t xml:space="preserve"> </w:t>
      </w:r>
      <w:r>
        <w:t xml:space="preserve">(2021)</w:t>
      </w:r>
      <w:r>
        <w:t xml:space="preserve"> </w:t>
      </w:r>
      <w:r>
        <w:rPr>
          <w:iCs/>
          <w:i/>
        </w:rPr>
        <w:t xml:space="preserve">Trust and Abusability Toolkit: Centering Safety in Human-Data Interactions</w:t>
      </w:r>
      <w:r>
        <w:t xml:space="preserve">.</w:t>
      </w:r>
    </w:p>
    <w:bookmarkEnd w:id="127"/>
    <w:bookmarkStart w:id="129" w:name="ref-taylor2015"/>
    <w:p>
      <w:pPr>
        <w:pStyle w:val="Bibliography"/>
      </w:pPr>
      <w:r>
        <w:t xml:space="preserve">Taylor, A. S.</w:t>
      </w:r>
      <w:r>
        <w:t xml:space="preserve"> </w:t>
      </w:r>
      <w:r>
        <w:rPr>
          <w:iCs/>
          <w:i/>
        </w:rPr>
        <w:t xml:space="preserve">et al.</w:t>
      </w:r>
      <w:r>
        <w:t xml:space="preserve"> </w:t>
      </w:r>
      <w:r>
        <w:t xml:space="preserve">(2015)</w:t>
      </w:r>
      <w:r>
        <w:t xml:space="preserve"> </w:t>
      </w:r>
      <w:r>
        <w:t xml:space="preserve">‘</w:t>
      </w:r>
      <w:r>
        <w:t xml:space="preserve">Data-in-place: Thinking through the relations between data and community</w:t>
      </w:r>
      <w:r>
        <w:t xml:space="preserve">’</w:t>
      </w:r>
      <w:r>
        <w:t xml:space="preserve">, in</w:t>
      </w:r>
      <w:r>
        <w:t xml:space="preserve"> </w:t>
      </w:r>
      <w:r>
        <w:rPr>
          <w:iCs/>
          <w:i/>
        </w:rPr>
        <w:t xml:space="preserve">Conference on human factors in computing systems - proceedings</w:t>
      </w:r>
      <w:r>
        <w:t xml:space="preserve">, pp. 2863–2872. doi:</w:t>
      </w:r>
      <w:r>
        <w:t xml:space="preserve"> </w:t>
      </w:r>
      <w:hyperlink r:id="rId128">
        <w:r>
          <w:rPr>
            <w:rStyle w:val="Hyperlink"/>
          </w:rPr>
          <w:t xml:space="preserve">10.1145/2702123.2702558</w:t>
        </w:r>
      </w:hyperlink>
      <w:r>
        <w:t xml:space="preserve">.</w:t>
      </w:r>
    </w:p>
    <w:bookmarkEnd w:id="129"/>
    <w:bookmarkStart w:id="131"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130">
        <w:r>
          <w:rPr>
            <w:rStyle w:val="Hyperlink"/>
          </w:rPr>
          <w:t xml:space="preserve">https://www.wired.com/insights/2014/07/data-new-oil-digital-economy/</w:t>
        </w:r>
      </w:hyperlink>
      <w:r>
        <w:t xml:space="preserve">.</w:t>
      </w:r>
    </w:p>
    <w:bookmarkEnd w:id="131"/>
    <w:bookmarkStart w:id="133"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32">
        <w:r>
          <w:rPr>
            <w:rStyle w:val="Hyperlink"/>
          </w:rPr>
          <w:t xml:space="preserve">10.2196/medinform.3525</w:t>
        </w:r>
      </w:hyperlink>
      <w:r>
        <w:t xml:space="preserve">.</w:t>
      </w:r>
    </w:p>
    <w:bookmarkEnd w:id="133"/>
    <w:bookmarkStart w:id="135" w:name="ref-woods2022"/>
    <w:p>
      <w:pPr>
        <w:pStyle w:val="Bibliography"/>
      </w:pPr>
      <w:r>
        <w:t xml:space="preserve">Woods, D. W. and Böhme, R. (2022)</w:t>
      </w:r>
      <w:r>
        <w:t xml:space="preserve"> </w:t>
      </w:r>
      <w:r>
        <w:t xml:space="preserve">‘</w:t>
      </w:r>
      <w:r>
        <w:t xml:space="preserve">The commodification of consent</w:t>
      </w:r>
      <w:r>
        <w:t xml:space="preserve">’</w:t>
      </w:r>
      <w:r>
        <w:t xml:space="preserve">,</w:t>
      </w:r>
      <w:r>
        <w:t xml:space="preserve"> </w:t>
      </w:r>
      <w:r>
        <w:rPr>
          <w:iCs/>
          <w:i/>
        </w:rPr>
        <w:t xml:space="preserve">Computers &amp; Security</w:t>
      </w:r>
      <w:r>
        <w:t xml:space="preserve">. Elsevier Ltd, 115, p. 102605. doi:</w:t>
      </w:r>
      <w:r>
        <w:t xml:space="preserve"> </w:t>
      </w:r>
      <w:hyperlink r:id="rId134">
        <w:r>
          <w:rPr>
            <w:rStyle w:val="Hyperlink"/>
          </w:rPr>
          <w:t xml:space="preserve">10.1016/j.cose.2022.102605</w:t>
        </w:r>
      </w:hyperlink>
      <w:r>
        <w:t xml:space="preserve">.</w:t>
      </w:r>
    </w:p>
    <w:bookmarkEnd w:id="135"/>
    <w:bookmarkStart w:id="137"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136">
        <w:r>
          <w:rPr>
            <w:rStyle w:val="Hyperlink"/>
          </w:rPr>
          <w:t xml:space="preserve">https://books.google.co.uk/books?id=W7ZEDgAAQBAJ</w:t>
        </w:r>
      </w:hyperlink>
      <w:r>
        <w:t xml:space="preserve">.</w:t>
      </w:r>
    </w:p>
    <w:bookmarkEnd w:id="137"/>
    <w:bookmarkStart w:id="139" w:name="ref-zuckerman2021"/>
    <w:p>
      <w:pPr>
        <w:pStyle w:val="Bibliography"/>
      </w:pPr>
      <w:r>
        <w:t xml:space="preserve">Zuckerman, E. (2021)</w:t>
      </w:r>
      <w:r>
        <w:t xml:space="preserve"> </w:t>
      </w:r>
      <w:r>
        <w:rPr>
          <w:iCs/>
          <w:i/>
        </w:rPr>
        <w:t xml:space="preserve">Mistrust: Why Losing Faith In Institutions Provides The Tools To Transform Them</w:t>
      </w:r>
      <w:r>
        <w:t xml:space="preserve">. New York, NY, USA: W. W. Norton &amp; Company, pp. 1–3. doi:</w:t>
      </w:r>
      <w:r>
        <w:t xml:space="preserve"> </w:t>
      </w:r>
      <w:hyperlink r:id="rId138">
        <w:r>
          <w:rPr>
            <w:rStyle w:val="Hyperlink"/>
          </w:rPr>
          <w:t xml:space="preserve">10.1017/ipo.2021.30</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words</w:t>
      </w:r>
      <w:r>
        <w:t xml:space="preserve"> </w:t>
      </w:r>
      <w:r>
        <w:rPr>
          <w:iCs/>
          <w:i/>
        </w:rPr>
        <w:t xml:space="preserve">‘</w:t>
      </w:r>
      <w:r>
        <w:rPr>
          <w:iCs/>
          <w:i/>
        </w:rPr>
        <w:t xml:space="preserve">usability</w:t>
      </w:r>
      <w:r>
        <w:rPr>
          <w:iCs/>
          <w:i/>
        </w:rPr>
        <w:t xml:space="preserve">’</w:t>
      </w:r>
      <w:r>
        <w:t xml:space="preserve"> </w:t>
      </w:r>
      <w:r>
        <w:t xml:space="preserve">and</w:t>
      </w:r>
      <w:r>
        <w:t xml:space="preserve"> </w:t>
      </w:r>
      <w:r>
        <w:rPr>
          <w:iCs/>
          <w:i/>
        </w:rPr>
        <w:t xml:space="preserve">‘</w:t>
      </w:r>
      <w:r>
        <w:rPr>
          <w:iCs/>
          <w:i/>
        </w:rPr>
        <w:t xml:space="preserve">usable</w:t>
      </w:r>
      <w:r>
        <w:rPr>
          <w:iCs/>
          <w:i/>
        </w:rPr>
        <w:t xml:space="preserve">’</w:t>
      </w:r>
      <w:r>
        <w:t xml:space="preserve"> </w:t>
      </w:r>
      <w:r>
        <w:t xml:space="preserve">(spelt without an</w:t>
      </w:r>
      <w:r>
        <w:t xml:space="preserve"> </w:t>
      </w:r>
      <w:r>
        <w:t xml:space="preserve">‘</w:t>
      </w:r>
      <w:r>
        <w:t xml:space="preserve">e</w:t>
      </w:r>
      <w:r>
        <w:t xml:space="preserve">’</w:t>
      </w:r>
      <w:r>
        <w:t xml:space="preserve">) most commonly refer to a judgement of the degree to which a website or user interface is easy to use</w:t>
      </w:r>
      <w:r>
        <w:t xml:space="preserve"> </w:t>
      </w:r>
      <w:r>
        <w:t xml:space="preserve">(</w:t>
      </w:r>
      <w:hyperlink w:anchor="ref-nielsen2012">
        <w:r>
          <w:rPr>
            <w:rStyle w:val="Hyperlink"/>
          </w:rPr>
          <w:t xml:space="preserve">Nielsen, 2012</w:t>
        </w:r>
      </w:hyperlink>
      <w:r>
        <w:t xml:space="preserve">)</w:t>
      </w:r>
      <w:r>
        <w:t xml:space="preserve">. Throughout this thesis, I deliberately use the alternative word spellings of</w:t>
      </w:r>
      <w:r>
        <w:t xml:space="preserve"> </w:t>
      </w:r>
      <w:r>
        <w:rPr>
          <w:iCs/>
          <w:i/>
        </w:rPr>
        <w:t xml:space="preserve">‘</w:t>
      </w:r>
      <w:r>
        <w:rPr>
          <w:iCs/>
          <w:i/>
        </w:rPr>
        <w:t xml:space="preserve">useability</w:t>
      </w:r>
      <w:r>
        <w:rPr>
          <w:iCs/>
          <w:i/>
        </w:rPr>
        <w:t xml:space="preserve">’</w:t>
      </w:r>
      <w:r>
        <w:t xml:space="preserve"> </w:t>
      </w:r>
      <w:r>
        <w:t xml:space="preserve">and</w:t>
      </w:r>
      <w:r>
        <w:t xml:space="preserve"> </w:t>
      </w:r>
      <w:r>
        <w:rPr>
          <w:iCs/>
          <w:i/>
        </w:rPr>
        <w:t xml:space="preserve">‘</w:t>
      </w:r>
      <w:r>
        <w:rPr>
          <w:iCs/>
          <w:i/>
        </w:rPr>
        <w:t xml:space="preserve">useable</w:t>
      </w:r>
      <w:r>
        <w:rPr>
          <w:iCs/>
          <w:i/>
        </w:rPr>
        <w:t xml:space="preserve">’</w:t>
      </w:r>
      <w:r>
        <w:t xml:space="preserve"> </w:t>
      </w:r>
      <w:r>
        <w:t xml:space="preserve">(</w:t>
      </w:r>
      <w:hyperlink w:anchor="ref-dictUseability">
        <w:r>
          <w:rPr>
            <w:rStyle w:val="Hyperlink"/>
          </w:rPr>
          <w:t xml:space="preserve">Collins English Dictionary, no date a</w:t>
        </w:r>
      </w:hyperlink>
      <w:r>
        <w:t xml:space="preserve">,</w:t>
      </w:r>
      <w:r>
        <w:t xml:space="preserve"> </w:t>
      </w:r>
      <w:hyperlink w:anchor="ref-dictUseable">
        <w:r>
          <w:rPr>
            <w:rStyle w:val="Hyperlink"/>
          </w:rPr>
          <w:t xml:space="preserve">no date b</w:t>
        </w:r>
      </w:hyperlink>
      <w:r>
        <w:t xml:space="preserve">)</w:t>
      </w:r>
      <w:r>
        <w:t xml:space="preserve"> </w:t>
      </w:r>
      <w:r>
        <w:t xml:space="preserve">respectively, to clearly distinguish from this ease-of-use concept and to denote that I am referring a different meaning: the more literal definition, i.e. </w:t>
      </w:r>
      <w:r>
        <w:rPr>
          <w:iCs/>
          <w:i/>
        </w:rPr>
        <w:t xml:space="preserve">“</w:t>
      </w:r>
      <w:r>
        <w:rPr>
          <w:iCs/>
          <w:i/>
        </w:rPr>
        <w:t xml:space="preserve">the quality or state of being convenient and practicable for use</w:t>
      </w:r>
      <w:r>
        <w:rPr>
          <w:iCs/>
          <w:i/>
        </w:rPr>
        <w:t xml:space="preserve">”</w:t>
      </w:r>
      <w:r>
        <w:t xml:space="preserve"> </w:t>
      </w:r>
      <w:r>
        <w:t xml:space="preserve">(</w:t>
      </w:r>
      <w:hyperlink w:anchor="ref-dictUsability">
        <w:r>
          <w:rPr>
            <w:rStyle w:val="Hyperlink"/>
          </w:rPr>
          <w:t xml:space="preserve">Merriam-Webster Dictionary, no date a</w:t>
        </w:r>
      </w:hyperlink>
      <w:r>
        <w:t xml:space="preserve">,</w:t>
      </w:r>
      <w:r>
        <w:t xml:space="preserve"> </w:t>
      </w:r>
      <w:hyperlink w:anchor="ref-dictUsable">
        <w:r>
          <w:rPr>
            <w:rStyle w:val="Hyperlink"/>
          </w:rPr>
          <w:t xml:space="preserve">no date b</w:t>
        </w:r>
      </w:hyperlink>
      <w:r>
        <w:t xml:space="preserve">)</w:t>
      </w:r>
      <w:r>
        <w:t xml:space="preserve">. Any usages without an</w:t>
      </w:r>
      <w:r>
        <w:t xml:space="preserve"> </w:t>
      </w:r>
      <w:r>
        <w:t xml:space="preserve">‘</w:t>
      </w:r>
      <w:r>
        <w:t xml:space="preserve">e</w:t>
      </w:r>
      <w:r>
        <w:t xml:space="preserve">’</w:t>
      </w:r>
      <w:r>
        <w:t xml:space="preserve"> </w:t>
      </w:r>
      <w:r>
        <w:t xml:space="preserve">can be taken to refer to the interface ease-of-use concept.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_rels/footnotes.xml.rels><?xml version="1.0" encoding="UTF-8"?><Relationships xmlns="http://schemas.openxmlformats.org/package/2006/relationships"><Relationship Type="http://schemas.openxmlformats.org/officeDocument/2006/relationships/hyperlink" Id="rId38" Target="http://arxiv.org/abs/2201.10831" TargetMode="External" /><Relationship Type="http://schemas.openxmlformats.org/officeDocument/2006/relationships/hyperlink" Id="rId43" Target="http://radar.oreilly.com/2011/07/why-files-need-to-die.html" TargetMode="External" /><Relationship Type="http://schemas.openxmlformats.org/officeDocument/2006/relationships/hyperlink" Id="rId85" Target="http://www.weforum.org/reports/personal-data-emergence-new-asset-class" TargetMode="External" /><Relationship Type="http://schemas.openxmlformats.org/officeDocument/2006/relationships/hyperlink" Id="rId87" Target="http://www3.weforum.org/docs/WEF_RethinkingPersonalData_ANewLens_Report_2014.pdf" TargetMode="External" /><Relationship Type="http://schemas.openxmlformats.org/officeDocument/2006/relationships/hyperlink" Id="rId89" Target="http://www3.weforum.org/docs/WEF_RethinkingPersonalData_TrustandContext_Report_2014.pdf" TargetMode="External" /><Relationship Type="http://schemas.openxmlformats.org/officeDocument/2006/relationships/hyperlink" Id="rId41"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36" Target="https://books.google.co.uk/books?id=W7ZEDgAAQBAJ" TargetMode="External" /><Relationship Type="http://schemas.openxmlformats.org/officeDocument/2006/relationships/hyperlink" Id="rId51" Target="https://dictionary.cambridge.org/dictionary/english/empowerment" TargetMode="External" /><Relationship Type="http://schemas.openxmlformats.org/officeDocument/2006/relationships/hyperlink" Id="rId134" Target="https://doi.org/10.1016/j.cose.2022.102605" TargetMode="External" /><Relationship Type="http://schemas.openxmlformats.org/officeDocument/2006/relationships/hyperlink" Id="rId138" Target="https://doi.org/10.1017/ipo.2021.30" TargetMode="External" /><Relationship Type="http://schemas.openxmlformats.org/officeDocument/2006/relationships/hyperlink" Id="rId36" Target="https://doi.org/10.1023/A:1011454606534" TargetMode="External" /><Relationship Type="http://schemas.openxmlformats.org/officeDocument/2006/relationships/hyperlink" Id="rId93" Target="https://doi.org/10.1038/ejhg.2014.71" TargetMode="External" /><Relationship Type="http://schemas.openxmlformats.org/officeDocument/2006/relationships/hyperlink" Id="rId69" Target="https://doi.org/10.1080/13561820020003919" TargetMode="External" /><Relationship Type="http://schemas.openxmlformats.org/officeDocument/2006/relationships/hyperlink" Id="rId122" Target="https://doi.org/10.1080/2158379X.2012.658278" TargetMode="External" /><Relationship Type="http://schemas.openxmlformats.org/officeDocument/2006/relationships/hyperlink" Id="rId49" Target="https://doi.org/10.1080/2373566x.2016.1237858" TargetMode="External" /><Relationship Type="http://schemas.openxmlformats.org/officeDocument/2006/relationships/hyperlink" Id="rId114" Target="https://doi.org/10.1089/big.2013.0029" TargetMode="External" /><Relationship Type="http://schemas.openxmlformats.org/officeDocument/2006/relationships/hyperlink" Id="rId33" Target="https://doi.org/10.1093/oso/9780198826491.003.0044" TargetMode="External" /><Relationship Type="http://schemas.openxmlformats.org/officeDocument/2006/relationships/hyperlink" Id="rId73" Target="https://doi.org/10.1111/j.1369-7625.2006.00401.x" TargetMode="External" /><Relationship Type="http://schemas.openxmlformats.org/officeDocument/2006/relationships/hyperlink" Id="rId47" Target="https://doi.org/10.1145/1011870.1011885" TargetMode="External" /><Relationship Type="http://schemas.openxmlformats.org/officeDocument/2006/relationships/hyperlink" Id="rId99" Target="https://doi.org/10.1145/1753846.1754181" TargetMode="External" /><Relationship Type="http://schemas.openxmlformats.org/officeDocument/2006/relationships/hyperlink" Id="rId101" Target="https://doi.org/10.1145/2493432.2493446" TargetMode="External" /><Relationship Type="http://schemas.openxmlformats.org/officeDocument/2006/relationships/hyperlink" Id="rId31" Target="https://doi.org/10.1145/2670528" TargetMode="External" /><Relationship Type="http://schemas.openxmlformats.org/officeDocument/2006/relationships/hyperlink" Id="rId128" Target="https://doi.org/10.1145/2702123.2702558" TargetMode="External" /><Relationship Type="http://schemas.openxmlformats.org/officeDocument/2006/relationships/hyperlink" Id="rId45" Target="https://doi.org/10.1145/3173574.3173710" TargetMode="External" /><Relationship Type="http://schemas.openxmlformats.org/officeDocument/2006/relationships/hyperlink" Id="rId125" Target="https://doi.org/10.1177/0162243910377624" TargetMode="External" /><Relationship Type="http://schemas.openxmlformats.org/officeDocument/2006/relationships/hyperlink" Id="rId63" Target="https://doi.org/10.1332/030557312X645838" TargetMode="External" /><Relationship Type="http://schemas.openxmlformats.org/officeDocument/2006/relationships/hyperlink" Id="rId97" Target="https://doi.org/10.14763/2018.2.791" TargetMode="External" /><Relationship Type="http://schemas.openxmlformats.org/officeDocument/2006/relationships/hyperlink" Id="rId78" Target="https://doi.org/10.1561/XXXXXXXXX.Boris" TargetMode="External" /><Relationship Type="http://schemas.openxmlformats.org/officeDocument/2006/relationships/hyperlink" Id="rId112" Target="https://doi.org/10.2139/ssrn.2508051" TargetMode="External" /><Relationship Type="http://schemas.openxmlformats.org/officeDocument/2006/relationships/hyperlink" Id="rId65" Target="https://doi.org/10.2139/ssrn.2874312" TargetMode="External" /><Relationship Type="http://schemas.openxmlformats.org/officeDocument/2006/relationships/hyperlink" Id="rId95" Target="https://doi.org/10.2139/ssrn.3887097" TargetMode="External" /><Relationship Type="http://schemas.openxmlformats.org/officeDocument/2006/relationships/hyperlink" Id="rId61" Target="https://doi.org/10.21552/edpl/2016/1/5" TargetMode="External" /><Relationship Type="http://schemas.openxmlformats.org/officeDocument/2006/relationships/hyperlink" Id="rId132" Target="https://doi.org/10.2196/medinform.3525" TargetMode="External" /><Relationship Type="http://schemas.openxmlformats.org/officeDocument/2006/relationships/hyperlink" Id="rId71" Target="https://doi.org/10.24908/ss.v12i2.4776" TargetMode="External" /><Relationship Type="http://schemas.openxmlformats.org/officeDocument/2006/relationships/hyperlink" Id="rId81" Target="https://doi.org/10.5210/fm.v16i2.3316" TargetMode="External" /><Relationship Type="http://schemas.openxmlformats.org/officeDocument/2006/relationships/hyperlink" Id="rId110" Target="https://doi.org/10.5210/fm.v17i5.4013" TargetMode="External" /><Relationship Type="http://schemas.openxmlformats.org/officeDocument/2006/relationships/hyperlink" Id="rId91" Target="https://ico.org.uk/your-data-matters/" TargetMode="External" /><Relationship Type="http://schemas.openxmlformats.org/officeDocument/2006/relationships/hyperlink" Id="rId76" Target="https://mitpress.mit.edu/books/raw-data-oxymoron" TargetMode="External" /><Relationship Type="http://schemas.openxmlformats.org/officeDocument/2006/relationships/hyperlink" Id="rId67" Target="https://www.avast.com/c-data-brokers" TargetMode="External" /><Relationship Type="http://schemas.openxmlformats.org/officeDocument/2006/relationships/hyperlink" Id="rId83" Target="https://www.britannica.com/dictionary/Hobson%27s-choice" TargetMode="External" /><Relationship Type="http://schemas.openxmlformats.org/officeDocument/2006/relationships/hyperlink" Id="rId104" Target="https://www.fastcompany.com/90310803/here-are-the-data-brokers-quietly-buying-and-selling-your-personal-information" TargetMode="External" /><Relationship Type="http://schemas.openxmlformats.org/officeDocument/2006/relationships/hyperlink" Id="rId106" Target="https://www.merriam-webster.com/dictionary/usability" TargetMode="External" /><Relationship Type="http://schemas.openxmlformats.org/officeDocument/2006/relationships/hyperlink" Id="rId108" Target="https://www.merriam-webster.com/dictionary/usable" TargetMode="External" /><Relationship Type="http://schemas.openxmlformats.org/officeDocument/2006/relationships/hyperlink" Id="rId116" Target="https://www.nngroup.com/articles/usability-101-introduction-to-usability/" TargetMode="External" /><Relationship Type="http://schemas.openxmlformats.org/officeDocument/2006/relationships/hyperlink" Id="rId120" Target="https://www.oecd.org/digital/ieconomy/oecdguidelinesontheprotectionofprivacyandtransborderflowsofpersonaldata.htm" TargetMode="External" /><Relationship Type="http://schemas.openxmlformats.org/officeDocument/2006/relationships/hyperlink" Id="rId57" Target="https://www.thefreedictionary.com/useability" TargetMode="External" /><Relationship Type="http://schemas.openxmlformats.org/officeDocument/2006/relationships/hyperlink" Id="rId59" Target="https://www.thefreedictionary.com/useable" TargetMode="External" /><Relationship Type="http://schemas.openxmlformats.org/officeDocument/2006/relationships/hyperlink" Id="rId55" Target="https://www.theregister.com/2022/03/21/google_messages_gdpr/" TargetMode="External" /><Relationship Type="http://schemas.openxmlformats.org/officeDocument/2006/relationships/hyperlink" Id="rId53" Target="https://www.vox.com/policy-and-politics/2018/3/23/17151916/facebook-cambridge-analytica-trump-diagram" TargetMode="External" /><Relationship Type="http://schemas.openxmlformats.org/officeDocument/2006/relationships/hyperlink" Id="rId130" Target="https://www.wired.com/insights/2014/07/data-new-oil-digital-economy/" TargetMode="External" /><Relationship Type="http://schemas.openxmlformats.org/officeDocument/2006/relationships/hyperlink" Id="rId118" Target="www.ofsted.gov.uk 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2022-08-21T13:20:18Z</dcterms:created>
  <dcterms:modified xsi:type="dcterms:W3CDTF">2022-08-21T13:20:18Z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