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9.jpg" ContentType="image/jpe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55"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5"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aims to provide a roadmap, illustrated with real world insights and activities from the four industrial and academic research projects I was part of as well as the work of other innovators and activists, and building upon the theoretical insights from the Case Studies, to inform the design of future research, innovation and policy.</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be exhaustive nor formal empirical research. However I have been fortunate, during the same time period as I have been working on this PhD but outside of the research, to have undertaken direct embedded work in personal data interaction related projects (3.4.3) in academic and industrial research that directly relate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forms the main body of this chapter, and provides the detailed insights into how better Human Data Relations can be pursued in practice. This is structured using the ToC framing described in 7.1.3, and is structured as a series of named obstables and opportunities fitting into each trajectory of change.</w:t>
      </w:r>
    </w:p>
    <w:p>
      <w:pPr>
        <w:pStyle w:val="BodyText"/>
      </w:pPr>
      <w:r>
        <w:t xml:space="preserve">Section 7.4 concludes the thesis, summarising the roadmap presented in 7.3, the thesis’ contributions as a whole, and answering the overall research question.</w:t>
      </w:r>
    </w:p>
    <w:bookmarkStart w:id="20" w:name="external-research-settings"/>
    <w:p>
      <w:pPr>
        <w:pStyle w:val="Heading3"/>
      </w:pPr>
      <w:r>
        <w:rPr>
          <w:rStyle w:val="SectionNumber"/>
        </w:rPr>
        <w:t xml:space="preserve">1.1.1</w:t>
      </w:r>
      <w:r>
        <w:tab/>
      </w:r>
      <w:r>
        <w:t xml:space="preserve">External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and designer in two industrial research projects:</w:t>
      </w:r>
    </w:p>
    <w:p>
      <w:pPr>
        <w:numPr>
          <w:ilvl w:val="0"/>
          <w:numId w:val="1001"/>
        </w:numPr>
        <w:pStyle w:val="Compact"/>
      </w:pPr>
      <w:r>
        <w:rPr>
          <w:b/>
        </w:rPr>
        <w:t xml:space="preserve">BBC R&amp;D’s Cornmarket Project</w:t>
      </w:r>
      <w:r>
        <w:t xml:space="preserve">, which explored through user experience design, technical prototyping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exercising data rights and conducting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through close collaboration, discussion and ideation with other researchers, including:</w:t>
      </w:r>
    </w:p>
    <w:p>
      <w:pPr>
        <w:numPr>
          <w:ilvl w:val="0"/>
          <w:numId w:val="1003"/>
        </w:numPr>
        <w:pStyle w:val="Compact"/>
      </w:pPr>
      <w:r>
        <w:t xml:space="preserve">Jasmine Cox, Suzanne Clarke, Tim Broom and Alex Ballantyne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pStyle w:val="FirstParagraph"/>
      </w:pPr>
      <w:r>
        <w:t xml:space="preserve">Due to these collaborations and the ongoing and parallel nature of all of these projects to my PhD research, it is impossible to precisely delineate the origin of each idea or insight. In practice, ideas from my developing thesis and own thinking informed each project’s trajectory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thinking will be used in a very limited way,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this section will use as a frame. Specifically, desired changes can be broken down into:</w:t>
      </w:r>
    </w:p>
    <w:p>
      <w:pPr>
        <w:numPr>
          <w:ilvl w:val="0"/>
          <w:numId w:val="1004"/>
        </w:numPr>
        <w:pStyle w:val="Compact"/>
      </w:pPr>
      <w:r>
        <w:rPr>
          <w:b/>
          <w:i/>
        </w:rPr>
        <w:t xml:space="preserve">Internal changes</w:t>
      </w:r>
      <w:r>
        <w:t xml:space="preserve">: representing changes in thinking, feeling, reasoning, understanding, attitudes or identity.</w:t>
      </w:r>
    </w:p>
    <w:p>
      <w:pPr>
        <w:numPr>
          <w:ilvl w:val="0"/>
          <w:numId w:val="1004"/>
        </w:numPr>
        <w:pStyle w:val="Compact"/>
      </w:pPr>
      <w:r>
        <w:rPr>
          <w:b/>
          <w:i/>
        </w:rPr>
        <w:t xml:space="preserve">External changes</w:t>
      </w:r>
      <w:r>
        <w:t xml:space="preserve">: representing changes in actions, behaviour, interactions, structure, policy, technological capability, processes and the external environment.</w:t>
      </w:r>
    </w:p>
    <w:p>
      <w:pPr>
        <w:pStyle w:val="FirstParagraph"/>
      </w:pPr>
      <w:r>
        <w:t xml:space="preserve">Similarly, desired changes can also be broken down into:</w:t>
      </w:r>
    </w:p>
    <w:p>
      <w:pPr>
        <w:numPr>
          <w:ilvl w:val="0"/>
          <w:numId w:val="1005"/>
        </w:numPr>
        <w:pStyle w:val="Compact"/>
      </w:pPr>
      <w:r>
        <w:rPr>
          <w:b/>
          <w:i/>
        </w:rPr>
        <w:t xml:space="preserve">Individual changes</w:t>
      </w:r>
      <w:r>
        <w:t xml:space="preserve">: representing changes to individual thought or actions</w:t>
      </w:r>
    </w:p>
    <w:p>
      <w:pPr>
        <w:numPr>
          <w:ilvl w:val="0"/>
          <w:numId w:val="1005"/>
        </w:numPr>
        <w:pStyle w:val="Compact"/>
      </w:pPr>
      <w:r>
        <w:rPr>
          <w:b/>
          <w:i/>
        </w:rPr>
        <w:t xml:space="preserve">Collective changes</w:t>
      </w:r>
      <w:r>
        <w:t xml:space="preserve">: representing changes to the thoughts or actions of groups of people together, or to the systems, practices and norms of society at large.</w:t>
      </w:r>
    </w:p>
    <w:p>
      <w:pPr>
        <w:pStyle w:val="FirstParagraph"/>
      </w:pPr>
      <w:r>
        <w:t xml:space="preserve">These four dimensions of change form four quadrants representing different types of change, as shown in Figure 29:</w:t>
      </w:r>
    </w:p>
    <w:p>
      <w:pPr>
        <w:numPr>
          <w:ilvl w:val="0"/>
          <w:numId w:val="1006"/>
        </w:numPr>
        <w:pStyle w:val="Compact"/>
      </w:pPr>
      <w:r>
        <w:rPr>
          <w:b/>
          <w:i/>
        </w:rPr>
        <w:t xml:space="preserve">Individual/Internal (II)</w:t>
      </w:r>
      <w:r>
        <w:t xml:space="preserve">: This top-left quadrant represents changes to what individuals know and understand, and to how they think, feel and plan to take action.</w:t>
      </w:r>
    </w:p>
    <w:p>
      <w:pPr>
        <w:numPr>
          <w:ilvl w:val="0"/>
          <w:numId w:val="1006"/>
        </w:numPr>
        <w:pStyle w:val="Compact"/>
      </w:pPr>
      <w:r>
        <w:rPr>
          <w:b/>
          <w:i/>
        </w:rPr>
        <w:t xml:space="preserve">Individual/External (IE)</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b/>
          <w:i/>
        </w:rPr>
        <w:t xml:space="preserve">Collective/Internal (CI)</w:t>
      </w:r>
      <w:r>
        <w:t xml:space="preserve">: This bottom-left quadrant represents changes in the shared knowledge of groups of people or to the collective identity or values of social groups.</w:t>
      </w:r>
    </w:p>
    <w:p>
      <w:pPr>
        <w:numPr>
          <w:ilvl w:val="0"/>
          <w:numId w:val="1006"/>
        </w:numPr>
        <w:pStyle w:val="Compact"/>
      </w:pPr>
      <w:r>
        <w:rPr>
          <w:b/>
          <w:i/>
        </w:rPr>
        <w:t xml:space="preserve">Collective/External (CE)</w:t>
      </w:r>
      <w:r>
        <w:t xml:space="preserve">: This bottom-right quadrant represents changes to the structures and procedures within which people operate, including technology, law, societal norms and communications.</w:t>
      </w:r>
    </w:p>
    <w:p>
      <w:pPr>
        <w:pStyle w:val="FirstParagraph"/>
      </w:pPr>
      <w:r>
        <w:t xml:space="preserve">Key to ToC thinking is the idea that making changes in one quadrant can stimulate change in others; for example, collective learning about data attitudes and practices, such as the research conducted in this PhD, (lower left quadrant) could inform the design of new technologies, interfaces or processes (lower right quadrant), which if built could make new structures available to have an impact on improving individual-provider relationships (upper-right quadrant). The changes to those relationships could then in turn lead to individuals thinking and feeling differently (upper left quadrant), for example feeling more empowered or having greater awareness of data practices.</w:t>
      </w:r>
    </w:p>
    <w:bookmarkEnd w:id="24"/>
    <w:bookmarkEnd w:id="25"/>
    <w:bookmarkStart w:id="34"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w:t>
      </w:r>
      <w:r>
        <w:t xml:space="preserve"> </w:t>
      </w:r>
      <w:r>
        <w:rPr>
          <w:b/>
        </w:rPr>
        <w:t xml:space="preserve">visible</w:t>
      </w:r>
      <w:r>
        <w:t xml:space="preserve">,</w:t>
      </w:r>
      <w:r>
        <w:t xml:space="preserve"> </w:t>
      </w:r>
      <w:r>
        <w:rPr>
          <w:b/>
        </w:rPr>
        <w:t xml:space="preserve">understandable</w:t>
      </w:r>
      <w:r>
        <w:t xml:space="preserve"> </w:t>
      </w:r>
      <w:r>
        <w:t xml:space="preserve">and</w:t>
      </w:r>
      <w:r>
        <w:t xml:space="preserve"> </w:t>
      </w:r>
      <w:r>
        <w:rPr>
          <w:b/>
        </w:rPr>
        <w:t xml:space="preserve">usable data</w:t>
      </w:r>
      <w:r>
        <w:t xml:space="preserve">;</w:t>
      </w:r>
      <w:r>
        <w:t xml:space="preserve"> </w:t>
      </w:r>
      <w:r>
        <w:rPr>
          <w:b/>
        </w:rPr>
        <w:t xml:space="preserve">process transparency</w:t>
      </w:r>
      <w:r>
        <w:t xml:space="preserve">,</w:t>
      </w:r>
      <w:r>
        <w:t xml:space="preserve"> </w:t>
      </w:r>
      <w:r>
        <w:rPr>
          <w:b/>
        </w:rPr>
        <w:t xml:space="preserve">individual oversight</w:t>
      </w:r>
      <w:r>
        <w:t xml:space="preserve"> </w:t>
      </w:r>
      <w:r>
        <w:t xml:space="preserve">and</w:t>
      </w:r>
      <w:r>
        <w:t xml:space="preserve"> </w:t>
      </w:r>
      <w:r>
        <w:rPr>
          <w:b/>
        </w:rPr>
        <w:t xml:space="preserve">decision-making involvement</w:t>
      </w:r>
      <w:r>
        <w:t xml:space="preserve">.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motives, to which those six wants apply differently, therefore it is worth developing the concept of HDR further. As background understanding for this duality of motivation, it is first necessary to examine more closely what role data plays in people’s lives.</w:t>
      </w:r>
    </w:p>
    <w:bookmarkStart w:id="26"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given many previously analogue objects and activities now have digital equivalents, the concept of data has become broad and hard to pin down. Key to Human Data Relations is to explain what roles data can play in people’s lives. Through the Case Studies, external work and my prior learning, I have so far identified 8 distinct ways to consider what data</w:t>
      </w:r>
      <w:r>
        <w:t xml:space="preserve"> </w:t>
      </w:r>
      <w:r>
        <w:rPr>
          <w:i/>
        </w:rPr>
        <w:t xml:space="preserve">is</w:t>
      </w:r>
      <w:r>
        <w:t xml:space="preserve"> </w:t>
      </w:r>
      <w:r>
        <w:t xml:space="preserve">to people and how they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knowledge about you</w:t>
            </w:r>
          </w:p>
        </w:tc>
        <w:tc>
          <w:p>
            <w:pPr>
              <w:pStyle w:val="Compact"/>
              <w:jc w:val="left"/>
            </w:pPr>
            <w:r>
              <w:t xml:space="preserve">Knowing that data contains encoded assertions about you and can be used to derive further conjectures, enables thinking about how it might be exploited by others, but also how you can use it yourself for reflection,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their data into curated collections, or use it to convey facts, ideas, to persuade or to evoke an emotional impact. This lens is useful to consider data uses such as lists, annotation, curation, editing, remixing,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w:t>
      </w:r>
      <w:r>
        <w:t xml:space="preserve"> </w:t>
      </w:r>
      <w:r>
        <w:t xml:space="preserve">data holders’ behaviours, digital influences upon you and changes within your life.</w:t>
      </w:r>
    </w:p>
    <w:bookmarkEnd w:id="26"/>
    <w:bookmarkStart w:id="27"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we next need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Originating in library sciences, the parallel field of Human Information Interaction (HII) is well established,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As William Jones observes though, these two fields should be examined together</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DIKW theory (see 2.1) highlights that</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In considering Human Data Relations, there are in fact three distinct artifacts to consider:</w:t>
      </w:r>
    </w:p>
    <w:p>
      <w:pPr>
        <w:numPr>
          <w:ilvl w:val="0"/>
          <w:numId w:val="1008"/>
        </w:numPr>
        <w:pStyle w:val="Compact"/>
      </w:pPr>
      <w:r>
        <w:rPr>
          <w:b/>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b/>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b/>
          <w:i/>
        </w:rPr>
        <w:t xml:space="preserve">information about data</w:t>
      </w:r>
      <w:r>
        <w:t xml:space="preserve"> </w:t>
      </w:r>
      <w:r>
        <w:t xml:space="preserve">(also categorised in Table 9 / 5.3.1 as</w:t>
      </w:r>
      <w:r>
        <w:t xml:space="preserve"> </w:t>
      </w:r>
      <w:r>
        <w:rPr>
          <w:b/>
          <w:i/>
        </w:rPr>
        <w:t xml:space="preserve">metadata</w:t>
      </w:r>
      <w:r>
        <w:t xml:space="preserve">) - stored facts about the data, such as where it has been stored, who has accessed it, how it was collected, what it means, or when it has been shared externally.</w:t>
      </w:r>
    </w:p>
    <w:bookmarkEnd w:id="27"/>
    <w:bookmarkStart w:id="33"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w:t>
      </w:r>
      <w:r>
        <w:rPr>
          <w:i/>
        </w:rPr>
        <w:t xml:space="preserve"> </w:t>
      </w:r>
      <w:r>
        <w:rPr>
          <w:b/>
          <w:i/>
        </w:rPr>
        <w:t xml:space="preserve">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b/>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b/>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28"/>
      </w:r>
      <w:r>
        <w:t xml:space="preserve">. This novel way of modelling the motivations for data interaction were first proposed in my 2021 workshop paper</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29"/>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0"/>
      </w:r>
      <w:r>
        <w:t xml:space="preserve"> </w:t>
      </w:r>
      <w:r>
        <w:t xml:space="preserve">processes illustrated</w:t>
      </w:r>
    </w:p>
    <w:bookmarkStart w:id="31" w:name="life-information-utilisation"/>
    <w:p>
      <w:pPr>
        <w:pStyle w:val="Heading4"/>
      </w:pPr>
      <w:r>
        <w:rPr>
          <w:rStyle w:val="SectionNumber"/>
        </w:rPr>
        <w:t xml:space="preserve">1.2.3.1</w:t>
      </w:r>
      <w:r>
        <w:tab/>
      </w:r>
      <w:r>
        <w:t xml:space="preserve">Life Information Utilisation</w:t>
      </w:r>
    </w:p>
    <w:p>
      <w:pPr>
        <w:pStyle w:val="FirstParagraph"/>
      </w:pPr>
      <w:r>
        <w:rPr>
          <w:b/>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 Understandability of data (6.1.2) and Useability of data (6.1.3),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p>
      <w:pPr>
        <w:pStyle w:val="BodyText"/>
      </w:pPr>
      <w:r>
        <w:t xml:space="preserve">[TODO UPDATE THIS] Obstacles and opportunities for Understandability and Useability will be explored in 7.3.1.1 and 7.3.1.2 respectively.</w:t>
      </w:r>
    </w:p>
    <w:bookmarkEnd w:id="31"/>
    <w:bookmarkStart w:id="32"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b/>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will be handled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w:t>
      </w:r>
    </w:p>
    <w:p>
      <w:pPr>
        <w:pStyle w:val="BodyText"/>
      </w:pPr>
      <w:r>
        <w:t xml:space="preserve">[TODO UPDATE THIS]</w:t>
      </w:r>
      <w:r>
        <w:t xml:space="preserve"> </w:t>
      </w:r>
      <w:r>
        <w:t xml:space="preserve">Obstacles and opportunities for improving HDR in these two grouped areas will be explored in 7.3.2.1 and 7.3.2.2 respectively.</w:t>
      </w:r>
    </w:p>
    <w:bookmarkEnd w:id="32"/>
    <w:bookmarkEnd w:id="33"/>
    <w:bookmarkEnd w:id="34"/>
    <w:bookmarkStart w:id="53" w:name="X8457e3d8839a9a56a0db11b73ba7e99ac781268"/>
    <w:p>
      <w:pPr>
        <w:pStyle w:val="Heading2"/>
      </w:pPr>
      <w:r>
        <w:rPr>
          <w:rStyle w:val="SectionNumber"/>
        </w:rPr>
        <w:t xml:space="preserve">1.3</w:t>
      </w:r>
      <w:r>
        <w:tab/>
      </w:r>
      <w:r>
        <w:t xml:space="preserve">Working in the present to build the future: Obstacles and opportunities</w:t>
      </w:r>
    </w:p>
    <w:p>
      <w:pPr>
        <w:pStyle w:val="CaptionedFigure"/>
      </w:pPr>
      <w:r>
        <w:drawing>
          <wp:inline>
            <wp:extent cx="5334000" cy="2917709"/>
            <wp:effectExtent b="0" l="0" r="0" t="0"/>
            <wp:docPr descr="Figure 31: ToC chart showing Trajectories of Change for improving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35"/>
                    <a:stretch>
                      <a:fillRect/>
                    </a:stretch>
                  </pic:blipFill>
                  <pic:spPr bwMode="auto">
                    <a:xfrm>
                      <a:off x="0" y="0"/>
                      <a:ext cx="5334000" cy="2917709"/>
                    </a:xfrm>
                    <a:prstGeom prst="rect">
                      <a:avLst/>
                    </a:prstGeom>
                    <a:noFill/>
                    <a:ln w="9525">
                      <a:noFill/>
                      <a:headEnd/>
                      <a:tailEnd/>
                    </a:ln>
                  </pic:spPr>
                </pic:pic>
              </a:graphicData>
            </a:graphic>
          </wp:inline>
        </w:drawing>
      </w:r>
    </w:p>
    <w:p>
      <w:pPr>
        <w:pStyle w:val="ImageCaption"/>
      </w:pPr>
      <w:r>
        <w:t xml:space="preserve">Figure 31: ToC chart showing Trajectories of Change for improving Human Data Relations</w:t>
      </w:r>
    </w:p>
    <w:p>
      <w:pPr>
        <w:pStyle w:val="BodyText"/>
      </w:pPr>
      <w:r>
        <w:t xml:space="preserve">In Figure 31, the ToC frame introduced above in 7.1.3 / Figure 29 is used as a canvas upon which to position the different trajectories for changes that could improve HDR. By enumerating the possible types of activity that can bring about change, each of the four quadrants’s core change trajectory can be named, as shown in purple, forming the beginnings of a roadmap for improving HDR, which can be summaries thus:</w:t>
      </w:r>
    </w:p>
    <w:p>
      <w:pPr>
        <w:numPr>
          <w:ilvl w:val="0"/>
          <w:numId w:val="1010"/>
        </w:numPr>
        <w:pStyle w:val="Compact"/>
      </w:pPr>
      <w:r>
        <w:rPr>
          <w:b/>
          <w:i/>
        </w:rPr>
        <w:t xml:space="preserve">Learn &amp; Discover</w:t>
      </w:r>
      <w:r>
        <w:t xml:space="preserve"> </w:t>
      </w:r>
      <w:r>
        <w:t xml:space="preserve">(CI): In this quadrant, individuals, researchers, activists and other stakeholders work in groups to understand data attitudes and user needs, and to gain collective knowledge of data collection and usage practices which are sometimes hidden.</w:t>
      </w:r>
    </w:p>
    <w:p>
      <w:pPr>
        <w:numPr>
          <w:ilvl w:val="0"/>
          <w:numId w:val="1010"/>
        </w:numPr>
        <w:pStyle w:val="Compact"/>
      </w:pPr>
      <w:r>
        <w:rPr>
          <w:b/>
          <w:i/>
        </w:rPr>
        <w:t xml:space="preserve">Defend &amp; Create</w:t>
      </w:r>
      <w:r>
        <w:t xml:space="preserve"> </w:t>
      </w:r>
      <w:r>
        <w:t xml:space="preserve">(CE): In this quadrant, activists work to ensure current HDR capabilities are not eroded, while researchers, designers, technologists and social innovators design and create new technologies, operating models, organisations and interface designs, the structures enabling a world with better HDR.</w:t>
      </w:r>
    </w:p>
    <w:p>
      <w:pPr>
        <w:numPr>
          <w:ilvl w:val="0"/>
          <w:numId w:val="1010"/>
        </w:numPr>
        <w:pStyle w:val="Compact"/>
      </w:pPr>
      <w:r>
        <w:rPr>
          <w:b/>
          <w:i/>
        </w:rPr>
        <w:t xml:space="preserve">Influence &amp; Motivate</w:t>
      </w:r>
      <w:r>
        <w:t xml:space="preserve"> </w:t>
      </w:r>
      <w:r>
        <w:t xml:space="preserve">(IE): In this quadrant, individuals’ relationships with data and with data holders, as well as data holders and policymakers’ relationships, can improved; for us as external actors seeking change the task is to influence the many parties by showcasing and facilitating newly created structures and capabilities and harnessing new collective knowledge to advocate the benefits of changing data-related behaviours.</w:t>
      </w:r>
    </w:p>
    <w:p>
      <w:pPr>
        <w:numPr>
          <w:ilvl w:val="0"/>
          <w:numId w:val="1010"/>
        </w:numPr>
        <w:pStyle w:val="Compact"/>
      </w:pPr>
      <w:r>
        <w:rPr>
          <w:b/>
          <w:i/>
        </w:rPr>
        <w:t xml:space="preserve">Educate &amp; Empower</w:t>
      </w:r>
      <w:r>
        <w:t xml:space="preserve"> </w:t>
      </w:r>
      <w:r>
        <w:t xml:space="preserve">(II): In this quadrant, individuals begin to change the ways they think about data and data holders. This change is driven through education, improving Human Data Relations literacy, and through the experience of new capabilities and changed relationships with data and with data holders that can empower individuals into a more aware and equitable position in those relationships and in their digital life.</w:t>
      </w:r>
    </w:p>
    <w:p>
      <w:pPr>
        <w:pStyle w:val="FirstParagraph"/>
      </w:pPr>
      <w:r>
        <w:t xml:space="preserve">?_ The answers to this question are represented as discretely named ideas: either practical obstacles observed and practical opportunities identified. Within the simplified groupings of wants detailed above, these are conveyed as follows:</w:t>
      </w:r>
    </w:p>
    <w:p>
      <w:pPr>
        <w:numPr>
          <w:ilvl w:val="0"/>
          <w:numId w:val="1011"/>
        </w:numPr>
        <w:pStyle w:val="Compact"/>
      </w:pPr>
      <w:r>
        <w:rPr>
          <w:i/>
        </w:rPr>
        <w:t xml:space="preserve">Obstacles</w:t>
      </w:r>
      <w:r>
        <w:t xml:space="preserve"> </w:t>
      </w:r>
      <w:r>
        <w:t xml:space="preserve">are illustrated through learnings and insights from the projects (7.3.1.1.1, 7.3.1.2.1, 7.3.2.1.1, 7.3.2.2.1)</w:t>
      </w:r>
    </w:p>
    <w:p>
      <w:pPr>
        <w:numPr>
          <w:ilvl w:val="0"/>
          <w:numId w:val="1011"/>
        </w:numPr>
        <w:pStyle w:val="Compact"/>
      </w:pPr>
      <w:r>
        <w:rPr>
          <w:i/>
        </w:rPr>
        <w:t xml:space="preserve">Opportunities</w:t>
      </w:r>
      <w:r>
        <w:t xml:space="preserve"> </w:t>
      </w:r>
      <w:r>
        <w:t xml:space="preserve">are illustrated using conceptual models and design ideas from the projects (7.3.1.1.2, 7.3.1.2.2, 7.3.2.1.2, 7.3.2.2.2)</w:t>
      </w:r>
    </w:p>
    <w:bookmarkStart w:id="44" w:name="X45560f2f789d0fc064236fdb4d6ef3118598669"/>
    <w:p>
      <w:pPr>
        <w:pStyle w:val="Heading3"/>
      </w:pPr>
      <w:r>
        <w:rPr>
          <w:rStyle w:val="SectionNumber"/>
        </w:rPr>
        <w:t xml:space="preserve">1.3.1</w:t>
      </w:r>
      <w:r>
        <w:tab/>
      </w:r>
      <w:r>
        <w:t xml:space="preserve">Challenges and Opportunities in Life Information Utilisation</w:t>
      </w:r>
    </w:p>
    <w:bookmarkStart w:id="38" w:name="understandable-data"/>
    <w:p>
      <w:pPr>
        <w:pStyle w:val="Heading4"/>
      </w:pPr>
      <w:r>
        <w:rPr>
          <w:rStyle w:val="SectionNumber"/>
        </w:rPr>
        <w:t xml:space="preserve">1.3.1.1</w:t>
      </w:r>
      <w:r>
        <w:tab/>
      </w:r>
      <w:r>
        <w:t xml:space="preserve">Understandable Data</w:t>
      </w:r>
    </w:p>
    <w:bookmarkStart w:id="36" w:name="obstacles-to-data-understandability"/>
    <w:p>
      <w:pPr>
        <w:pStyle w:val="Heading5"/>
      </w:pPr>
      <w:r>
        <w:rPr>
          <w:rStyle w:val="SectionNumber"/>
        </w:rPr>
        <w:t xml:space="preserve">1.3.1.1.1</w:t>
      </w:r>
      <w:r>
        <w:tab/>
      </w:r>
      <w:r>
        <w:t xml:space="preserve">Obstacles to Data Understandability</w:t>
      </w:r>
    </w:p>
    <w:p>
      <w:pPr>
        <w:pStyle w:val="FirstParagraph"/>
      </w:pPr>
      <w:r>
        <w:rPr>
          <w:b/>
        </w:rPr>
        <w:t xml:space="preserve">Unrelatable data</w:t>
      </w:r>
      <w:r>
        <w:t xml:space="preserve">.</w:t>
      </w:r>
      <w:r>
        <w:t xml:space="preserve"> </w:t>
      </w:r>
      <w:r>
        <w:t xml:space="preserve">[Meaningfulness / relatability -&gt; relate it to people/places/events] [Context - Life - &gt; need life interfaces]</w:t>
      </w:r>
    </w:p>
    <w:p>
      <w:pPr>
        <w:pStyle w:val="BodyText"/>
      </w:pPr>
      <w:r>
        <w:rPr>
          <w:b/>
        </w:rPr>
        <w:t xml:space="preserve">Lack of Legibility</w:t>
      </w:r>
      <w:r>
        <w:t xml:space="preserve">.</w:t>
      </w:r>
      <w:r>
        <w:t xml:space="preserve"> </w:t>
      </w:r>
      <w:r>
        <w:t xml:space="preserve">[Information within Data -&gt; Lack of Visualisations and Tools] [Complexity -&gt; common formats/abstractions/summarisations]</w:t>
      </w:r>
    </w:p>
    <w:p>
      <w:pPr>
        <w:pStyle w:val="BodyText"/>
      </w:pPr>
      <w:r>
        <w:rPr>
          <w:b/>
        </w:rPr>
        <w:t xml:space="preserve">The Personal Data Diaspora</w:t>
      </w:r>
      <w:r>
        <w:t xml:space="preserve">.</w:t>
      </w:r>
      <w:r>
        <w:t xml:space="preserve"> </w:t>
      </w:r>
      <w:r>
        <w:t xml:space="preserve">[Scatteredness -&gt; holistic/unification, place to centralise] [My data is everywhere I am nowhere]</w:t>
      </w:r>
    </w:p>
    <w:bookmarkEnd w:id="36"/>
    <w:bookmarkStart w:id="37" w:name="improving-data-understandability"/>
    <w:p>
      <w:pPr>
        <w:pStyle w:val="Heading5"/>
      </w:pPr>
      <w:r>
        <w:rPr>
          <w:rStyle w:val="SectionNumber"/>
        </w:rPr>
        <w:t xml:space="preserve">1.3.1.1.2</w:t>
      </w:r>
      <w:r>
        <w:tab/>
      </w:r>
      <w:r>
        <w:t xml:space="preserve">Improving Data Understandability</w:t>
      </w:r>
    </w:p>
    <w:p>
      <w:pPr>
        <w:pStyle w:val="FirstParagraph"/>
      </w:pPr>
      <w:r>
        <w:rPr>
          <w:b/>
        </w:rPr>
        <w:t xml:space="preserve">Unified Life Information Storage</w:t>
      </w:r>
      <w:r>
        <w:t xml:space="preserve">.</w:t>
      </w:r>
      <w:r>
        <w:t xml:space="preserve"> </w:t>
      </w:r>
      <w:r>
        <w:t xml:space="preserve">[Use standards &amp; semantics to convert data to life information]. [Personal data Stores as place to put stuff] [Data Trusts]</w:t>
      </w:r>
    </w:p>
    <w:p>
      <w:pPr>
        <w:pStyle w:val="BodyText"/>
      </w:pPr>
      <w:r>
        <w:rPr>
          <w:b/>
        </w:rPr>
        <w:t xml:space="preserve">Meaning Extraction Software</w:t>
      </w:r>
      <w:r>
        <w:t xml:space="preserve">.</w:t>
      </w:r>
      <w:r>
        <w:t xml:space="preserve"> </w:t>
      </w:r>
      <w:r>
        <w:t xml:space="preserve">[Build systems to extract meaning - interpreting and combining signals] [Semantic/content analytics]</w:t>
      </w:r>
    </w:p>
    <w:p>
      <w:pPr>
        <w:pStyle w:val="BodyText"/>
      </w:pPr>
      <w:r>
        <w:rPr>
          <w:b/>
        </w:rPr>
        <w:t xml:space="preserve">Life Information Interfaces</w:t>
      </w:r>
      <w:r>
        <w:t xml:space="preserve">.</w:t>
      </w:r>
      <w:r>
        <w:t xml:space="preserve"> </w:t>
      </w:r>
      <w:r>
        <w:t xml:space="preserve">[presenting and visualising life information]</w:t>
      </w:r>
      <w:r>
        <w:t xml:space="preserve"> </w:t>
      </w:r>
      <w:r>
        <w:t xml:space="preserve">[Alternative Perspectives: temporal, entity-based/relational and geographical exploration] [relate to subjectivity]</w:t>
      </w:r>
    </w:p>
    <w:bookmarkEnd w:id="37"/>
    <w:bookmarkEnd w:id="38"/>
    <w:bookmarkStart w:id="42" w:name="useable16-data"/>
    <w:p>
      <w:pPr>
        <w:pStyle w:val="Heading4"/>
      </w:pPr>
      <w:r>
        <w:rPr>
          <w:rStyle w:val="SectionNumber"/>
        </w:rPr>
        <w:t xml:space="preserve">1.3.1.2</w:t>
      </w:r>
      <w:r>
        <w:tab/>
      </w:r>
      <w:r>
        <w:t xml:space="preserve">Useable</w:t>
      </w:r>
      <w:r>
        <w:rPr>
          <w:rStyle w:val="FootnoteReference"/>
        </w:rPr>
        <w:footnoteReference w:id="39"/>
      </w:r>
      <w:r>
        <w:t xml:space="preserve"> </w:t>
      </w:r>
      <w:r>
        <w:t xml:space="preserve">Data</w:t>
      </w:r>
    </w:p>
    <w:bookmarkStart w:id="40" w:name="obstacles-to-data-useability"/>
    <w:p>
      <w:pPr>
        <w:pStyle w:val="Heading5"/>
      </w:pPr>
      <w:r>
        <w:rPr>
          <w:rStyle w:val="SectionNumber"/>
        </w:rPr>
        <w:t xml:space="preserve">1.3.1.2.1</w:t>
      </w:r>
      <w:r>
        <w:tab/>
      </w:r>
      <w:r>
        <w:t xml:space="preserve">Obstacles to Data Useability</w:t>
      </w:r>
    </w:p>
    <w:p>
      <w:pPr>
        <w:pStyle w:val="FirstParagraph"/>
      </w:pPr>
      <w:r>
        <w:rPr>
          <w:b/>
        </w:rPr>
        <w:t xml:space="preserve">Trapped Data</w:t>
      </w:r>
      <w:r>
        <w:t xml:space="preserve">.</w:t>
      </w:r>
      <w:r>
        <w:t xml:space="preserve"> </w:t>
      </w:r>
      <w:r>
        <w:t xml:space="preserve">[Trapped Data -&gt; Force unlocking of data through technical means or regulatory influence]</w:t>
      </w:r>
    </w:p>
    <w:p>
      <w:pPr>
        <w:pStyle w:val="BodyText"/>
      </w:pPr>
      <w:r>
        <w:rPr>
          <w:b/>
        </w:rPr>
        <w:t xml:space="preserve">Integration Challenges</w:t>
      </w:r>
      <w:r>
        <w:t xml:space="preserve">.</w:t>
      </w:r>
      <w:r>
        <w:t xml:space="preserve"> </w:t>
      </w:r>
      <w:r>
        <w:t xml:space="preserve">[Integration challenges -&gt; Need to be able to bring data together and connect and combine]</w:t>
      </w:r>
    </w:p>
    <w:p>
      <w:pPr>
        <w:pStyle w:val="BodyText"/>
      </w:pPr>
      <w:r>
        <w:rPr>
          <w:b/>
        </w:rPr>
        <w:t xml:space="preserve">Lack of Malleability</w:t>
      </w:r>
      <w:r>
        <w:t xml:space="preserve">.</w:t>
      </w:r>
      <w:r>
        <w:t xml:space="preserve"> </w:t>
      </w:r>
      <w:r>
        <w:t xml:space="preserve">[Lack of malleability -&gt; need to be able to slice/group/view from different perspectives]</w:t>
      </w:r>
    </w:p>
    <w:p>
      <w:pPr>
        <w:pStyle w:val="BodyText"/>
      </w:pPr>
      <w:r>
        <w:rPr>
          <w:b/>
        </w:rPr>
        <w:t xml:space="preserve">Inability to Investigate</w:t>
      </w:r>
      <w:r>
        <w:t xml:space="preserve">.</w:t>
      </w:r>
      <w:r>
        <w:t xml:space="preserve"> </w:t>
      </w:r>
      <w:r>
        <w:t xml:space="preserve">[inability to investigate -&gt; enable questions, comparisons, investigations etc]</w:t>
      </w:r>
    </w:p>
    <w:bookmarkEnd w:id="40"/>
    <w:bookmarkStart w:id="41" w:name="improving-data-useability"/>
    <w:p>
      <w:pPr>
        <w:pStyle w:val="Heading5"/>
      </w:pPr>
      <w:r>
        <w:rPr>
          <w:rStyle w:val="SectionNumber"/>
        </w:rPr>
        <w:t xml:space="preserve">1.3.1.2.2</w:t>
      </w:r>
      <w:r>
        <w:tab/>
      </w:r>
      <w:r>
        <w:t xml:space="preserve">Improving Data Useability</w:t>
      </w:r>
    </w:p>
    <w:p>
      <w:pPr>
        <w:pStyle w:val="FirstParagraph"/>
      </w:pPr>
      <w:r>
        <w:rPr>
          <w:b/>
        </w:rPr>
        <w:t xml:space="preserve">Exploratory Actions &amp; Asking Tools</w:t>
      </w:r>
      <w:r>
        <w:t xml:space="preserve">.</w:t>
      </w:r>
      <w:r>
        <w:t xml:space="preserve"> </w:t>
      </w:r>
      <w:r>
        <w:t xml:space="preserve">[supporting useful actions on data - filtering, referencing, cross referencing, conjecturing/whatiffing - data action verbs]</w:t>
      </w:r>
      <w:r>
        <w:t xml:space="preserve"> </w:t>
      </w:r>
      <w:r>
        <w:t xml:space="preserve">[asking tools rather than answers or insights]</w:t>
      </w:r>
    </w:p>
    <w:p>
      <w:pPr>
        <w:pStyle w:val="BodyText"/>
      </w:pPr>
      <w:r>
        <w:rPr>
          <w:b/>
        </w:rPr>
        <w:t xml:space="preserve">Life Information as Material</w:t>
      </w:r>
      <w:r>
        <w:t xml:space="preserve">.</w:t>
      </w:r>
      <w:r>
        <w:t xml:space="preserve"> </w:t>
      </w:r>
      <w:r>
        <w:t xml:space="preserve">[data as material, interface features as tools to use that material] [an information operating system]</w:t>
      </w:r>
    </w:p>
    <w:p>
      <w:pPr>
        <w:pStyle w:val="BodyText"/>
      </w:pPr>
      <w:r>
        <w:rPr>
          <w:b/>
        </w:rPr>
        <w:t xml:space="preserve">PIM &amp; SI capabilities</w:t>
      </w:r>
      <w:r>
        <w:t xml:space="preserve">.</w:t>
      </w:r>
      <w:r>
        <w:t xml:space="preserve"> </w:t>
      </w:r>
      <w:r>
        <w:t xml:space="preserve">[supporting appropriation, annotation, organisation, curation, use &amp; re-use] [reference 2.2.2 , including adaptability, re-use, etc]</w:t>
      </w:r>
      <w:r>
        <w:t xml:space="preserve"> </w:t>
      </w:r>
      <w:r>
        <w:t xml:space="preserve">[Reflection &amp; Goals] [support goal setting, tracking and reflection]</w:t>
      </w:r>
    </w:p>
    <w:bookmarkEnd w:id="41"/>
    <w:bookmarkEnd w:id="42"/>
    <w:bookmarkStart w:id="43" w:name="X5c81e21949359bb4129e62bf618740968ad771d"/>
    <w:p>
      <w:pPr>
        <w:pStyle w:val="Heading4"/>
      </w:pPr>
      <w:r>
        <w:rPr>
          <w:rStyle w:val="SectionNumber"/>
        </w:rPr>
        <w:t xml:space="preserve">1.3.1.3</w:t>
      </w:r>
      <w:r>
        <w:tab/>
      </w:r>
      <w:r>
        <w:t xml:space="preserve">Other Factors in Life Information Utilisation</w:t>
      </w:r>
    </w:p>
    <w:p>
      <w:pPr>
        <w:pStyle w:val="FirstParagraph"/>
      </w:pPr>
      <w:r>
        <w:rPr>
          <w:b/>
        </w:rPr>
        <w:t xml:space="preserve">Motivation</w:t>
      </w:r>
      <w:r>
        <w:t xml:space="preserve">.</w:t>
      </w:r>
      <w:r>
        <w:t xml:space="preserve"> </w:t>
      </w:r>
      <w:r>
        <w:t xml:space="preserve">[Motivation -&gt; Showing the potential]</w:t>
      </w:r>
    </w:p>
    <w:p>
      <w:pPr>
        <w:pStyle w:val="BodyText"/>
      </w:pPr>
      <w:r>
        <w:rPr>
          <w:b/>
        </w:rPr>
        <w:t xml:space="preserve">Effort</w:t>
      </w:r>
      <w:r>
        <w:t xml:space="preserve">.</w:t>
      </w:r>
      <w:r>
        <w:t xml:space="preserve"> </w:t>
      </w:r>
      <w:r>
        <w:t xml:space="preserve">[Effort -&gt; doing as much as possible automatically, conjecture and assertion over blank pages. training rather than meticulous instructution.]</w:t>
      </w:r>
    </w:p>
    <w:p>
      <w:pPr>
        <w:pStyle w:val="BodyText"/>
      </w:pPr>
      <w:r>
        <w:rPr>
          <w:b/>
        </w:rPr>
        <w:t xml:space="preserve">Ecosystem Transparency</w:t>
      </w:r>
      <w:r>
        <w:t xml:space="preserve">.</w:t>
      </w:r>
      <w:r>
        <w:t xml:space="preserve"> </w:t>
      </w:r>
      <w:r>
        <w:t xml:space="preserve">[how the other wants fit in, visibility as it pertains to Life info, transparency/oversight/involvement etc]</w:t>
      </w:r>
    </w:p>
    <w:p>
      <w:pPr>
        <w:pStyle w:val="BodyText"/>
      </w:pPr>
      <w:r>
        <w:rPr>
          <w:b/>
        </w:rPr>
        <w:t xml:space="preserve">Agency &amp; Ecosystem Negotiability</w:t>
      </w:r>
      <w:r>
        <w:t xml:space="preserve">.</w:t>
      </w:r>
      <w:r>
        <w:t xml:space="preserve"> </w:t>
      </w:r>
      <w:r>
        <w:t xml:space="preserve">[agency over trapped data (by tech or by companies (lead into next)]</w:t>
      </w:r>
    </w:p>
    <w:bookmarkEnd w:id="43"/>
    <w:bookmarkEnd w:id="44"/>
    <w:bookmarkStart w:id="52" w:name="X9c976b937306d4e6132bd27faef2722dda94b09"/>
    <w:p>
      <w:pPr>
        <w:pStyle w:val="Heading3"/>
      </w:pPr>
      <w:r>
        <w:rPr>
          <w:rStyle w:val="SectionNumber"/>
        </w:rPr>
        <w:t xml:space="preserve">1.3.2</w:t>
      </w:r>
      <w:r>
        <w:tab/>
      </w:r>
      <w:r>
        <w:t xml:space="preserve">Challenges and Opportunities in Personal Data Ecosystem Control</w:t>
      </w:r>
    </w:p>
    <w:bookmarkStart w:id="47" w:name="ecosystem-transparency"/>
    <w:p>
      <w:pPr>
        <w:pStyle w:val="Heading4"/>
      </w:pPr>
      <w:r>
        <w:rPr>
          <w:rStyle w:val="SectionNumber"/>
        </w:rPr>
        <w:t xml:space="preserve">1.3.2.1</w:t>
      </w:r>
      <w:r>
        <w:tab/>
      </w:r>
      <w:r>
        <w:t xml:space="preserve">Ecosystem Transparency</w:t>
      </w:r>
    </w:p>
    <w:bookmarkStart w:id="45" w:name="obstacles-to-ecosystem-transparency"/>
    <w:p>
      <w:pPr>
        <w:pStyle w:val="Heading5"/>
      </w:pPr>
      <w:r>
        <w:rPr>
          <w:rStyle w:val="SectionNumber"/>
        </w:rPr>
        <w:t xml:space="preserve">1.3.2.1.1</w:t>
      </w:r>
      <w:r>
        <w:tab/>
      </w:r>
      <w:r>
        <w:t xml:space="preserve">Obstacles to Ecosystem Transparency</w:t>
      </w:r>
    </w:p>
    <w:p>
      <w:pPr>
        <w:pStyle w:val="FirstParagraph"/>
      </w:pPr>
      <w:r>
        <w:rPr>
          <w:b/>
        </w:rPr>
        <w:t xml:space="preserve">Introspective Practices</w:t>
      </w:r>
      <w:r>
        <w:t xml:space="preserve">.</w:t>
      </w:r>
      <w:r>
        <w:t xml:space="preserve"> </w:t>
      </w:r>
      <w:r>
        <w:t xml:space="preserve">[hidden data and closed processes -&gt; closed by default thinking -&gt; encourage or legislate for openness.. e.g. data portability/access rights, rights to explanatione etc, but more needed]</w:t>
      </w:r>
    </w:p>
    <w:p>
      <w:pPr>
        <w:pStyle w:val="BodyText"/>
      </w:pPr>
      <w:r>
        <w:rPr>
          <w:b/>
        </w:rPr>
        <w:t xml:space="preserve">Proprietary, Incompatible Silos</w:t>
      </w:r>
      <w:r>
        <w:t xml:space="preserve">.</w:t>
      </w:r>
      <w:r>
        <w:t xml:space="preserve"> </w:t>
      </w:r>
      <w:r>
        <w:t xml:space="preserve">[silos and motives towards closed proprietary systems -&gt; highlight the pains]. [lack of standards, motivations against interoperability -&gt; motivate standards and unconver opportunities for interoperability]</w:t>
      </w:r>
    </w:p>
    <w:p>
      <w:pPr>
        <w:pStyle w:val="BodyText"/>
      </w:pPr>
      <w:r>
        <w:rPr>
          <w:b/>
        </w:rPr>
        <w:t xml:space="preserve">Ecosystem Complexity</w:t>
      </w:r>
      <w:r>
        <w:t xml:space="preserve">.</w:t>
      </w:r>
      <w:r>
        <w:t xml:space="preserve"> </w:t>
      </w:r>
      <w:r>
        <w:t xml:space="preserve">[complex data ecosystems, adtech]</w:t>
      </w:r>
    </w:p>
    <w:p>
      <w:pPr>
        <w:pStyle w:val="BodyText"/>
      </w:pPr>
      <w:r>
        <w:rPr>
          <w:b/>
        </w:rPr>
        <w:t xml:space="preserve">A Lack of Metadata</w:t>
      </w:r>
      <w:r>
        <w:t xml:space="preserve">.</w:t>
      </w:r>
      <w:r>
        <w:t xml:space="preserve"> </w:t>
      </w:r>
      <w:r>
        <w:t xml:space="preserve">[lack of information</w:t>
      </w:r>
      <w:r>
        <w:t xml:space="preserve"> </w:t>
      </w:r>
      <w:r>
        <w:rPr>
          <w:i/>
        </w:rPr>
        <w:t xml:space="preserve">about</w:t>
      </w:r>
      <w:r>
        <w:t xml:space="preserve"> </w:t>
      </w:r>
      <w:r>
        <w:t xml:space="preserve">our data -&gt; awareness and accountability even where access is difficult -&gt; ] [show metadata diagram]</w:t>
      </w:r>
    </w:p>
    <w:bookmarkEnd w:id="45"/>
    <w:bookmarkStart w:id="46" w:name="improving-ecosystem-transparency"/>
    <w:p>
      <w:pPr>
        <w:pStyle w:val="Heading5"/>
      </w:pPr>
      <w:r>
        <w:rPr>
          <w:rStyle w:val="SectionNumber"/>
        </w:rPr>
        <w:t xml:space="preserve">1.3.2.1.2</w:t>
      </w:r>
      <w:r>
        <w:tab/>
      </w:r>
      <w:r>
        <w:t xml:space="preserve">Improving Ecosystem Transparency</w:t>
      </w:r>
    </w:p>
    <w:p>
      <w:pPr>
        <w:pStyle w:val="FirstParagraph"/>
      </w:pPr>
      <w:r>
        <w:rPr>
          <w:b/>
        </w:rPr>
        <w:t xml:space="preserve">Transparency through Regulation</w:t>
      </w:r>
      <w:r>
        <w:t xml:space="preserve">.</w:t>
      </w:r>
      <w:r>
        <w:t xml:space="preserve"> </w:t>
      </w:r>
      <w:r>
        <w:t xml:space="preserve">[regulation - forcing openness transparency and interop. DSA ? ] [standards for data access - technical standards could make compliance easier to judge too]</w:t>
      </w:r>
    </w:p>
    <w:p>
      <w:pPr>
        <w:pStyle w:val="BodyText"/>
      </w:pPr>
      <w:r>
        <w:rPr>
          <w:b/>
        </w:rPr>
        <w:t xml:space="preserve">Ecosystem Mapping &amp; Visualisation</w:t>
      </w:r>
      <w:r>
        <w:t xml:space="preserve">.</w:t>
      </w:r>
      <w:r>
        <w:t xml:space="preserve"> </w:t>
      </w:r>
      <w:r>
        <w:t xml:space="preserve">[ecosystem visualisation and overviews]</w:t>
      </w:r>
    </w:p>
    <w:p>
      <w:pPr>
        <w:pStyle w:val="BodyText"/>
      </w:pPr>
      <w:r>
        <w:rPr>
          <w:b/>
        </w:rPr>
        <w:t xml:space="preserve">Collective Investigations</w:t>
      </w:r>
      <w:r>
        <w:t xml:space="preserve">.</w:t>
      </w:r>
      <w:r>
        <w:t xml:space="preserve"> </w:t>
      </w:r>
      <w:r>
        <w:t xml:space="preserve">[collectives - as a means to compare and see more]</w:t>
      </w:r>
    </w:p>
    <w:p>
      <w:pPr>
        <w:pStyle w:val="BodyText"/>
      </w:pPr>
      <w:r>
        <w:rPr>
          <w:b/>
        </w:rPr>
        <w:t xml:space="preserve">Tap the Seams</w:t>
      </w:r>
      <w:r>
        <w:t xml:space="preserve">.</w:t>
      </w:r>
      <w:r>
        <w:t xml:space="preserve"> </w:t>
      </w:r>
      <w:r>
        <w:t xml:space="preserve">[exploiting the seams - the battle for the seams]</w:t>
      </w:r>
    </w:p>
    <w:p>
      <w:pPr>
        <w:pStyle w:val="BodyText"/>
      </w:pPr>
      <w:r>
        <w:rPr>
          <w:b/>
        </w:rPr>
        <w:t xml:space="preserve">Bootstrap</w:t>
      </w:r>
      <w:r>
        <w:rPr>
          <w:b/>
        </w:rPr>
        <w:t xml:space="preserve"> </w:t>
      </w:r>
      <w:r>
        <w:rPr>
          <w:b/>
        </w:rPr>
        <w:t xml:space="preserve">‘</w:t>
      </w:r>
      <w:r>
        <w:rPr>
          <w:b/>
        </w:rPr>
        <w:t xml:space="preserve">Data Understanding</w:t>
      </w:r>
      <w:r>
        <w:rPr>
          <w:b/>
        </w:rPr>
        <w:t xml:space="preserve">’</w:t>
      </w:r>
      <w:r>
        <w:rPr>
          <w:b/>
        </w:rPr>
        <w:t xml:space="preserve"> </w:t>
      </w:r>
      <w:r>
        <w:rPr>
          <w:b/>
        </w:rPr>
        <w:t xml:space="preserve">Innovation</w:t>
      </w:r>
      <w:r>
        <w:t xml:space="preserve">.</w:t>
      </w:r>
      <w:r>
        <w:t xml:space="preserve"> </w:t>
      </w:r>
      <w:r>
        <w:t xml:space="preserve">[standards creation and the benefits of enabling a</w:t>
      </w:r>
      <w:r>
        <w:t xml:space="preserve"> </w:t>
      </w:r>
      <w:r>
        <w:t xml:space="preserve">‘</w:t>
      </w:r>
      <w:r>
        <w:t xml:space="preserve">data understanding</w:t>
      </w:r>
      <w:r>
        <w:t xml:space="preserve">’</w:t>
      </w:r>
      <w:r>
        <w:t xml:space="preserve"> </w:t>
      </w:r>
      <w:r>
        <w:t xml:space="preserve">industry]</w:t>
      </w:r>
    </w:p>
    <w:bookmarkEnd w:id="46"/>
    <w:bookmarkEnd w:id="47"/>
    <w:bookmarkStart w:id="50" w:name="ecosystem-negotiability"/>
    <w:p>
      <w:pPr>
        <w:pStyle w:val="Heading4"/>
      </w:pPr>
      <w:r>
        <w:rPr>
          <w:rStyle w:val="SectionNumber"/>
        </w:rPr>
        <w:t xml:space="preserve">1.3.2.2</w:t>
      </w:r>
      <w:r>
        <w:tab/>
      </w:r>
      <w:r>
        <w:t xml:space="preserve">Ecosystem Negotiability</w:t>
      </w:r>
    </w:p>
    <w:bookmarkStart w:id="48" w:name="obstacles-to-ecosystem-negotiability"/>
    <w:p>
      <w:pPr>
        <w:pStyle w:val="Heading5"/>
      </w:pPr>
      <w:r>
        <w:rPr>
          <w:rStyle w:val="SectionNumber"/>
        </w:rPr>
        <w:t xml:space="preserve">1.3.2.2.1</w:t>
      </w:r>
      <w:r>
        <w:tab/>
      </w:r>
      <w:r>
        <w:t xml:space="preserve">Obstacles to Ecosystem Negotiability</w:t>
      </w:r>
    </w:p>
    <w:p>
      <w:pPr>
        <w:pStyle w:val="FirstParagraph"/>
      </w:pPr>
      <w:r>
        <w:rPr>
          <w:b/>
        </w:rPr>
        <w:t xml:space="preserve">The Datafication of the Self</w:t>
      </w:r>
      <w:r>
        <w:t xml:space="preserve">.</w:t>
      </w:r>
      <w:r>
        <w:t xml:space="preserve"> </w:t>
      </w:r>
      <w:r>
        <w:t xml:space="preserve">[data self affects you but cannot see (proxy for involvement, unseen inferences etc)- &gt; find a way to produce better digital selves]. [brings in LDM etc].</w:t>
      </w:r>
    </w:p>
    <w:p>
      <w:pPr>
        <w:pStyle w:val="BodyText"/>
      </w:pPr>
      <w:r>
        <w:rPr>
          <w:b/>
        </w:rPr>
        <w:t xml:space="preserve">The Technological Hegemony</w:t>
      </w:r>
      <w:r>
        <w:t xml:space="preserve">.</w:t>
      </w:r>
      <w:r>
        <w:t xml:space="preserve"> </w:t>
      </w:r>
      <w:r>
        <w:t xml:space="preserve">[structural power, resource control, centralisation etc -&gt; uneven landscape -&gt; awareness as first step and systemic change needed to change. ]</w:t>
      </w:r>
    </w:p>
    <w:p>
      <w:pPr>
        <w:pStyle w:val="BodyText"/>
      </w:pPr>
      <w:r>
        <w:rPr>
          <w:b/>
        </w:rPr>
        <w:t xml:space="preserve">Digital Landscape Manipulation</w:t>
      </w:r>
      <w:r>
        <w:t xml:space="preserve">.</w:t>
      </w:r>
      <w:r>
        <w:t xml:space="preserve"> </w:t>
      </w:r>
      <w:r>
        <w:t xml:space="preserve">[the four levers of infrastructural power. accumulation of info/surveillance as power. changing available information/actions as power]</w:t>
      </w:r>
      <w:r>
        <w:t xml:space="preserve"> </w:t>
      </w:r>
      <w:r>
        <w:t xml:space="preserve">[Controlling the landscape of what is knowable, and what is do-able -&gt; recognise the importance of free information landscapes, and make them happen through tech or through regulation]</w:t>
      </w:r>
    </w:p>
    <w:bookmarkEnd w:id="48"/>
    <w:bookmarkStart w:id="49" w:name="improving-ecosystem-negotiability"/>
    <w:p>
      <w:pPr>
        <w:pStyle w:val="Heading5"/>
      </w:pPr>
      <w:r>
        <w:rPr>
          <w:rStyle w:val="SectionNumber"/>
        </w:rPr>
        <w:t xml:space="preserve">1.3.2.2.2</w:t>
      </w:r>
      <w:r>
        <w:tab/>
      </w:r>
      <w:r>
        <w:t xml:space="preserve">Improving Ecosystem Negotiability</w:t>
      </w:r>
    </w:p>
    <w:p>
      <w:pPr>
        <w:pStyle w:val="FirstParagraph"/>
      </w:pPr>
      <w:r>
        <w:rPr>
          <w:b/>
        </w:rPr>
        <w:t xml:space="preserve">Regulating the Information Landscape</w:t>
      </w:r>
      <w:r>
        <w:t xml:space="preserve">.</w:t>
      </w:r>
      <w:r>
        <w:t xml:space="preserve"> </w:t>
      </w:r>
      <w:r>
        <w:t xml:space="preserve">[-&gt; better policies to protect the information landscape? DSA.]</w:t>
      </w:r>
    </w:p>
    <w:p>
      <w:pPr>
        <w:pStyle w:val="BodyText"/>
      </w:pPr>
      <w:r>
        <w:rPr>
          <w:b/>
        </w:rPr>
        <w:t xml:space="preserve">Unionisation</w:t>
      </w:r>
      <w:r>
        <w:t xml:space="preserve">.</w:t>
      </w:r>
      <w:r>
        <w:t xml:space="preserve"> </w:t>
      </w:r>
      <w:r>
        <w:t xml:space="preserve">[collectives, as a means to ask collectively /demand change, supported by policy (uber, ref GDPR guidelines?)]</w:t>
      </w:r>
    </w:p>
    <w:p>
      <w:pPr>
        <w:pStyle w:val="BodyText"/>
      </w:pPr>
      <w:r>
        <w:rPr>
          <w:b/>
        </w:rPr>
        <w:t xml:space="preserve">Self-Profiling</w:t>
      </w:r>
      <w:r>
        <w:t xml:space="preserve"> </w:t>
      </w:r>
      <w:r>
        <w:t xml:space="preserve">[better digital selves -&gt; people as source of data. profiles and curated as better representation of self, ref past calls in C4&amp;5 for stewardship, user-contributed data etc] [Can also hint at VRM style declarations] [Better data, which you control; but also less uncontrollable effects]</w:t>
      </w:r>
    </w:p>
    <w:p>
      <w:pPr>
        <w:pStyle w:val="BodyText"/>
      </w:pPr>
      <w:r>
        <w:rPr>
          <w:b/>
        </w:rPr>
        <w:t xml:space="preserve">Taking Back Power in the Browser</w:t>
      </w:r>
      <w:r>
        <w:t xml:space="preserve">.</w:t>
      </w:r>
      <w:r>
        <w:t xml:space="preserve"> </w:t>
      </w:r>
      <w:r>
        <w:t xml:space="preserve">[-&gt; exploiting the seams in order to produce new information presentations… ref JE paper (+colin?) -&gt; web aug, firefox containers. Taking Back Power In The Browser, resist moves to apps]</w:t>
      </w:r>
    </w:p>
    <w:p>
      <w:pPr>
        <w:pStyle w:val="BodyText"/>
      </w:pPr>
      <w:r>
        <w:rPr>
          <w:b/>
        </w:rPr>
        <w:t xml:space="preserve">Free Information Landscapes</w:t>
      </w:r>
      <w:r>
        <w:t xml:space="preserve">.</w:t>
      </w:r>
      <w:r>
        <w:t xml:space="preserve"> </w:t>
      </w:r>
      <w:r>
        <w:t xml:space="preserve">[the battle for landscape control - RSS, API, 3P interfaces, etc, Defending The Seams And Protecting Interface Freedom]. [information surfaces]. [reclamation and repurposing]</w:t>
      </w:r>
    </w:p>
    <w:bookmarkEnd w:id="49"/>
    <w:bookmarkEnd w:id="50"/>
    <w:bookmarkStart w:id="51" w:name="Xc0b14a81cfced0348eec7b57aa04da5af0077d7"/>
    <w:p>
      <w:pPr>
        <w:pStyle w:val="Heading4"/>
      </w:pPr>
      <w:r>
        <w:rPr>
          <w:rStyle w:val="SectionNumber"/>
        </w:rPr>
        <w:t xml:space="preserve">1.3.2.3</w:t>
      </w:r>
      <w:r>
        <w:tab/>
      </w:r>
      <w:r>
        <w:t xml:space="preserve">Other Factors in Personal Data Ecosystem Control</w:t>
      </w:r>
    </w:p>
    <w:p>
      <w:pPr>
        <w:pStyle w:val="FirstParagraph"/>
      </w:pPr>
      <w:r>
        <w:rPr>
          <w:b/>
        </w:rPr>
        <w:t xml:space="preserve">Inclusive Information Flows</w:t>
      </w:r>
      <w:r>
        <w:t xml:space="preserve">.</w:t>
      </w:r>
      <w:r>
        <w:t xml:space="preserve"> </w:t>
      </w:r>
      <w:r>
        <w:t xml:space="preserve">[Feeds and flows that loop in the data subject (default not opt in)] [Delay] [Lack of up to date insights / delay]. [Rivers of Information]</w:t>
      </w:r>
    </w:p>
    <w:p>
      <w:pPr>
        <w:pStyle w:val="BodyText"/>
      </w:pPr>
      <w:r>
        <w:rPr>
          <w:b/>
        </w:rPr>
        <w:t xml:space="preserve">Data Literacy</w:t>
      </w:r>
      <w:r>
        <w:t xml:space="preserve">.</w:t>
      </w:r>
      <w:r>
        <w:t xml:space="preserve"> </w:t>
      </w:r>
      <w:r>
        <w:t xml:space="preserve">[data literacy and rights awareness - you should teach this in schools]. [Rights Inconsistencies]. [Inconsistent and difficult data rights offerings]</w:t>
      </w:r>
    </w:p>
    <w:bookmarkEnd w:id="51"/>
    <w:bookmarkEnd w:id="52"/>
    <w:bookmarkEnd w:id="53"/>
    <w:bookmarkStart w:id="54" w:name="thesis-conclusion"/>
    <w:p>
      <w:pPr>
        <w:pStyle w:val="Heading2"/>
      </w:pPr>
      <w:r>
        <w:rPr>
          <w:rStyle w:val="SectionNumber"/>
        </w:rPr>
        <w:t xml:space="preserve">1.4</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54"/>
    <w:bookmarkEnd w:id="55"/>
    <w:bookmarkStart w:id="85" w:name="bibliography"/>
    <w:p>
      <w:pPr>
        <w:pStyle w:val="Heading1"/>
      </w:pPr>
      <w:r>
        <w:t xml:space="preserve">Bibliography</w:t>
      </w:r>
    </w:p>
    <w:bookmarkStart w:id="84" w:name="refs"/>
    <w:bookmarkStart w:id="57" w:name="ref-bowyer2021"/>
    <w:p>
      <w:pPr>
        <w:pStyle w:val="Bibliography"/>
      </w:pPr>
      <w:r>
        <w:t xml:space="preserve">Bowyer, A. (2021) ‘Human-Data Interaction has two purposes: Personal Data Control and Life Information Exploration’. Available at:</w:t>
      </w:r>
      <w:r>
        <w:t xml:space="preserve"> </w:t>
      </w:r>
      <w:hyperlink r:id="rId56">
        <w:r>
          <w:rPr>
            <w:rStyle w:val="Hyperlink"/>
          </w:rPr>
          <w:t xml:space="preserve">https://eprints.ncl.ac.uk/273832#.</w:t>
        </w:r>
      </w:hyperlink>
    </w:p>
    <w:bookmarkEnd w:id="57"/>
    <w:bookmarkStart w:id="58"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58"/>
    <w:bookmarkStart w:id="60" w:name="ref-dictUseability"/>
    <w:p>
      <w:pPr>
        <w:pStyle w:val="Bibliography"/>
      </w:pPr>
      <w:r>
        <w:t xml:space="preserve">Collins English Dictionary (no date a) ‘Useability’. Available at:</w:t>
      </w:r>
      <w:r>
        <w:t xml:space="preserve"> </w:t>
      </w:r>
      <w:hyperlink r:id="rId59">
        <w:r>
          <w:rPr>
            <w:rStyle w:val="Hyperlink"/>
          </w:rPr>
          <w:t xml:space="preserve">https://www.thefreedictionary.com/useability</w:t>
        </w:r>
      </w:hyperlink>
      <w:r>
        <w:t xml:space="preserve">.</w:t>
      </w:r>
    </w:p>
    <w:bookmarkEnd w:id="60"/>
    <w:bookmarkStart w:id="62" w:name="ref-dictUseable"/>
    <w:p>
      <w:pPr>
        <w:pStyle w:val="Bibliography"/>
      </w:pPr>
      <w:r>
        <w:t xml:space="preserve">Collins English Dictionary (no date b) ‘Useable’. Available at:</w:t>
      </w:r>
      <w:r>
        <w:t xml:space="preserve"> </w:t>
      </w:r>
      <w:hyperlink r:id="rId61">
        <w:r>
          <w:rPr>
            <w:rStyle w:val="Hyperlink"/>
          </w:rPr>
          <w:t xml:space="preserve">https://www.thefreedictionary.com/useable</w:t>
        </w:r>
      </w:hyperlink>
      <w:r>
        <w:t xml:space="preserve">.</w:t>
      </w:r>
    </w:p>
    <w:bookmarkEnd w:id="62"/>
    <w:bookmarkStart w:id="63" w:name="ref-vanEs2015"/>
    <w:p>
      <w:pPr>
        <w:pStyle w:val="Bibliography"/>
      </w:pPr>
      <w:r>
        <w:t xml:space="preserve">Es, M. van, Guijt, I. and Vogel, I. (2015) ‘Hivos ToC Guidelines: Theory of Change Thinking in Practice’. The Hague, The Netherlands: Hivos.</w:t>
      </w:r>
    </w:p>
    <w:bookmarkEnd w:id="63"/>
    <w:bookmarkStart w:id="65"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64">
        <w:r>
          <w:rPr>
            <w:rStyle w:val="Hyperlink"/>
          </w:rPr>
          <w:t xml:space="preserve">http://www3.weforum.org/docs/WEF_RethinkingPersonalData_ANewLens_Report_2014.pdf</w:t>
        </w:r>
      </w:hyperlink>
      <w:r>
        <w:t xml:space="preserve">.</w:t>
      </w:r>
    </w:p>
    <w:bookmarkEnd w:id="65"/>
    <w:bookmarkStart w:id="67"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66">
        <w:r>
          <w:rPr>
            <w:rStyle w:val="Hyperlink"/>
          </w:rPr>
          <w:t xml:space="preserve">10.1145/1125451.1125469</w:t>
        </w:r>
      </w:hyperlink>
      <w:r>
        <w:t xml:space="preserve">.</w:t>
      </w:r>
    </w:p>
    <w:bookmarkEnd w:id="67"/>
    <w:bookmarkStart w:id="69"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68">
        <w:r>
          <w:rPr>
            <w:rStyle w:val="Hyperlink"/>
          </w:rPr>
          <w:t xml:space="preserve">https://s3.amazonaws.com/academia.edu.documents/46870765/haystack.pdf</w:t>
        </w:r>
      </w:hyperlink>
      <w:r>
        <w:t xml:space="preserve">.</w:t>
      </w:r>
    </w:p>
    <w:bookmarkEnd w:id="69"/>
    <w:bookmarkStart w:id="71"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70">
        <w:r>
          <w:rPr>
            <w:rStyle w:val="Hyperlink"/>
          </w:rPr>
          <w:t xml:space="preserve">10.1016/j.lisr.2008.07.001</w:t>
        </w:r>
      </w:hyperlink>
      <w:r>
        <w:t xml:space="preserve">.</w:t>
      </w:r>
    </w:p>
    <w:bookmarkEnd w:id="71"/>
    <w:bookmarkStart w:id="73" w:name="ref-dictUsability"/>
    <w:p>
      <w:pPr>
        <w:pStyle w:val="Bibliography"/>
      </w:pPr>
      <w:r>
        <w:t xml:space="preserve">Merriam-Webster Dictionary (no date a) ‘Usability’. Available at:</w:t>
      </w:r>
      <w:r>
        <w:t xml:space="preserve"> </w:t>
      </w:r>
      <w:hyperlink r:id="rId72">
        <w:r>
          <w:rPr>
            <w:rStyle w:val="Hyperlink"/>
          </w:rPr>
          <w:t xml:space="preserve">https://www.merriam-webster.com/dictionary/usability</w:t>
        </w:r>
      </w:hyperlink>
      <w:r>
        <w:t xml:space="preserve">.</w:t>
      </w:r>
    </w:p>
    <w:bookmarkEnd w:id="73"/>
    <w:bookmarkStart w:id="75" w:name="ref-dictUsable"/>
    <w:p>
      <w:pPr>
        <w:pStyle w:val="Bibliography"/>
      </w:pPr>
      <w:r>
        <w:t xml:space="preserve">Merriam-Webster Dictionary (no date b) ‘Usable’. Available at:</w:t>
      </w:r>
      <w:r>
        <w:t xml:space="preserve"> </w:t>
      </w:r>
      <w:hyperlink r:id="rId74">
        <w:r>
          <w:rPr>
            <w:rStyle w:val="Hyperlink"/>
          </w:rPr>
          <w:t xml:space="preserve">https://www.merriam-webster.com/dictionary/usable</w:t>
        </w:r>
      </w:hyperlink>
      <w:r>
        <w:t xml:space="preserve">.</w:t>
      </w:r>
    </w:p>
    <w:bookmarkEnd w:id="75"/>
    <w:bookmarkStart w:id="77"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76">
        <w:r>
          <w:rPr>
            <w:rStyle w:val="Hyperlink"/>
          </w:rPr>
          <w:t xml:space="preserve">10.5210/fm.v17i5.4013</w:t>
        </w:r>
      </w:hyperlink>
      <w:r>
        <w:t xml:space="preserve">.</w:t>
      </w:r>
    </w:p>
    <w:bookmarkEnd w:id="77"/>
    <w:bookmarkStart w:id="79"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78">
        <w:r>
          <w:rPr>
            <w:rStyle w:val="Hyperlink"/>
          </w:rPr>
          <w:t xml:space="preserve">10.2139/ssrn.2508051</w:t>
        </w:r>
      </w:hyperlink>
      <w:r>
        <w:t xml:space="preserve">.</w:t>
      </w:r>
    </w:p>
    <w:bookmarkEnd w:id="79"/>
    <w:bookmarkStart w:id="81" w:name="ref-nielsen2012"/>
    <w:p>
      <w:pPr>
        <w:pStyle w:val="Bibliography"/>
      </w:pPr>
      <w:r>
        <w:t xml:space="preserve">Nielsen, J. (2012) ‘Usability 101: Introduction to Usability’. Available at:</w:t>
      </w:r>
      <w:r>
        <w:t xml:space="preserve"> </w:t>
      </w:r>
      <w:hyperlink r:id="rId80">
        <w:r>
          <w:rPr>
            <w:rStyle w:val="Hyperlink"/>
          </w:rPr>
          <w:t xml:space="preserve">https://www.nngroup.com/articles/usability-101-introduction-to-usability/</w:t>
        </w:r>
      </w:hyperlink>
      <w:r>
        <w:t xml:space="preserve">.</w:t>
      </w:r>
    </w:p>
    <w:bookmarkEnd w:id="81"/>
    <w:bookmarkStart w:id="83"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82">
        <w:r>
          <w:rPr>
            <w:rStyle w:val="Hyperlink"/>
          </w:rPr>
          <w:t xml:space="preserve">http://www.theoryofchange.org/wp-content/uploads/toco_library/pdf/ToCBasics.pdf</w:t>
        </w:r>
      </w:hyperlink>
      <w:r>
        <w:t xml:space="preserve">.</w:t>
      </w:r>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0">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 w:id="39">
    <w:p>
      <w:pPr>
        <w:pStyle w:val="FootnoteText"/>
      </w:pPr>
      <w:r>
        <w:rPr>
          <w:rStyle w:val="FootnoteReference"/>
        </w:rPr>
        <w:footnoteRef/>
      </w:r>
      <w:r>
        <w:t xml:space="preserve"> </w:t>
      </w:r>
      <w:r>
        <w:t xml:space="preserve">The words</w:t>
      </w:r>
      <w:r>
        <w:t xml:space="preserve"> </w:t>
      </w:r>
      <w:r>
        <w:rPr>
          <w:i/>
        </w:rPr>
        <w:t xml:space="preserve">‘</w:t>
      </w:r>
      <w:r>
        <w:rPr>
          <w:i/>
        </w:rPr>
        <w:t xml:space="preserve">usability</w:t>
      </w:r>
      <w:r>
        <w:rPr>
          <w:i/>
        </w:rPr>
        <w:t xml:space="preserve">’</w:t>
      </w:r>
      <w:r>
        <w:t xml:space="preserve"> </w:t>
      </w:r>
      <w:r>
        <w:t xml:space="preserve">and</w:t>
      </w:r>
      <w:r>
        <w:t xml:space="preserve"> </w:t>
      </w:r>
      <w:r>
        <w:rPr>
          <w:i/>
        </w:rPr>
        <w:t xml:space="preserve">‘</w:t>
      </w:r>
      <w:r>
        <w:rPr>
          <w:i/>
        </w:rPr>
        <w:t xml:space="preserve">usable</w:t>
      </w:r>
      <w:r>
        <w:rPr>
          <w:i/>
        </w:rPr>
        <w:t xml:space="preserve">’</w:t>
      </w:r>
      <w:r>
        <w:t xml:space="preserve"> </w:t>
      </w:r>
      <w:r>
        <w:t xml:space="preserve">(spelt without an</w:t>
      </w:r>
      <w:r>
        <w:t xml:space="preserve"> </w:t>
      </w:r>
      <w:r>
        <w:t xml:space="preserve">‘</w:t>
      </w:r>
      <w:r>
        <w:t xml:space="preserve">e</w:t>
      </w:r>
      <w:r>
        <w:t xml:space="preserve">’</w:t>
      </w:r>
      <w:r>
        <w:t xml:space="preserve">) most commonly refer to a judgement of the degree to which a website or user interface is easy to use</w:t>
      </w:r>
      <w:r>
        <w:t xml:space="preserve"> </w:t>
      </w:r>
      <w:r>
        <w:t xml:space="preserve">(Nielsen,</w:t>
      </w:r>
      <w:r>
        <w:t xml:space="preserve"> </w:t>
      </w:r>
      <w:hyperlink w:anchor="ref-nielsen2012">
        <w:r>
          <w:rPr>
            <w:rStyle w:val="Hyperlink"/>
          </w:rPr>
          <w:t xml:space="preserve">2012</w:t>
        </w:r>
      </w:hyperlink>
      <w:r>
        <w:t xml:space="preserve">)</w:t>
      </w:r>
      <w:r>
        <w:t xml:space="preserve">. Throughout this thesis, I deliberately use the alternative word spellings of</w:t>
      </w:r>
      <w:r>
        <w:t xml:space="preserve"> </w:t>
      </w:r>
      <w:r>
        <w:rPr>
          <w:i/>
        </w:rPr>
        <w:t xml:space="preserve">‘</w:t>
      </w:r>
      <w:r>
        <w:rPr>
          <w:i/>
        </w:rPr>
        <w:t xml:space="preserve">useability</w:t>
      </w:r>
      <w:r>
        <w:rPr>
          <w:i/>
        </w:rPr>
        <w:t xml:space="preserve">’</w:t>
      </w:r>
      <w:r>
        <w:t xml:space="preserve"> </w:t>
      </w:r>
      <w:r>
        <w:t xml:space="preserve">and</w:t>
      </w:r>
      <w:r>
        <w:t xml:space="preserve"> </w:t>
      </w:r>
      <w:r>
        <w:rPr>
          <w:i/>
        </w:rPr>
        <w:t xml:space="preserve">‘</w:t>
      </w:r>
      <w:r>
        <w:rPr>
          <w:i/>
        </w:rPr>
        <w:t xml:space="preserve">useable</w:t>
      </w:r>
      <w:r>
        <w:rPr>
          <w:i/>
        </w:rPr>
        <w:t xml:space="preserve">’</w:t>
      </w:r>
      <w:r>
        <w:t xml:space="preserve"> </w:t>
      </w:r>
      <w:r>
        <w:t xml:space="preserve">(Collins English Dictionary,</w:t>
      </w:r>
      <w:r>
        <w:t xml:space="preserve"> </w:t>
      </w:r>
      <w:hyperlink w:anchor="ref-dictUseability">
        <w:r>
          <w:rPr>
            <w:rStyle w:val="Hyperlink"/>
          </w:rPr>
          <w:t xml:space="preserve">no date</w:t>
        </w:r>
      </w:hyperlink>
      <w:hyperlink w:anchor="ref-dictUseability">
        <w:r>
          <w:rPr>
            <w:rStyle w:val="Hyperlink"/>
          </w:rPr>
          <w:t xml:space="preserve"> </w:t>
        </w:r>
        <w:r>
          <w:rPr>
            <w:rStyle w:val="Hyperlink"/>
          </w:rPr>
          <w:t xml:space="preserve">a</w:t>
        </w:r>
      </w:hyperlink>
      <w:r>
        <w:t xml:space="preserve">,</w:t>
      </w:r>
      <w:r>
        <w:t xml:space="preserve"> </w:t>
      </w:r>
      <w:hyperlink w:anchor="ref-dictUseable">
        <w:r>
          <w:rPr>
            <w:rStyle w:val="Hyperlink"/>
          </w:rPr>
          <w:t xml:space="preserve">no date</w:t>
        </w:r>
      </w:hyperlink>
      <w:hyperlink w:anchor="ref-dictUseable">
        <w:r>
          <w:rPr>
            <w:rStyle w:val="Hyperlink"/>
          </w:rPr>
          <w:t xml:space="preserve"> </w:t>
        </w:r>
        <w:r>
          <w:rPr>
            <w:rStyle w:val="Hyperlink"/>
          </w:rPr>
          <w:t xml:space="preserve">b</w:t>
        </w:r>
      </w:hyperlink>
      <w:r>
        <w:t xml:space="preserve">)</w:t>
      </w:r>
      <w:r>
        <w:t xml:space="preserve"> </w:t>
      </w:r>
      <w:r>
        <w:t xml:space="preserve">respectively, to clearly distinguish from this ease-of-use concept and to denote that I am referring a different meaning: the more literal definition, i.e. </w:t>
      </w:r>
      <w:r>
        <w:rPr>
          <w:i/>
        </w:rPr>
        <w:t xml:space="preserve">“</w:t>
      </w:r>
      <w:r>
        <w:rPr>
          <w:i/>
        </w:rPr>
        <w:t xml:space="preserve">the quality or state of being convenient and practicable for use</w:t>
      </w:r>
      <w:r>
        <w:rPr>
          <w:i/>
        </w:rPr>
        <w:t xml:space="preserve">”</w:t>
      </w:r>
      <w:r>
        <w:t xml:space="preserve"> </w:t>
      </w:r>
      <w:r>
        <w:t xml:space="preserve">(Merriam-Webster Dictionary,</w:t>
      </w:r>
      <w:r>
        <w:t xml:space="preserve"> </w:t>
      </w:r>
      <w:hyperlink w:anchor="ref-dictUsability">
        <w:r>
          <w:rPr>
            <w:rStyle w:val="Hyperlink"/>
          </w:rPr>
          <w:t xml:space="preserve">no date</w:t>
        </w:r>
      </w:hyperlink>
      <w:hyperlink w:anchor="ref-dictUsability">
        <w:r>
          <w:rPr>
            <w:rStyle w:val="Hyperlink"/>
          </w:rPr>
          <w:t xml:space="preserve"> </w:t>
        </w:r>
        <w:r>
          <w:rPr>
            <w:rStyle w:val="Hyperlink"/>
          </w:rPr>
          <w:t xml:space="preserve">a</w:t>
        </w:r>
      </w:hyperlink>
      <w:r>
        <w:t xml:space="preserve">,</w:t>
      </w:r>
      <w:r>
        <w:t xml:space="preserve"> </w:t>
      </w:r>
      <w:hyperlink w:anchor="ref-dictUsable">
        <w:r>
          <w:rPr>
            <w:rStyle w:val="Hyperlink"/>
          </w:rPr>
          <w:t xml:space="preserve">no date</w:t>
        </w:r>
      </w:hyperlink>
      <w:hyperlink w:anchor="ref-dictUsable">
        <w:r>
          <w:rPr>
            <w:rStyle w:val="Hyperlink"/>
          </w:rPr>
          <w:t xml:space="preserve"> </w:t>
        </w:r>
        <w:r>
          <w:rPr>
            <w:rStyle w:val="Hyperlink"/>
          </w:rPr>
          <w:t xml:space="preserve">b</w:t>
        </w:r>
      </w:hyperlink>
      <w:r>
        <w:t xml:space="preserve">)</w:t>
      </w:r>
      <w:r>
        <w:t xml:space="preserve">. Any usages without an</w:t>
      </w:r>
      <w:r>
        <w:t xml:space="preserve"> </w:t>
      </w:r>
      <w:r>
        <w:t xml:space="preserve">‘</w:t>
      </w:r>
      <w:r>
        <w:t xml:space="preserve">e</w:t>
      </w:r>
      <w:r>
        <w:t xml:space="preserve">’</w:t>
      </w:r>
      <w:r>
        <w:t xml:space="preserve"> </w:t>
      </w:r>
      <w:r>
        <w:t xml:space="preserve">can be taken to refer to the interface ease-of-use concept.</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9" Target="media/rId29.jpg" /><Relationship Type="http://schemas.openxmlformats.org/officeDocument/2006/relationships/image" Id="rId35" Target="media/rId35.jpg" /><Relationship Type="http://schemas.openxmlformats.org/officeDocument/2006/relationships/hyperlink" Id="rId82" Target="http://www.theoryofchange.org/wp-content/uploads/toco_library/pdf/ToCBasics.pdf" TargetMode="External" /><Relationship Type="http://schemas.openxmlformats.org/officeDocument/2006/relationships/hyperlink" Id="rId64" Target="http://www3.weforum.org/docs/WEF_RethinkingPersonalData_ANewLens_Report_2014.pdf" TargetMode="External" /><Relationship Type="http://schemas.openxmlformats.org/officeDocument/2006/relationships/hyperlink" Id="rId70" Target="https://doi.org/10.1016/j.lisr.2008.07.001" TargetMode="External" /><Relationship Type="http://schemas.openxmlformats.org/officeDocument/2006/relationships/hyperlink" Id="rId66" Target="https://doi.org/10.1145/1125451.1125469" TargetMode="External" /><Relationship Type="http://schemas.openxmlformats.org/officeDocument/2006/relationships/hyperlink" Id="rId78" Target="https://doi.org/10.2139/ssrn.2508051" TargetMode="External" /><Relationship Type="http://schemas.openxmlformats.org/officeDocument/2006/relationships/hyperlink" Id="rId76" Target="https://doi.org/10.5210/fm.v17i5.4013" TargetMode="External" /><Relationship Type="http://schemas.openxmlformats.org/officeDocument/2006/relationships/hyperlink" Id="rId56" Target="https://eprints.ncl.ac.uk/273832#." TargetMode="External" /><Relationship Type="http://schemas.openxmlformats.org/officeDocument/2006/relationships/hyperlink" Id="rId68" Target="https://s3.amazonaws.com/academia.edu.documents/46870765/haystack.pdf" TargetMode="External" /><Relationship Type="http://schemas.openxmlformats.org/officeDocument/2006/relationships/hyperlink" Id="rId72" Target="https://www.merriam-webster.com/dictionary/usability" TargetMode="External" /><Relationship Type="http://schemas.openxmlformats.org/officeDocument/2006/relationships/hyperlink" Id="rId74" Target="https://www.merriam-webster.com/dictionary/usable" TargetMode="External" /><Relationship Type="http://schemas.openxmlformats.org/officeDocument/2006/relationships/hyperlink" Id="rId80" Target="https://www.nngroup.com/articles/usability-101-introduction-to-usability/" TargetMode="External" /><Relationship Type="http://schemas.openxmlformats.org/officeDocument/2006/relationships/hyperlink" Id="rId59" Target="https://www.thefreedictionary.com/useability" TargetMode="External" /><Relationship Type="http://schemas.openxmlformats.org/officeDocument/2006/relationships/hyperlink" Id="rId61" Target="https://www.thefreedictionary.com/useable" TargetMode="External" /></Relationships>
</file>

<file path=word/_rels/footnotes.xml.rels><?xml version="1.0" encoding="UTF-8"?>
<Relationships xmlns="http://schemas.openxmlformats.org/package/2006/relationships"><Relationship Type="http://schemas.openxmlformats.org/officeDocument/2006/relationships/hyperlink" Id="rId82" Target="http://www.theoryofchange.org/wp-content/uploads/toco_library/pdf/ToCBasics.pdf" TargetMode="External" /><Relationship Type="http://schemas.openxmlformats.org/officeDocument/2006/relationships/hyperlink" Id="rId64" Target="http://www3.weforum.org/docs/WEF_RethinkingPersonalData_ANewLens_Report_2014.pdf" TargetMode="External" /><Relationship Type="http://schemas.openxmlformats.org/officeDocument/2006/relationships/hyperlink" Id="rId70" Target="https://doi.org/10.1016/j.lisr.2008.07.001" TargetMode="External" /><Relationship Type="http://schemas.openxmlformats.org/officeDocument/2006/relationships/hyperlink" Id="rId66" Target="https://doi.org/10.1145/1125451.1125469" TargetMode="External" /><Relationship Type="http://schemas.openxmlformats.org/officeDocument/2006/relationships/hyperlink" Id="rId78" Target="https://doi.org/10.2139/ssrn.2508051" TargetMode="External" /><Relationship Type="http://schemas.openxmlformats.org/officeDocument/2006/relationships/hyperlink" Id="rId76" Target="https://doi.org/10.5210/fm.v17i5.4013" TargetMode="External" /><Relationship Type="http://schemas.openxmlformats.org/officeDocument/2006/relationships/hyperlink" Id="rId56" Target="https://eprints.ncl.ac.uk/273832#." TargetMode="External" /><Relationship Type="http://schemas.openxmlformats.org/officeDocument/2006/relationships/hyperlink" Id="rId68" Target="https://s3.amazonaws.com/academia.edu.documents/46870765/haystack.pdf" TargetMode="External" /><Relationship Type="http://schemas.openxmlformats.org/officeDocument/2006/relationships/hyperlink" Id="rId72" Target="https://www.merriam-webster.com/dictionary/usability" TargetMode="External" /><Relationship Type="http://schemas.openxmlformats.org/officeDocument/2006/relationships/hyperlink" Id="rId74" Target="https://www.merriam-webster.com/dictionary/usable" TargetMode="External" /><Relationship Type="http://schemas.openxmlformats.org/officeDocument/2006/relationships/hyperlink" Id="rId80" Target="https://www.nngroup.com/articles/usability-101-introduction-to-usability/" TargetMode="External" /><Relationship Type="http://schemas.openxmlformats.org/officeDocument/2006/relationships/hyperlink" Id="rId59" Target="https://www.thefreedictionary.com/useability" TargetMode="External" /><Relationship Type="http://schemas.openxmlformats.org/officeDocument/2006/relationships/hyperlink" Id="rId61" Target="https://www.thefreedictionary.com/use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2022-05-15T13:51:15Z</dcterms:created>
  <dcterms:modified xsi:type="dcterms:W3CDTF">2022-05-15T13:51:15Z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