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chapter-7"/>
    <w:p>
      <w:pPr>
        <w:pStyle w:val="Heading1"/>
      </w:pPr>
      <w:r>
        <w:rPr>
          <w:rStyle w:val="SectionNumber"/>
        </w:rPr>
        <w:t xml:space="preserve">1</w:t>
      </w:r>
      <w:r>
        <w:tab/>
      </w:r>
      <w:r>
        <w:t xml:space="preserve">Defining a New Research Agenda: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1" w:name="Xc8e800b130e88f8d15b2c092b8d2fd1e5eaa830"/>
    <w:p>
      <w:pPr>
        <w:pStyle w:val="Heading2"/>
      </w:pPr>
      <w:r>
        <w:rPr>
          <w:rStyle w:val="SectionNumber"/>
        </w:rPr>
        <w:t xml:space="preserve">1.1</w:t>
      </w:r>
      <w:r>
        <w:tab/>
      </w:r>
      <w:r>
        <w:t xml:space="preserve">Foundations for Practical Exploration of Data Wants</w:t>
      </w:r>
    </w:p>
    <w:p>
      <w:pPr>
        <w:pStyle w:val="FirstParagraph"/>
      </w:pPr>
      <w:r>
        <w:t xml:space="preserve">The participatory research track of this PhD research [</w:t>
      </w:r>
      <w:hyperlink w:anchor="X03a4300e5939d1d7fbfb90958aac5b413468ba3">
        <w:r>
          <w:rPr>
            <w:rStyle w:val="Hyperlink"/>
          </w:rPr>
          <w:t xml:space="preserve">3.2.2</w:t>
        </w:r>
      </w:hyperlink>
      <w:r>
        <w:t xml:space="preserve">], which has been the focus of the last three chapters of this thesis, sought to discover what people want from data, and from relations that involve or use their data. We now know, from findings common to both Case Studies,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 </w:t>
      </w:r>
      <w:r>
        <w:t xml:space="preserve">[</w:t>
      </w:r>
      <w:hyperlink w:anchor="chapter-6">
        <w:r>
          <w:rPr>
            <w:rStyle w:val="Hyperlink"/>
          </w:rPr>
          <w:t xml:space="preserve">Chapter 6</w:t>
        </w:r>
      </w:hyperlink>
      <w:r>
        <w:t xml:space="preserve">].</w:t>
      </w:r>
    </w:p>
    <w:p>
      <w:pPr>
        <w:pStyle w:val="BodyText"/>
      </w:pPr>
      <w:r>
        <w:t xml:space="preserve">It is clear, given the complex sociotechnical and power-imbalanced reality of today’s data-centric world [</w:t>
      </w:r>
      <w:hyperlink w:anchor="X2fecb37588747cdb8227230edc41ff2ca6557e1">
        <w:r>
          <w:rPr>
            <w:rStyle w:val="Hyperlink"/>
          </w:rPr>
          <w:t xml:space="preserve">2.1.2</w:t>
        </w:r>
      </w:hyperlink>
      <w:r>
        <w:t xml:space="preserve">;</w:t>
      </w:r>
      <w:r>
        <w:t xml:space="preserve"> </w:t>
      </w:r>
      <w:hyperlink w:anchor="Xcfe54f27289e2e996bf2e77df14202ff94111f9">
        <w:r>
          <w:rPr>
            <w:rStyle w:val="Hyperlink"/>
          </w:rPr>
          <w:t xml:space="preserve">2.3.3</w:t>
        </w:r>
      </w:hyperlink>
      <w:r>
        <w:t xml:space="preserve">], that if positive change towards these wants is to be pursued, there is more to understand. We need to learn how people can design pragmatic, viable approaches to effect change. There is an opportunity to move from qualitative research into activist research and adversarial design [</w:t>
      </w:r>
      <w:hyperlink w:anchor="X7ffd93865bc60f6431831db2605565dffbb7509">
        <w:r>
          <w:rPr>
            <w:rStyle w:val="Hyperlink"/>
          </w:rPr>
          <w:t xml:space="preserve">3.2</w:t>
        </w:r>
      </w:hyperlink>
      <w:r>
        <w:t xml:space="preserve">;</w:t>
      </w:r>
      <w:r>
        <w:t xml:space="preserve"> </w:t>
      </w:r>
      <w:r>
        <w:t xml:space="preserve">DiSalvo (</w:t>
      </w:r>
      <w:hyperlink w:anchor="ref-disalvo2012">
        <w:r>
          <w:rPr>
            <w:rStyle w:val="Hyperlink"/>
          </w:rPr>
          <w:t xml:space="preserve">2012</w:t>
        </w:r>
      </w:hyperlink>
      <w:r>
        <w:t xml:space="preserve">)</w:t>
      </w:r>
      <w:r>
        <w:t xml:space="preserve">]. This has been the focus of the parallel, embedded research track of this PhD—to go beyond the RQs [</w:t>
      </w:r>
      <w:hyperlink w:anchor="X0b07266f33ba3fed727bda8a88e096f809934b8">
        <w:r>
          <w:rPr>
            <w:rStyle w:val="Hyperlink"/>
          </w:rPr>
          <w:t xml:space="preserve">3.3.3</w:t>
        </w:r>
      </w:hyperlink>
      <w:r>
        <w:t xml:space="preserve">] and explore how people’s relationships with data might be changed in practice.</w:t>
      </w:r>
    </w:p>
    <w:p>
      <w:pPr>
        <w:pStyle w:val="BodyText"/>
      </w:pPr>
      <w:r>
        <w:t xml:space="preserve">The Case Studies prioritised a participatory and investigatory approach, but there is a need for specialist design innovation that cannot always arise from working with everyday users. The approach for this track, therefore, is more UCD than PD [</w:t>
      </w:r>
      <w:hyperlink w:anchor="X98d4ef3e7a6039ddbf0f888a2fd1c5243f7318b">
        <w:r>
          <w:rPr>
            <w:rStyle w:val="Hyperlink"/>
          </w:rPr>
          <w:t xml:space="preserve">3.2.1</w:t>
        </w:r>
      </w:hyperlink>
      <w:r>
        <w:t xml:space="preserve">]. The established findings become material for myself as an activist researcher and adversarial designer, informing ideas for technical and societal changes that can bring about better data relations. Bringing to bear my experience as a designer and software developer, I can advance the exploration of this problem space farther than a participatory researcher could. It has been my good fortune to have been embedded, over the duration of this PhD, in various research, design and development capacities, on four practical projects, that can be seen to relate very much to the pursuit of personal empowerment and human-centric data that I and the participants have envisaged.</w:t>
      </w:r>
    </w:p>
    <w:p>
      <w:pPr>
        <w:pStyle w:val="BodyText"/>
      </w:pPr>
      <w:r>
        <w:t xml:space="preserve">Before explaining the different projects undertaken (which will be done in</w:t>
      </w:r>
      <w:r>
        <w:t xml:space="preserve"> </w:t>
      </w:r>
      <w:hyperlink w:anchor="section-iv">
        <w:r>
          <w:rPr>
            <w:rStyle w:val="Hyperlink"/>
          </w:rPr>
          <w:t xml:space="preserve">Section IV</w:t>
        </w:r>
      </w:hyperlink>
      <w:r>
        <w:t xml:space="preserve">), it is important to establish a more precise framing for this track of the research. In short, the RQ for the practical track of the PhD can be considered as:</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When looking for an existing discipline around which to frame the exploration of this question, Mortier</w:t>
      </w:r>
      <w:r>
        <w:t xml:space="preserve"> </w:t>
      </w:r>
      <w:r>
        <w:t xml:space="preserve">et al.</w:t>
      </w:r>
      <w:r>
        <w:t xml:space="preserve">’s Human-Data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is an obvious place to start; its principles relate closely to the wants uncovered in Chapter 6:</w:t>
      </w:r>
    </w:p>
    <w:p>
      <w:pPr>
        <w:numPr>
          <w:ilvl w:val="0"/>
          <w:numId w:val="1001"/>
        </w:numPr>
        <w:pStyle w:val="Compact"/>
      </w:pPr>
      <w:r>
        <w:t xml:space="preserve">HDI’s</w:t>
      </w:r>
      <w:r>
        <w:t xml:space="preserve"> </w:t>
      </w:r>
      <w:r>
        <w:rPr>
          <w:iCs/>
          <w:i/>
        </w:rPr>
        <w:t xml:space="preserve">legibility</w:t>
      </w:r>
      <w:r>
        <w:t xml:space="preserve"> </w:t>
      </w:r>
      <w:r>
        <w:t xml:space="preserve">is very similar to the want for</w:t>
      </w:r>
      <w:r>
        <w:t xml:space="preserve"> </w:t>
      </w:r>
      <w:r>
        <w:rPr>
          <w:iCs/>
          <w:i/>
        </w:rPr>
        <w:t xml:space="preserve">understandable data</w:t>
      </w:r>
      <w:r>
        <w:t xml:space="preserve">, and in part highlights the want for</w:t>
      </w:r>
      <w:r>
        <w:t xml:space="preserve"> </w:t>
      </w:r>
      <w:r>
        <w:rPr>
          <w:iCs/>
          <w:i/>
        </w:rPr>
        <w:t xml:space="preserve">process transparency</w:t>
      </w:r>
      <w:r>
        <w:t xml:space="preserve">.</w:t>
      </w:r>
    </w:p>
    <w:p>
      <w:pPr>
        <w:numPr>
          <w:ilvl w:val="0"/>
          <w:numId w:val="1001"/>
        </w:numPr>
        <w:pStyle w:val="Compact"/>
      </w:pPr>
      <w:r>
        <w:t xml:space="preserve">HDI’s</w:t>
      </w:r>
      <w:r>
        <w:t xml:space="preserve"> </w:t>
      </w:r>
      <w:r>
        <w:rPr>
          <w:iCs/>
          <w:i/>
        </w:rPr>
        <w:t xml:space="preserve">negotiability</w:t>
      </w:r>
      <w:r>
        <w:t xml:space="preserve"> </w:t>
      </w:r>
      <w:r>
        <w:t xml:space="preserve">could be seen to imply both the want for</w:t>
      </w:r>
      <w:r>
        <w:t xml:space="preserve"> </w:t>
      </w:r>
      <w:r>
        <w:rPr>
          <w:iCs/>
          <w:i/>
        </w:rPr>
        <w:t xml:space="preserve">individual oversight</w:t>
      </w:r>
      <w:r>
        <w:t xml:space="preserve"> </w:t>
      </w:r>
      <w:r>
        <w:t xml:space="preserve">and</w:t>
      </w:r>
      <w:r>
        <w:t xml:space="preserve"> </w:t>
      </w:r>
      <w:r>
        <w:rPr>
          <w:iCs/>
          <w:i/>
        </w:rPr>
        <w:t xml:space="preserve">decision making involvement</w:t>
      </w:r>
      <w:r>
        <w:t xml:space="preserve">.</w:t>
      </w:r>
    </w:p>
    <w:p>
      <w:pPr>
        <w:numPr>
          <w:ilvl w:val="0"/>
          <w:numId w:val="1001"/>
        </w:numPr>
        <w:pStyle w:val="Compact"/>
      </w:pPr>
      <w:r>
        <w:t xml:space="preserve">Along with that want for involvement, the want for</w:t>
      </w:r>
      <w:r>
        <w:t xml:space="preserve"> </w:t>
      </w:r>
      <w:r>
        <w:rPr>
          <w:iCs/>
          <w:i/>
        </w:rPr>
        <w:t xml:space="preserve">useable data</w:t>
      </w:r>
      <w:r>
        <w:t xml:space="preserve"> </w:t>
      </w:r>
      <w:r>
        <w:t xml:space="preserve">could also be mapped onto HDI’s concept of</w:t>
      </w:r>
      <w:r>
        <w:t xml:space="preserve"> </w:t>
      </w:r>
      <w:r>
        <w:rPr>
          <w:iCs/>
          <w:i/>
        </w:rPr>
        <w:t xml:space="preserve">agency</w:t>
      </w:r>
      <w:r>
        <w:t xml:space="preserve"> </w:t>
      </w:r>
      <w:r>
        <w:t xml:space="preserve">(and to Gurstein’s</w:t>
      </w:r>
      <w:r>
        <w:t xml:space="preserve"> </w:t>
      </w:r>
      <w:r>
        <w:rPr>
          <w:iCs/>
          <w:i/>
        </w:rPr>
        <w:t xml:space="preserve">effective access</w:t>
      </w:r>
      <w:r>
        <w:t xml:space="preserve"> </w:t>
      </w:r>
      <w:r>
        <w:t xml:space="preserve">as well).</w:t>
      </w:r>
    </w:p>
    <w:p>
      <w:pPr>
        <w:pStyle w:val="FirstParagraph"/>
      </w:pPr>
      <w:r>
        <w:t xml:space="preserve">While HDI is clearly a foundational school of thought that underpins this work [</w:t>
      </w:r>
      <w:hyperlink w:anchor="X83b2e9f55420fa41efd48e4a45103566c9e4767">
        <w:r>
          <w:rPr>
            <w:rStyle w:val="Hyperlink"/>
          </w:rPr>
          <w:t xml:space="preserve">2.3.2</w:t>
        </w:r>
      </w:hyperlink>
      <w:r>
        <w:t xml:space="preserve">] and aligns with its findings about what people need from data, its value in finding out how we might pursue those goals is limited. To explain why this is the case, it is useful to consider again the perspective of information theory introduced in 2.1.1, specifically the difference between data and information.</w:t>
      </w:r>
    </w:p>
    <w:p>
      <w:pPr>
        <w:pStyle w:val="BodyText"/>
      </w:pPr>
      <w:r>
        <w:t xml:space="preserve">HDI focuses on the way people interact with data, in a very general sense. Mortier</w:t>
      </w:r>
      <w:r>
        <w:t xml:space="preserve"> </w:t>
      </w:r>
      <w:r>
        <w:rPr>
          <w:iCs/>
          <w:i/>
        </w:rPr>
        <w:t xml:space="preserve">et al.</w:t>
      </w:r>
      <w:r>
        <w:t xml:space="preserve"> </w:t>
      </w:r>
      <w:r>
        <w:t xml:space="preserve">defined the field of HDI without making the important distinction between data (the digital artefact stored on computer) and information (the facts or assertions available by interpreting that data, or facts about the artefact of data), and their conception of data interaction seems to encompass both. This was a significant oversight. As further evidence for the importance of making that distinction, it should be noted that</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Coincidentally, Jones</w:t>
      </w:r>
      <w:r>
        <w:t xml:space="preserve"> </w:t>
      </w:r>
      <w:r>
        <w:rPr>
          <w:iCs/>
          <w:i/>
        </w:rPr>
        <w:t xml:space="preserve">et al.</w:t>
      </w:r>
      <w:r>
        <w:t xml:space="preserve"> </w:t>
      </w:r>
      <w:r>
        <w:t xml:space="preserve">had around the same time called for a new sub-field of HII in an HCI context</w:t>
      </w:r>
      <w:r>
        <w:rPr>
          <w:rStyle w:val="FootnoteReference"/>
        </w:rPr>
        <w:footnoteReference w:id="20"/>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53e307231acdff3f38f8ee491635458d85a7cb">
        <w:r>
          <w:rPr>
            <w:rStyle w:val="Hyperlink"/>
          </w:rPr>
          <w:t xml:space="preserve">5.5.4.2</w:t>
        </w:r>
      </w:hyperlink>
      <w:r>
        <w:t xml:space="preserve">]. Access to data</w:t>
      </w:r>
      <w:r>
        <w:t xml:space="preserve"> </w:t>
      </w:r>
      <w:r>
        <w:rPr>
          <w:iCs/>
          <w:i/>
        </w:rPr>
        <w:t xml:space="preserve">and</w:t>
      </w:r>
      <w:r>
        <w:t xml:space="preserve"> </w:t>
      </w:r>
      <w:r>
        <w:t xml:space="preserve">information is critical to both understanding and useability</w:t>
      </w:r>
      <w:hyperlink w:anchor="fn11">
        <w:r>
          <w:rPr>
            <w:rStyle w:val="Hyperlink"/>
          </w:rPr>
          <w:t xml:space="preserve">11</w:t>
        </w:r>
      </w:hyperlink>
      <w:r>
        <w:t xml:space="preserve"> </w:t>
      </w:r>
      <w:r>
        <w:t xml:space="preserve">[</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with consideration to these findings allows the identification of three distinct things that people can have relations with:</w:t>
      </w:r>
    </w:p>
    <w:p>
      <w:pPr>
        <w:numPr>
          <w:ilvl w:val="0"/>
          <w:numId w:val="1002"/>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2"/>
        </w:numPr>
        <w:pStyle w:val="Compact"/>
      </w:pPr>
      <w:r>
        <w:rPr>
          <w:bCs/>
          <w:b/>
        </w:rPr>
        <w:t xml:space="preserve">information about individuals</w:t>
      </w:r>
      <w:r>
        <w:t xml:space="preserve"> </w:t>
      </w:r>
      <w:r>
        <w:t xml:space="preserve">(which I will call</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2"/>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f019608acb19092704e77b812587f75a4baed71">
        <w:r>
          <w:rPr>
            <w:rStyle w:val="Hyperlink"/>
          </w:rPr>
          <w:t xml:space="preserve">5.4.1</w:t>
        </w:r>
      </w:hyperlink>
      <w:r>
        <w:t xml:space="preserve">] or what I will call</w:t>
      </w:r>
      <w:r>
        <w:t xml:space="preserve"> </w:t>
      </w:r>
      <w:r>
        <w:rPr>
          <w:iCs/>
          <w:i/>
        </w:rPr>
        <w:t xml:space="preserve">ecosystem information</w:t>
      </w:r>
      <w:r>
        <w:t xml:space="preserve">) - stored facts about data, such as storage location, access history, means of collection, contextual meaning, or sharing records.</w:t>
      </w:r>
    </w:p>
    <w:p>
      <w:pPr>
        <w:pStyle w:val="FirstParagraph"/>
      </w:pPr>
      <w:r>
        <w:t xml:space="preserve">These new terms introduced here of</w:t>
      </w:r>
      <w:r>
        <w:t xml:space="preserve"> </w:t>
      </w:r>
      <w:r>
        <w:rPr>
          <w:iCs/>
          <w:i/>
        </w:rPr>
        <w:t xml:space="preserve">life information</w:t>
      </w:r>
      <w:r>
        <w:t xml:space="preserve"> </w:t>
      </w:r>
      <w:r>
        <w:t xml:space="preserve">(information within the data, that says something about the individual) and</w:t>
      </w:r>
      <w:r>
        <w:t xml:space="preserve"> </w:t>
      </w:r>
      <w:r>
        <w:rPr>
          <w:iCs/>
          <w:i/>
        </w:rPr>
        <w:t xml:space="preserve">ecoystem information</w:t>
      </w:r>
      <w:r>
        <w:t xml:space="preserve"> </w:t>
      </w:r>
      <w:r>
        <w:t xml:space="preserve">(information</w:t>
      </w:r>
      <w:r>
        <w:t xml:space="preserve"> </w:t>
      </w:r>
      <w:r>
        <w:rPr>
          <w:iCs/>
          <w:i/>
        </w:rPr>
        <w:t xml:space="preserve">about</w:t>
      </w:r>
      <w:r>
        <w:t xml:space="preserve"> </w:t>
      </w:r>
      <w:r>
        <w:t xml:space="preserve">the data, where it is held and how it is used) are critical to the subsequent sections of this thesis, as each must be considered separately. These concepts are unpacked more in [ADD FORWARD REF].</w:t>
      </w:r>
    </w:p>
    <w:p>
      <w:pPr>
        <w:pStyle w:val="BodyText"/>
      </w:pPr>
      <w:r>
        <w:t xml:space="preserve">By differentiating and highlighting the different wants around these concepts, this thesis enriches existing understandings of HDI. There is however another aspect of HDI that makes it insufficient for our needs: it offers understanding of the problems of today’s data relations, but it does not go far enough in exploring, accepting and confronting the real-world barriers to agency, legibility and negotiability that exist. A number of researchers within the HDI field have identified the need to develop HDI into something broader: Crabtree and Mortier wrote about the need to examine HDI in a relational sense in 2015</w:t>
      </w:r>
      <w:r>
        <w:t xml:space="preserve"> </w:t>
      </w:r>
      <w:r>
        <w:t xml:space="preserve">(</w:t>
      </w:r>
      <w:hyperlink w:anchor="ref-crabtree2015">
        <w:r>
          <w:rPr>
            <w:rStyle w:val="Hyperlink"/>
          </w:rPr>
          <w:t xml:space="preserve">Crabtree and Mortier, 2015</w:t>
        </w:r>
      </w:hyperlink>
      <w:r>
        <w:t xml:space="preserve">)</w:t>
      </w:r>
      <w:r>
        <w:t xml:space="preserve">, and in 2016 identified the need to examine the issues of diminishing user control as being worthy of multidisciplinary study</w:t>
      </w:r>
      <w:r>
        <w:t xml:space="preserve"> </w:t>
      </w:r>
      <w:r>
        <w:t xml:space="preserve">(</w:t>
      </w:r>
      <w:hyperlink w:anchor="ref-crabtree2016">
        <w:r>
          <w:rPr>
            <w:rStyle w:val="Hyperlink"/>
          </w:rPr>
          <w:t xml:space="preserve">Crabtree and Mortier, 2016</w:t>
        </w:r>
      </w:hyperlink>
      <w:r>
        <w:t xml:space="preserve">)</w:t>
      </w:r>
      <w:r>
        <w:t xml:space="preserve">. Deborah Lupton acknowledges the social entangled nature of personal data in</w:t>
      </w:r>
      <w:r>
        <w:t xml:space="preserve"> </w:t>
      </w:r>
      <w:r>
        <w:t xml:space="preserve">(</w:t>
      </w:r>
      <w:hyperlink w:anchor="ref-lupton2016">
        <w:r>
          <w:rPr>
            <w:rStyle w:val="Hyperlink"/>
          </w:rPr>
          <w:t xml:space="preserve">Lupton, 2016</w:t>
        </w:r>
      </w:hyperlink>
      <w:r>
        <w:t xml:space="preserve">)</w:t>
      </w:r>
      <w:r>
        <w:t xml:space="preserve"> </w:t>
      </w:r>
      <w:r>
        <w:t xml:space="preserve">which begins to explore HDI more through a societal lens</w:t>
      </w:r>
      <w:r>
        <w:t xml:space="preserve"> </w:t>
      </w:r>
      <w:r>
        <w:t xml:space="preserve">(</w:t>
      </w:r>
      <w:hyperlink w:anchor="ref-lupton2016">
        <w:r>
          <w:rPr>
            <w:rStyle w:val="Hyperlink"/>
          </w:rPr>
          <w:t xml:space="preserve">Lupton, 2016</w:t>
        </w:r>
      </w:hyperlink>
      <w:r>
        <w:t xml:space="preserve">)</w:t>
      </w:r>
      <w:r>
        <w:t xml:space="preserve">. Sailaja</w:t>
      </w:r>
      <w:r>
        <w:t xml:space="preserve"> </w:t>
      </w:r>
      <w:r>
        <w:rPr>
          <w:iCs/>
          <w:i/>
        </w:rPr>
        <w:t xml:space="preserve">et al.</w:t>
      </w:r>
      <w:r>
        <w:t xml:space="preserve"> </w:t>
      </w:r>
      <w:r>
        <w:t xml:space="preserve">outlined the need to embrace HDI from a practical and grounded designerly stance, asserting that</w:t>
      </w:r>
      <w:r>
        <w:t xml:space="preserve"> </w:t>
      </w:r>
      <w:r>
        <w:rPr>
          <w:iCs/>
          <w:i/>
        </w:rPr>
        <w:t xml:space="preserve">“</w:t>
      </w:r>
      <w:r>
        <w:rPr>
          <w:iCs/>
          <w:i/>
        </w:rPr>
        <w:t xml:space="preserve">the emergent nature of [HDI] calls for refinement of the theoretical tenets [of legibility, agency and negotiability] to help them translate into practical and tangible responses that are embedded in the technologies we create</w:t>
      </w:r>
      <w:r>
        <w:rPr>
          <w:iCs/>
          <w:i/>
        </w:rPr>
        <w:t xml:space="preserve">”</w:t>
      </w:r>
      <w:r>
        <w:t xml:space="preserve"> </w:t>
      </w:r>
      <w:r>
        <w:t xml:space="preserve">(</w:t>
      </w:r>
      <w:hyperlink w:anchor="ref-sailaja2021workshop">
        <w:r>
          <w:rPr>
            <w:rStyle w:val="Hyperlink"/>
          </w:rPr>
          <w:t xml:space="preserve">Sailaja</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pStyle w:val="BodyText"/>
      </w:pPr>
      <w:r>
        <w:t xml:space="preserve">As a response to and a formalisation of these calls to extend HDI, this thesis proposes a new research agenda to elevate HDI to the sociotechnical level. From the individual data needs of HDI and of the Case Studies it defines a clear, actionable model against which efforts to operationalise HDI and other data wants can be aligned. It advances the field of HDI to the sociotechnical level, by providing a framing that embraces and confronts the practical realities of pursuing better data interaction capabilities and better relationships that involve data. This new research agenda is named</w:t>
      </w:r>
      <w:r>
        <w:t xml:space="preserve"> </w:t>
      </w:r>
      <w:r>
        <w:rPr>
          <w:iCs/>
          <w:i/>
        </w:rPr>
        <w:t xml:space="preserve">Human Data Relations (HDR)</w:t>
      </w:r>
      <w:r>
        <w:t xml:space="preserve"> </w:t>
      </w:r>
      <w:r>
        <w:t xml:space="preserve">and is explained below.</w:t>
      </w:r>
    </w:p>
    <w:bookmarkEnd w:id="21"/>
    <w:bookmarkStart w:id="22" w:name="Xd90f00e19f5543904caf9ab2abd5b800e0613c0"/>
    <w:p>
      <w:pPr>
        <w:pStyle w:val="Heading2"/>
      </w:pPr>
      <w:r>
        <w:rPr>
          <w:rStyle w:val="SectionNumber"/>
        </w:rPr>
        <w:t xml:space="preserve">1.2</w:t>
      </w:r>
      <w:r>
        <w:tab/>
      </w:r>
      <w:r>
        <w:t xml:space="preserve">‘</w:t>
      </w:r>
      <w:r>
        <w:t xml:space="preserve">Human Data Relations</w:t>
      </w:r>
      <w:r>
        <w:t xml:space="preserve">’</w:t>
      </w:r>
      <w:r>
        <w:t xml:space="preserve">: A Definition</w:t>
      </w:r>
    </w:p>
    <w:p>
      <w:pPr>
        <w:pStyle w:val="FirstParagraph"/>
      </w:pPr>
      <w:r>
        <w:t xml:space="preserve">The section above shows there is a need to distinguish this wider focus from HDI as conceived such that design and research work can be appropriately focused. The world of humans and machines can in effect be designed for at three levels, each with a broader and more human focus than the last:</w:t>
      </w:r>
    </w:p>
    <w:p>
      <w:pPr>
        <w:numPr>
          <w:ilvl w:val="0"/>
          <w:numId w:val="1003"/>
        </w:numPr>
        <w:pStyle w:val="Compact"/>
      </w:pPr>
      <w:r>
        <w:rPr>
          <w:iCs/>
          <w:i/>
        </w:rPr>
        <w:t xml:space="preserve">Human-Computer Interaction (HCI)</w:t>
      </w:r>
      <w:r>
        <w:t xml:space="preserve"> </w:t>
      </w:r>
      <w:r>
        <w:t xml:space="preserve">focuses on the interaction between people and machines.</w:t>
      </w:r>
    </w:p>
    <w:p>
      <w:pPr>
        <w:numPr>
          <w:ilvl w:val="0"/>
          <w:numId w:val="1003"/>
        </w:numPr>
        <w:pStyle w:val="Compact"/>
      </w:pPr>
      <w:r>
        <w:rPr>
          <w:iCs/>
          <w:i/>
        </w:rPr>
        <w:t xml:space="preserve">Human-Data Interaction (HDI)</w:t>
      </w:r>
      <w:r>
        <w:t xml:space="preserve"> </w:t>
      </w:r>
      <w:r>
        <w:t xml:space="preserve">focuses on the interaction between people and the data stored within those machines.</w:t>
      </w:r>
    </w:p>
    <w:p>
      <w:pPr>
        <w:numPr>
          <w:ilvl w:val="0"/>
          <w:numId w:val="1003"/>
        </w:numPr>
        <w:pStyle w:val="Compact"/>
      </w:pPr>
      <w:r>
        <w:rPr>
          <w:iCs/>
          <w:i/>
        </w:rPr>
        <w:t xml:space="preserve">Human Data Relations (HDR)</w:t>
      </w:r>
      <w:r>
        <w:t xml:space="preserve"> </w:t>
      </w:r>
      <w:r>
        <w:t xml:space="preserve">focuses on the</w:t>
      </w:r>
      <w:r>
        <w:t xml:space="preserve"> </w:t>
      </w:r>
      <w:r>
        <w:rPr>
          <w:iCs/>
          <w:i/>
        </w:rPr>
        <w:t xml:space="preserve">relationships</w:t>
      </w:r>
      <w:r>
        <w:t xml:space="preserve"> </w:t>
      </w:r>
      <w:r>
        <w:t xml:space="preserve">that people have with data and the relationships people have with those who hold data about them.</w:t>
      </w:r>
    </w:p>
    <w:p>
      <w:pPr>
        <w:pStyle w:val="FirstParagraph"/>
      </w:pPr>
      <w:r>
        <w:t xml:space="preserve">Building upon HDI but embracing the sociotechnical, HDR encompasses all the ways people and organisations can and should relate to and through data, not just direct data interaction. Through its greater focus on relationships and ecosystems, and approaches that address today’s data-centric power-imbalanced reality, it offers a more actionable research agenda for the world of the 2020s. This different focus also highlights why HDI cannot just be expanded by adding new tenets; the tenets are quite similar to the data wants identified in this thesis, but the lens through which we view them is different, being as it is more practical and more sociotechnical. This makes HDR something fundamentally different than HDI, and justifies the expression of a new named research agenda.</w:t>
      </w:r>
    </w:p>
    <w:p>
      <w:pPr>
        <w:pStyle w:val="BodyText"/>
      </w:pPr>
      <w:r>
        <w:t xml:space="preserve">In naming this new research agenda,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minor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w:t>
      </w:r>
      <w:r>
        <w:t xml:space="preserve">were repurposed, to produce the name of</w:t>
      </w:r>
      <w:r>
        <w:t xml:space="preserve"> </w:t>
      </w:r>
      <w:r>
        <w:rPr>
          <w:bCs/>
          <w:b/>
        </w:rPr>
        <w:t xml:space="preserve">Human Data Relations</w:t>
      </w:r>
      <w:r>
        <w:t xml:space="preserve"> </w:t>
      </w:r>
      <w:r>
        <w:t xml:space="preserve">(without a hyphen), or</w:t>
      </w:r>
      <w:r>
        <w:t xml:space="preserve"> </w:t>
      </w:r>
      <w:r>
        <w:rPr>
          <w:bCs/>
          <w:b/>
        </w:rPr>
        <w:t xml:space="preserve">HDR</w:t>
      </w:r>
      <w:r>
        <w:t xml:space="preserve"> </w:t>
      </w:r>
      <w:r>
        <w:t xml:space="preserve">for short.</w:t>
      </w:r>
    </w:p>
    <w:p>
      <w:pPr>
        <w:pStyle w:val="BodyText"/>
      </w:pPr>
      <w:r>
        <w:t xml:space="preserve">HDR’s definition draws upon three distinct connotations or readings of its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research agenda for better data relations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relationships with data, interacting with it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fd5e5d395c7cb4645820b58e23fdf6fe34349ab">
              <w:r>
                <w:rPr>
                  <w:rStyle w:val="Hyperlink"/>
                </w:rPr>
                <w:t xml:space="preserve">4.5.1</w:t>
              </w:r>
            </w:hyperlink>
            <w:r>
              <w:t xml:space="preserve">;</w:t>
            </w:r>
            <w:r>
              <w:t xml:space="preserve"> </w:t>
            </w:r>
            <w:hyperlink w:anchor="X50cfb66b1912fccfdb12a41362d2393042887e5">
              <w:r>
                <w:rPr>
                  <w:rStyle w:val="Hyperlink"/>
                </w:rPr>
                <w:t xml:space="preserve">5.6.2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HDR uses the concept of</w:t>
      </w:r>
      <w:r>
        <w:t xml:space="preserve"> </w:t>
      </w:r>
      <w:r>
        <w:t xml:space="preserve">‘</w:t>
      </w:r>
      <w:r>
        <w:t xml:space="preserve">relations</w:t>
      </w:r>
      <w:r>
        <w:t xml:space="preserve">’</w:t>
      </w:r>
      <w:r>
        <w:t xml:space="preserve"> </w:t>
      </w:r>
      <w:r>
        <w:t xml:space="preserve">in a similar sense to that described by Peter-Paul Verbeek, who in his 2015 interactions article unpacks the complexities of designing</w:t>
      </w:r>
      <w:r>
        <w:t xml:space="preserve"> </w:t>
      </w:r>
      <w:r>
        <w:rPr>
          <w:iCs/>
          <w:i/>
        </w:rPr>
        <w:t xml:space="preserve">‘</w:t>
      </w:r>
      <w:r>
        <w:rPr>
          <w:iCs/>
          <w:i/>
        </w:rPr>
        <w:t xml:space="preserve">not only the design of technological objects that allow for specific interactions, but also the design of the human subjects who interact with these objects</w:t>
      </w:r>
      <w:r>
        <w:rPr>
          <w:iCs/>
          <w:i/>
        </w:rPr>
        <w:t xml:space="preserve">’</w:t>
      </w:r>
      <w:r>
        <w:t xml:space="preserve">. He highlights three approaches to considering human-technology relations–where technology functions as</w:t>
      </w:r>
      <w:r>
        <w:t xml:space="preserve"> </w:t>
      </w:r>
      <w:r>
        <w:rPr>
          <w:iCs/>
          <w:i/>
        </w:rPr>
        <w:t xml:space="preserve">extensions</w:t>
      </w:r>
      <w:r>
        <w:t xml:space="preserve"> </w:t>
      </w:r>
      <w:r>
        <w:t xml:space="preserve">of the human, as</w:t>
      </w:r>
      <w:r>
        <w:t xml:space="preserve"> </w:t>
      </w:r>
      <w:r>
        <w:rPr>
          <w:iCs/>
          <w:i/>
        </w:rPr>
        <w:t xml:space="preserve">dialectical</w:t>
      </w:r>
      <w:r>
        <w:t xml:space="preserve"> </w:t>
      </w:r>
      <w:r>
        <w:t xml:space="preserve">constructs that can oppose us and give us a relation to ourselves, and where human and technology function in the worl in</w:t>
      </w:r>
      <w:r>
        <w:t xml:space="preserve"> </w:t>
      </w:r>
      <w:r>
        <w:rPr>
          <w:iCs/>
          <w:i/>
        </w:rPr>
        <w:t xml:space="preserve">hybrid</w:t>
      </w:r>
      <w:r>
        <w:t xml:space="preserve"> </w:t>
      </w:r>
      <w:r>
        <w:t xml:space="preserve">fashion. He further breaks down the different aspects of relations including</w:t>
      </w:r>
      <w:r>
        <w:t xml:space="preserve"> </w:t>
      </w:r>
      <w:r>
        <w:rPr>
          <w:iCs/>
          <w:i/>
        </w:rPr>
        <w:t xml:space="preserve">types</w:t>
      </w:r>
      <w:r>
        <w:t xml:space="preserve">,</w:t>
      </w:r>
      <w:r>
        <w:t xml:space="preserve"> </w:t>
      </w:r>
      <w:r>
        <w:rPr>
          <w:iCs/>
          <w:i/>
        </w:rPr>
        <w:t xml:space="preserve">points of contact</w:t>
      </w:r>
      <w:r>
        <w:t xml:space="preserve">,</w:t>
      </w:r>
      <w:r>
        <w:t xml:space="preserve"> </w:t>
      </w:r>
      <w:r>
        <w:rPr>
          <w:iCs/>
          <w:i/>
        </w:rPr>
        <w:t xml:space="preserve">influences</w:t>
      </w:r>
      <w:r>
        <w:t xml:space="preserve"> </w:t>
      </w:r>
      <w:r>
        <w:t xml:space="preserve">and</w:t>
      </w:r>
      <w:r>
        <w:t xml:space="preserve"> </w:t>
      </w:r>
      <w:r>
        <w:rPr>
          <w:iCs/>
          <w:i/>
        </w:rPr>
        <w:t xml:space="preserve">mediation</w:t>
      </w:r>
      <w:r>
        <w:t xml:space="preserve">. Such detailed analysis of relations is more granular than this thesis will go into, but this framing could be useful to practitioners wishing to undertake a structured exploration of the ideas of this thesis.</w:t>
      </w:r>
    </w:p>
    <w:p>
      <w:pPr>
        <w:pStyle w:val="BodyText"/>
      </w:pPr>
      <w:r>
        <w:t xml:space="preserve">Having scoped HDR through the definition above,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the next section will explain, HDR is motivated in two distinct ways, to which those wants apply differently. As background understanding, let us examine more closely what role data plays in people’s lives.</w:t>
      </w:r>
    </w:p>
    <w:bookmarkEnd w:id="22"/>
    <w:bookmarkStart w:id="23" w:name="X96c51c3d98f021d42ee8c458ed421add6b4adde"/>
    <w:p>
      <w:pPr>
        <w:pStyle w:val="Heading2"/>
      </w:pPr>
      <w:r>
        <w:rPr>
          <w:rStyle w:val="SectionNumber"/>
        </w:rPr>
        <w:t xml:space="preserve">1.3</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This research has identified eight distinct lenses to explain how people might relate to data—including as property, as memory and as creative work. These are modelled in</w:t>
      </w:r>
      <w:r>
        <w:t xml:space="preserve"> </w:t>
      </w:r>
      <w:hyperlink w:anchor="table-7.1">
        <w:r>
          <w:rPr>
            <w:rStyle w:val="Hyperlink"/>
          </w:rPr>
          <w:t xml:space="preserve">Table 7.1</w:t>
        </w:r>
      </w:hyperlink>
      <w:r>
        <w:t xml:space="preserve">.</w:t>
      </w:r>
    </w:p>
    <w:p>
      <w:pPr>
        <w:pStyle w:val="TableCaption"/>
      </w:pPr>
      <w:r>
        <w:t xml:space="preserve">Table 7.1 - Eight Lenses on Personal Data.</w:t>
      </w:r>
    </w:p>
    <w:tbl>
      <w:tblPr>
        <w:tblStyle w:val="Table"/>
        <w:tblW w:type="pct" w:w="5000"/>
        <w:tblLook w:firstRow="1" w:lastRow="0" w:firstColumn="0" w:lastColumn="0" w:noHBand="0" w:noVBand="0" w:val="0020"/>
        <w:jc w:val="start"/>
        <w:tblCaption w:val="Table 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there are four specific</w:t>
      </w:r>
      <w:r>
        <w:t xml:space="preserve"> </w:t>
      </w:r>
      <w:r>
        <w:rPr>
          <w:iCs/>
          <w:i/>
        </w:rPr>
        <w:t xml:space="preserve">roles</w:t>
      </w:r>
      <w:r>
        <w:t xml:space="preserve"> </w:t>
      </w:r>
      <w:r>
        <w:t xml:space="preserve">that data can serve:</w:t>
      </w:r>
    </w:p>
    <w:p>
      <w:pPr>
        <w:numPr>
          <w:ilvl w:val="0"/>
          <w:numId w:val="1004"/>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4"/>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4"/>
        </w:numPr>
        <w:pStyle w:val="Compact"/>
      </w:pPr>
      <w:r>
        <w:t xml:space="preserve">Data has a role as</w:t>
      </w:r>
      <w:r>
        <w:t xml:space="preserve"> </w:t>
      </w:r>
      <w:r>
        <w:rPr>
          <w:bCs/>
          <w:b/>
        </w:rPr>
        <w:t xml:space="preserve">a useable</w:t>
      </w:r>
      <w:hyperlink w:anchor="fn11">
        <w:r>
          <w:rPr>
            <w:rStyle w:val="Hyperlink"/>
            <w:bCs/>
            <w:b/>
          </w:rPr>
          <w:t xml:space="preserve">11</w:t>
        </w:r>
      </w:hyperlink>
      <w:r>
        <w:rPr>
          <w:bCs/>
          <w:b/>
        </w:rPr>
        <w:t xml:space="preserve"> </w:t>
      </w:r>
      <w:r>
        <w:rPr>
          <w:bCs/>
          <w:b/>
        </w:rPr>
        <w:t xml:space="preserve">material with which to effect change</w:t>
      </w:r>
      <w:r>
        <w:t xml:space="preserve"> </w:t>
      </w:r>
      <w:r>
        <w:t xml:space="preserve">in your life;</w:t>
      </w:r>
    </w:p>
    <w:p>
      <w:pPr>
        <w:numPr>
          <w:ilvl w:val="0"/>
          <w:numId w:val="1004"/>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31" w:name="X40141584308035bb03b454584dbe23925c8bab3"/>
    <w:p>
      <w:pPr>
        <w:pStyle w:val="Heading2"/>
      </w:pPr>
      <w:r>
        <w:rPr>
          <w:rStyle w:val="SectionNumber"/>
        </w:rPr>
        <w:t xml:space="preserve">1.4</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5"/>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This will be called</w:t>
      </w:r>
      <w:r>
        <w:t xml:space="preserve"> </w:t>
      </w:r>
      <w:r>
        <w:rPr>
          <w:bCs/>
          <w:b/>
        </w:rPr>
        <w:t xml:space="preserve">Personal Data Ecosystem Control (PDEC)</w:t>
      </w:r>
      <w:r>
        <w:t xml:space="preserve">.</w:t>
      </w:r>
    </w:p>
    <w:p>
      <w:pPr>
        <w:numPr>
          <w:ilvl w:val="0"/>
          <w:numId w:val="1005"/>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This will be called</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4"/>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r>
        <w:drawing>
          <wp:inline>
            <wp:extent cx="5334000" cy="4412193"/>
            <wp:effectExtent b="0" l="0" r="0" t="0"/>
            <wp:docPr descr="Figure 7.1: The Two Motivations for HDR: Controlling Your Personal Data Ecosystem and Utilising Your Information About Your Life (with ‘idealised’ processes illustrated)" title="" id="26" name="Picture"/>
            <a:graphic>
              <a:graphicData uri="http://schemas.openxmlformats.org/drawingml/2006/picture">
                <pic:pic>
                  <pic:nvPicPr>
                    <pic:cNvPr descr="./src/figs/fig7.1-the-two-motivations-for-hdr.jpg" id="27" name="Picture"/>
                    <pic:cNvPicPr>
                      <a:picLocks noChangeArrowheads="1" noChangeAspect="1"/>
                    </pic:cNvPicPr>
                  </pic:nvPicPr>
                  <pic:blipFill>
                    <a:blip r:embed="rId25"/>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28"/>
      </w:r>
      <w:r>
        <w:t xml:space="preserve"> </w:t>
      </w:r>
      <w:r>
        <w:t xml:space="preserve">processes illustrated)</w:t>
      </w:r>
    </w:p>
    <w:bookmarkStart w:id="29" w:name="Xc381dd6bbe0788e8717d7adc6b2f8b8d3687aaa"/>
    <w:p>
      <w:pPr>
        <w:pStyle w:val="Heading3"/>
      </w:pPr>
      <w:r>
        <w:rPr>
          <w:rStyle w:val="SectionNumber"/>
        </w:rPr>
        <w:t xml:space="preserve">1.4.1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fd5e5d395c7cb4645820b58e23fdf6fe34349ab">
        <w:r>
          <w:rPr>
            <w:rStyle w:val="Hyperlink"/>
          </w:rPr>
          <w:t xml:space="preserve">4.5.1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1">
        <w:r>
          <w:rPr>
            <w:rStyle w:val="Hyperlink"/>
            <w:iCs/>
            <w:i/>
          </w:rPr>
          <w:t xml:space="preserve">11</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29"/>
    <w:bookmarkStart w:id="30" w:name="X4e136873d85cb62901bb699285d9280e05828df"/>
    <w:p>
      <w:pPr>
        <w:pStyle w:val="Heading3"/>
      </w:pPr>
      <w:r>
        <w:rPr>
          <w:rStyle w:val="SectionNumber"/>
        </w:rPr>
        <w:t xml:space="preserve">1.4.2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0"/>
    <w:bookmarkEnd w:id="31"/>
    <w:bookmarkStart w:id="36" w:name="Xd8b45c5920a4ae6b8956c42dcd24c7e655d0317"/>
    <w:p>
      <w:pPr>
        <w:pStyle w:val="Heading2"/>
      </w:pPr>
      <w:r>
        <w:rPr>
          <w:rStyle w:val="SectionNumber"/>
        </w:rPr>
        <w:t xml:space="preserve">1.5</w:t>
      </w:r>
      <w:r>
        <w:tab/>
      </w:r>
      <w:r>
        <w:t xml:space="preserve">Four Objectives for Human Data Relations</w:t>
      </w:r>
    </w:p>
    <w:p>
      <w:pPr>
        <w:pStyle w:val="CaptionedFigure"/>
      </w:pPr>
      <w:r>
        <w:drawing>
          <wp:inline>
            <wp:extent cx="5334000" cy="3376218"/>
            <wp:effectExtent b="0" l="0" r="0" t="0"/>
            <wp:docPr descr="Figure 7.2: Mapping the Six Wants into Objectives for the HDR Opportunity Landscape" title="" id="33" name="Picture"/>
            <a:graphic>
              <a:graphicData uri="http://schemas.openxmlformats.org/drawingml/2006/picture">
                <pic:pic>
                  <pic:nvPicPr>
                    <pic:cNvPr descr="./src/figs/fig7.2-landscape-objectives.jpg" id="34" name="Picture"/>
                    <pic:cNvPicPr>
                      <a:picLocks noChangeArrowheads="1" noChangeAspect="1"/>
                    </pic:cNvPicPr>
                  </pic:nvPicPr>
                  <pic:blipFill>
                    <a:blip r:embed="rId32"/>
                    <a:stretch>
                      <a:fillRect/>
                    </a:stretch>
                  </pic:blipFill>
                  <pic:spPr bwMode="auto">
                    <a:xfrm>
                      <a:off x="0" y="0"/>
                      <a:ext cx="5334000" cy="3376218"/>
                    </a:xfrm>
                    <a:prstGeom prst="rect">
                      <a:avLst/>
                    </a:prstGeom>
                    <a:noFill/>
                    <a:ln w="9525">
                      <a:noFill/>
                      <a:headEnd/>
                      <a:tailEnd/>
                    </a:ln>
                  </pic:spPr>
                </pic:pic>
              </a:graphicData>
            </a:graphic>
          </wp:inline>
        </w:drawing>
      </w:r>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6"/>
        </w:numPr>
        <w:pStyle w:val="Compact"/>
      </w:pPr>
      <w:r>
        <w:t xml:space="preserve">Data Awareness &amp; Understanding;</w:t>
      </w:r>
    </w:p>
    <w:p>
      <w:pPr>
        <w:numPr>
          <w:ilvl w:val="0"/>
          <w:numId w:val="1006"/>
        </w:numPr>
        <w:pStyle w:val="Compact"/>
      </w:pPr>
      <w:r>
        <w:t xml:space="preserve">Data Useability</w:t>
      </w:r>
      <w:hyperlink w:anchor="fn11">
        <w:r>
          <w:rPr>
            <w:rStyle w:val="Hyperlink"/>
          </w:rPr>
          <w:t xml:space="preserve">11</w:t>
        </w:r>
      </w:hyperlink>
      <w:r>
        <w:t xml:space="preserve">;</w:t>
      </w:r>
    </w:p>
    <w:p>
      <w:pPr>
        <w:numPr>
          <w:ilvl w:val="0"/>
          <w:numId w:val="1006"/>
        </w:numPr>
        <w:pStyle w:val="Compact"/>
      </w:pPr>
      <w:r>
        <w:t xml:space="preserve">Data Ecosystem Awareness &amp; Understanding</w:t>
      </w:r>
      <w:r>
        <w:rPr>
          <w:rStyle w:val="FootnoteReference"/>
        </w:rPr>
        <w:footnoteReference w:id="35"/>
      </w:r>
      <w:r>
        <w:t xml:space="preserve"> </w:t>
      </w:r>
      <w:r>
        <w:t xml:space="preserve">and</w:t>
      </w:r>
    </w:p>
    <w:p>
      <w:pPr>
        <w:numPr>
          <w:ilvl w:val="0"/>
          <w:numId w:val="1006"/>
        </w:numPr>
        <w:pStyle w:val="Compact"/>
      </w:pPr>
      <w:r>
        <w:t xml:space="preserve">Data Ecosystem Negotiability</w:t>
      </w:r>
      <w:hyperlink w:anchor="fn14">
        <w:r>
          <w:rPr>
            <w:rStyle w:val="Hyperlink"/>
          </w:rPr>
          <w:t xml:space="preserve">14</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it is interpretable as</w:t>
      </w:r>
      <w:r>
        <w:t xml:space="preserve"> </w:t>
      </w:r>
      <w:r>
        <w:rPr>
          <w:iCs/>
          <w:i/>
        </w:rPr>
        <w:t xml:space="preserve">life information</w:t>
      </w:r>
      <w:r>
        <w:t xml:space="preserve"> </w:t>
      </w:r>
      <w:r>
        <w:t xml:space="preserve">or</w:t>
      </w:r>
      <w:r>
        <w:t xml:space="preserve"> </w:t>
      </w:r>
      <w:r>
        <w:rPr>
          <w:iCs/>
          <w:i/>
        </w:rPr>
        <w:t xml:space="preserve">ecosystem information</w:t>
      </w:r>
      <w:r>
        <w:t xml:space="preserve">.</w:t>
      </w:r>
    </w:p>
    <w:bookmarkEnd w:id="36"/>
    <w:bookmarkStart w:id="37" w:name="Xba2028c26fffbc171c5b450f0a203ea5314ab51"/>
    <w:p>
      <w:pPr>
        <w:pStyle w:val="Heading2"/>
      </w:pPr>
      <w:r>
        <w:rPr>
          <w:rStyle w:val="SectionNumber"/>
        </w:rPr>
        <w:t xml:space="preserve">1.6</w:t>
      </w:r>
      <w:r>
        <w:tab/>
      </w:r>
      <w:r>
        <w:t xml:space="preserve">Better Human Data Relations as a Recursive Public</w:t>
      </w:r>
    </w:p>
    <w:p>
      <w:pPr>
        <w:pStyle w:val="FirstParagraph"/>
      </w:pPr>
      <w:r>
        <w:t xml:space="preserve">Let us revisit the stance from which we approach the goals of better HDR. This PhD is grounded in participatory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the Case Studies’ track embraced participatory investigation, the embedded research track moves forward from the perspective of an activist researcher, exploring how individuals and groups can actually change their world to meet the established understanding of what should change. By taking this role,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single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there is an emergent trend towards better HDR. HDR reformers today congregate around interconnected and overlapping movements including (but not limited to):</w:t>
      </w:r>
    </w:p>
    <w:p>
      <w:pPr>
        <w:numPr>
          <w:ilvl w:val="0"/>
          <w:numId w:val="1007"/>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7"/>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7"/>
        </w:numPr>
        <w:pStyle w:val="Compact"/>
      </w:pPr>
      <w:r>
        <w:t xml:space="preserve">digital rights campaigners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7"/>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7"/>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7"/>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7"/>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7"/>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7"/>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7"/>
        </w:numPr>
        <w:pStyle w:val="Compact"/>
      </w:pPr>
      <w:r>
        <w:t xml:space="preserve">the</w:t>
      </w:r>
      <w:r>
        <w:t xml:space="preserve"> </w:t>
      </w:r>
      <w:r>
        <w:t xml:space="preserve">‘</w:t>
      </w:r>
      <w:r>
        <w:t xml:space="preserve">right to repair</w:t>
      </w:r>
      <w:r>
        <w:t xml:space="preserve">’</w:t>
      </w:r>
      <w:r>
        <w:t xml:space="preserve"> </w:t>
      </w:r>
      <w:r>
        <w:t xml:space="preserve">movement</w:t>
      </w:r>
      <w:r>
        <w:t xml:space="preserve"> </w:t>
      </w:r>
      <w:r>
        <w:t xml:space="preserve">(</w:t>
      </w:r>
      <w:hyperlink w:anchor="ref-svensson2018">
        <w:r>
          <w:rPr>
            <w:rStyle w:val="Hyperlink"/>
          </w:rPr>
          <w:t xml:space="preserve">Svensson</w:t>
        </w:r>
        <w:r>
          <w:rPr>
            <w:rStyle w:val="Hyperlink"/>
          </w:rPr>
          <w:t xml:space="preserve"> </w:t>
        </w:r>
        <w:r>
          <w:rPr>
            <w:rStyle w:val="Hyperlink"/>
            <w:iCs/>
            <w:i/>
          </w:rPr>
          <w:t xml:space="preserve">et al.</w:t>
        </w:r>
        <w:r>
          <w:rPr>
            <w:rStyle w:val="Hyperlink"/>
          </w:rPr>
          <w:t xml:space="preserve">, 2018</w:t>
        </w:r>
      </w:hyperlink>
      <w:r>
        <w:t xml:space="preserve">)</w:t>
      </w:r>
      <w:r>
        <w:t xml:space="preserve">;</w:t>
      </w:r>
    </w:p>
    <w:p>
      <w:pPr>
        <w:numPr>
          <w:ilvl w:val="0"/>
          <w:numId w:val="1007"/>
        </w:numPr>
        <w:pStyle w:val="Compact"/>
      </w:pPr>
      <w:r>
        <w:t xml:space="preserve">‘</w:t>
      </w:r>
      <w:r>
        <w:t xml:space="preserve">makers</w:t>
      </w:r>
      <w:r>
        <w:t xml:space="preserve">’</w:t>
      </w:r>
      <w:r>
        <w:t xml:space="preserve"> </w:t>
      </w:r>
      <w:r>
        <w:t xml:space="preserve">and digital DIY enthusiasts</w:t>
      </w:r>
      <w:r>
        <w:t xml:space="preserve"> </w:t>
      </w:r>
      <w:r>
        <w:t xml:space="preserve">(</w:t>
      </w:r>
      <w:hyperlink w:anchor="ref-gauntlett2015">
        <w:r>
          <w:rPr>
            <w:rStyle w:val="Hyperlink"/>
          </w:rPr>
          <w:t xml:space="preserve">Gauntlett, 2015</w:t>
        </w:r>
      </w:hyperlink>
      <w:r>
        <w:t xml:space="preserve">;</w:t>
      </w:r>
      <w:r>
        <w:t xml:space="preserve"> </w:t>
      </w:r>
      <w:hyperlink w:anchor="ref-altsitsiadis2021">
        <w:r>
          <w:rPr>
            <w:rStyle w:val="Hyperlink"/>
          </w:rPr>
          <w:t xml:space="preserve">Altsitsiadis, 2021</w:t>
        </w:r>
      </w:hyperlink>
      <w:r>
        <w:t xml:space="preserve">)</w:t>
      </w:r>
      <w:r>
        <w:t xml:space="preserve">;</w:t>
      </w:r>
    </w:p>
    <w:p>
      <w:pPr>
        <w:numPr>
          <w:ilvl w:val="0"/>
          <w:numId w:val="1007"/>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w:t>
      </w:r>
    </w:p>
    <w:p>
      <w:pPr>
        <w:numPr>
          <w:ilvl w:val="0"/>
          <w:numId w:val="1007"/>
        </w:numPr>
        <w:pStyle w:val="Compact"/>
      </w:pPr>
      <w:r>
        <w:t xml:space="preserve">design justice</w:t>
      </w:r>
      <w:r>
        <w:t xml:space="preserve"> </w:t>
      </w:r>
      <w:r>
        <w:t xml:space="preserve">(</w:t>
      </w:r>
      <w:hyperlink w:anchor="ref-costanzaChock2020">
        <w:r>
          <w:rPr>
            <w:rStyle w:val="Hyperlink"/>
          </w:rPr>
          <w:t xml:space="preserve">Costanza-Chock, 2020</w:t>
        </w:r>
      </w:hyperlink>
      <w:r>
        <w:t xml:space="preserve">)</w:t>
      </w:r>
      <w:r>
        <w:t xml:space="preserve">;</w:t>
      </w:r>
    </w:p>
    <w:p>
      <w:pPr>
        <w:numPr>
          <w:ilvl w:val="0"/>
          <w:numId w:val="1007"/>
        </w:numPr>
        <w:pStyle w:val="Compact"/>
      </w:pPr>
      <w:r>
        <w:t xml:space="preserve">self-sovereign identity</w:t>
      </w:r>
      <w:r>
        <w:t xml:space="preserve"> </w:t>
      </w:r>
      <w:r>
        <w:t xml:space="preserve">(</w:t>
      </w:r>
      <w:hyperlink w:anchor="ref-satoru2021">
        <w:r>
          <w:rPr>
            <w:rStyle w:val="Hyperlink"/>
          </w:rPr>
          <w:t xml:space="preserve">Hori, 2021</w:t>
        </w:r>
      </w:hyperlink>
      <w:r>
        <w:t xml:space="preserve">)</w:t>
      </w:r>
      <w:r>
        <w:t xml:space="preserve">;</w:t>
      </w:r>
    </w:p>
    <w:p>
      <w:pPr>
        <w:numPr>
          <w:ilvl w:val="0"/>
          <w:numId w:val="1007"/>
        </w:numPr>
        <w:pStyle w:val="Compact"/>
      </w:pPr>
      <w:r>
        <w:t xml:space="preserve">user liberation</w:t>
      </w:r>
      <w:r>
        <w:t xml:space="preserve"> </w:t>
      </w:r>
      <w:r>
        <w:t xml:space="preserve">(</w:t>
      </w:r>
      <w:hyperlink w:anchor="ref-edwards2004">
        <w:r>
          <w:rPr>
            <w:rStyle w:val="Hyperlink"/>
          </w:rPr>
          <w:t xml:space="preserve">Edwards, 2004</w:t>
        </w:r>
      </w:hyperlink>
      <w:r>
        <w:t xml:space="preserve">)</w:t>
      </w:r>
      <w:r>
        <w:t xml:space="preserve">;</w:t>
      </w:r>
    </w:p>
    <w:p>
      <w:pPr>
        <w:numPr>
          <w:ilvl w:val="0"/>
          <w:numId w:val="1007"/>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 and</w:t>
      </w:r>
    </w:p>
    <w:p>
      <w:pPr>
        <w:numPr>
          <w:ilvl w:val="0"/>
          <w:numId w:val="1007"/>
        </w:numPr>
        <w:pStyle w:val="Compact"/>
      </w:pPr>
      <w:r>
        <w:t xml:space="preserve">responsible AI</w:t>
      </w:r>
      <w:r>
        <w:t xml:space="preserve"> </w:t>
      </w:r>
      <w:r>
        <w:t xml:space="preserve">(</w:t>
      </w:r>
      <w:hyperlink w:anchor="ref-osullivan2021">
        <w:r>
          <w:rPr>
            <w:rStyle w:val="Hyperlink"/>
          </w:rPr>
          <w:t xml:space="preserve">O’Sullivan, 2021</w:t>
        </w:r>
      </w:hyperlink>
      <w:r>
        <w:t xml:space="preserve">)</w:t>
      </w:r>
      <w:r>
        <w:t xml:space="preserve">.</w:t>
      </w:r>
    </w:p>
    <w:bookmarkEnd w:id="37"/>
    <w:bookmarkStart w:id="39" w:name="Xa53a7020f5014c3c46abf7c2e460206e04bf007"/>
    <w:p>
      <w:pPr>
        <w:pStyle w:val="Heading2"/>
      </w:pPr>
      <w:r>
        <w:rPr>
          <w:rStyle w:val="SectionNumber"/>
        </w:rPr>
        <w:t xml:space="preserve">1.7</w:t>
      </w:r>
      <w:r>
        <w:tab/>
      </w:r>
      <w:r>
        <w:t xml:space="preserve">Summation: HDR—A Landscape Ready to Explore</w:t>
      </w:r>
    </w:p>
    <w:p>
      <w:pPr>
        <w:pStyle w:val="FirstParagraph"/>
      </w:pPr>
      <w:r>
        <w:t xml:space="preserve">The commonality to so many groups [</w:t>
      </w:r>
      <w:hyperlink w:anchor="Xba2028c26fffbc171c5b450f0a203ea5314ab51">
        <w:r>
          <w:rPr>
            <w:rStyle w:val="Hyperlink"/>
          </w:rPr>
          <w:t xml:space="preserve">7.6</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and unified or not. There is a growing desire to take back control of technology for the betterment of humankind. Therefore, in the next chapters this thesis takes an unashamedly critical view of the status quo, favouring the disruptive societal changes these movements seek. The HDR research agenda poses (from a data-oriented design standpoint) an important question of society:</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and motivation for the new research agenda of Human Data Relations. This sets the stage for the next two chapters, which describe this researcher’s efforts to pursue the HDR agenda in practice as part of his role in embedded academic and industrial project work. The next chapters will take the reader on a journey of exploration through the HDR landscape, recognising the design implications of law and the commercial realities of design and considering the above question in more detail. By highlighting the pitfalls and opportunities that exist, the objective is for this thesis to provide actionable principles and approaches for HDR reform practitioners that can help nascent movements toward HDR reform to flourish.</w:t>
      </w:r>
    </w:p>
    <w:p>
      <w:pPr>
        <w:pStyle w:val="BodyText"/>
      </w:pPr>
      <w:r>
        <w:t xml:space="preserve">It is important to note that the Human Data Relations research agenda, while it views a change from the data-centric status quo as positive, does not imply that to be an HDR reformer one must be an activist. While adversarial design [</w:t>
      </w:r>
      <w:hyperlink w:anchor="X687a7745bf4a058e1101b7263c5aa25f60b95e1">
        <w:r>
          <w:rPr>
            <w:rStyle w:val="Hyperlink"/>
          </w:rPr>
          <w:t xml:space="preserve">9.5.2</w:t>
        </w:r>
      </w:hyperlink>
      <w:r>
        <w:t xml:space="preserve">] and collective activism [</w:t>
      </w:r>
      <w:hyperlink w:anchor="X8e5574845d06675e8c9b1e857645ae54b3c8725">
        <w:r>
          <w:rPr>
            <w:rStyle w:val="Hyperlink"/>
          </w:rPr>
          <w:t xml:space="preserve">10.1.10</w:t>
        </w:r>
      </w:hyperlink>
      <w:r>
        <w:t xml:space="preserve">] are clearly useful approaches to progress HDR, systems can also be changed from within. Designers and thought leaders within data-centric organisations and governments could embrace HDR’s objectives themselves. The fact that so many of the HDR reform communities mentioned in the previous section are somewhat activist in nature, is more of a reflection of the reality that the goals of HDR cannot easily surface within the dominant digital commerce paradigms of today, and so people - pursuing both individualist [</w:t>
      </w:r>
      <w:hyperlink w:anchor="X16a3b37862d25c71eb7293f7b653e91636f92a7">
        <w:r>
          <w:rPr>
            <w:rStyle w:val="Hyperlink"/>
          </w:rPr>
          <w:t xml:space="preserve">3.1</w:t>
        </w:r>
      </w:hyperlink>
      <w:r>
        <w:t xml:space="preserve">] and collective agendas [</w:t>
      </w:r>
      <w:hyperlink w:anchor="X8e5574845d06675e8c9b1e857645ae54b3c8725">
        <w:r>
          <w:rPr>
            <w:rStyle w:val="Hyperlink"/>
          </w:rPr>
          <w:t xml:space="preserve">10.1.10</w:t>
        </w:r>
      </w:hyperlink>
      <w:r>
        <w:t xml:space="preserve">], operate at the grassroots level, and may seem to many to be activists. While this thesis leans more into the activist angle of HDR research, motivated by the researcher’s background [</w:t>
      </w:r>
      <w:hyperlink w:anchor="Xd952513ae9dce3e914b4918eae08e1eddd37faa">
        <w:r>
          <w:rPr>
            <w:rStyle w:val="Hyperlink"/>
          </w:rPr>
          <w:t xml:space="preserve">1.1.1</w:t>
        </w:r>
      </w:hyperlink>
      <w:r>
        <w:t xml:space="preserve">], balance is sought through the fact that the embedded project work track has included work in projects both inside (BBC R&amp;D, SILVER) and outside (Hestia.ai, DERC) of the system [see</w:t>
      </w:r>
      <w:r>
        <w:t xml:space="preserve"> </w:t>
      </w:r>
      <w:hyperlink w:anchor="section-iv-embedded-project-settings">
        <w:r>
          <w:rPr>
            <w:rStyle w:val="Hyperlink"/>
          </w:rPr>
          <w:t xml:space="preserve">Section IV Introduction</w:t>
        </w:r>
      </w:hyperlink>
      <w:r>
        <w:t xml:space="preserve">].</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38"/>
      </w:r>
      <w:r>
        <w:t xml:space="preserve">. It does not provide a complete answer to this question or the extended research question [</w:t>
      </w:r>
      <w:hyperlink w:anchor="exRQ">
        <w:r>
          <w:rPr>
            <w:rStyle w:val="Hyperlink"/>
          </w:rPr>
          <w:t xml:space="preserve">7.1</w:t>
        </w:r>
      </w:hyperlink>
      <w:r>
        <w:t xml:space="preserve">], nor could it. This thesis does not pretend to be complete or definitive in its interpretation of the outlook for HDR. Alternative interpretations and schools of thought than HDR exist. What follows is not a strict roadmap, but rather a preliminary model based on a sampling of ongoing work, identified challenges and known opportunities, that can be understood through the remainder of this thesis, leading to the major contribution of this thesis as an actionable research agenda and useful reference material for the pursuit of better human data relations.</w:t>
      </w:r>
    </w:p>
    <w:p>
      <w:r>
        <w:pict>
          <v:rect style="width:0;height:1.5pt" o:hralign="center" o:hrstd="t" o:hr="t"/>
        </w:pict>
      </w:r>
    </w:p>
    <w:bookmarkEnd w:id="39"/>
    <w:bookmarkEnd w:id="40"/>
    <w:bookmarkStart w:id="125" w:name="bibliography"/>
    <w:p>
      <w:pPr>
        <w:pStyle w:val="Heading1"/>
      </w:pPr>
      <w:r>
        <w:t xml:space="preserve">Bibliography</w:t>
      </w:r>
    </w:p>
    <w:bookmarkStart w:id="124" w:name="refs"/>
    <w:bookmarkStart w:id="42"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1">
        <w:r>
          <w:rPr>
            <w:rStyle w:val="Hyperlink"/>
          </w:rPr>
          <w:t xml:space="preserve">http://www.bos-cbscsr.dk/2021/01/05/the-maker-movement/</w:t>
        </w:r>
      </w:hyperlink>
      <w:r>
        <w:t xml:space="preserve"> </w:t>
      </w:r>
      <w:r>
        <w:t xml:space="preserve">(accessed: 21 August 2022).</w:t>
      </w:r>
    </w:p>
    <w:bookmarkEnd w:id="42"/>
    <w:bookmarkStart w:id="44" w:name="ref-bits2000"/>
    <w:p>
      <w:pPr>
        <w:pStyle w:val="Bibliography"/>
      </w:pPr>
      <w:r>
        <w:t xml:space="preserve">‘Bits of freedom: Our focus’</w:t>
      </w:r>
      <w:r>
        <w:t xml:space="preserve"> </w:t>
      </w:r>
      <w:r>
        <w:t xml:space="preserve">(2000). available at:</w:t>
      </w:r>
      <w:r>
        <w:t xml:space="preserve"> </w:t>
      </w:r>
      <w:hyperlink r:id="rId43">
        <w:r>
          <w:rPr>
            <w:rStyle w:val="Hyperlink"/>
          </w:rPr>
          <w:t xml:space="preserve">https://www.bitsoffreedom.nl/english/</w:t>
        </w:r>
      </w:hyperlink>
      <w:r>
        <w:t xml:space="preserve">.</w:t>
      </w:r>
    </w:p>
    <w:bookmarkEnd w:id="44"/>
    <w:bookmarkStart w:id="46"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5">
        <w:r>
          <w:rPr>
            <w:rStyle w:val="Hyperlink"/>
          </w:rPr>
          <w:t xml:space="preserve">https://eprints.ncl.ac.uk/273832#.</w:t>
        </w:r>
      </w:hyperlink>
    </w:p>
    <w:bookmarkEnd w:id="46"/>
    <w:bookmarkStart w:id="48"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47">
        <w:r>
          <w:rPr>
            <w:rStyle w:val="Hyperlink"/>
          </w:rPr>
          <w:t xml:space="preserve">10.1007/s12394-010-0062-y</w:t>
        </w:r>
      </w:hyperlink>
      <w:r>
        <w:t xml:space="preserve">.</w:t>
      </w:r>
    </w:p>
    <w:bookmarkEnd w:id="48"/>
    <w:bookmarkStart w:id="5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49">
        <w:r>
          <w:rPr>
            <w:rStyle w:val="Hyperlink"/>
          </w:rPr>
          <w:t xml:space="preserve">https://www.citizenme.com/for-citizens/</w:t>
        </w:r>
      </w:hyperlink>
      <w:r>
        <w:t xml:space="preserve"> </w:t>
      </w:r>
      <w:r>
        <w:t xml:space="preserve">(accessed: 23 August 2021).</w:t>
      </w:r>
    </w:p>
    <w:bookmarkEnd w:id="50"/>
    <w:bookmarkStart w:id="52" w:name="ref-costanzaChock2020"/>
    <w:p>
      <w:pPr>
        <w:pStyle w:val="Bibliography"/>
      </w:pPr>
      <w:r>
        <w:t xml:space="preserve">Costanza-Chock, S. (2020)</w:t>
      </w:r>
      <w:r>
        <w:t xml:space="preserve"> </w:t>
      </w:r>
      <w:r>
        <w:t xml:space="preserve">‘Design practices: "Nothing about us without us"’</w:t>
      </w:r>
      <w:r>
        <w:t xml:space="preserve">,</w:t>
      </w:r>
      <w:r>
        <w:t xml:space="preserve"> </w:t>
      </w:r>
      <w:r>
        <w:rPr>
          <w:iCs/>
          <w:i/>
        </w:rPr>
        <w:t xml:space="preserve">Design Justice</w:t>
      </w:r>
      <w:r>
        <w:t xml:space="preserve">. MIT Press. available at:</w:t>
      </w:r>
      <w:r>
        <w:t xml:space="preserve"> </w:t>
      </w:r>
      <w:hyperlink r:id="rId51">
        <w:r>
          <w:rPr>
            <w:rStyle w:val="Hyperlink"/>
          </w:rPr>
          <w:t xml:space="preserve">https://designjustice.mitpress.mit.edu/pub/cfohnud7/release/4</w:t>
        </w:r>
      </w:hyperlink>
      <w:r>
        <w:t xml:space="preserve"> </w:t>
      </w:r>
      <w:r>
        <w:t xml:space="preserve">(accessed: 24 May 2023).</w:t>
      </w:r>
    </w:p>
    <w:bookmarkEnd w:id="52"/>
    <w:bookmarkStart w:id="53" w:name="ref-crabtree2015"/>
    <w:p>
      <w:pPr>
        <w:pStyle w:val="Bibliography"/>
      </w:pPr>
      <w:r>
        <w:t xml:space="preserve">Crabtree, A. and Mortier, R. (2015)</w:t>
      </w:r>
      <w:r>
        <w:t xml:space="preserve"> </w:t>
      </w:r>
      <w:r>
        <w:t xml:space="preserve">‘Human data interaction: Historical lessons from social studies and CSCW’</w:t>
      </w:r>
      <w:r>
        <w:t xml:space="preserve">, in</w:t>
      </w:r>
      <w:r>
        <w:t xml:space="preserve"> </w:t>
      </w:r>
      <w:r>
        <w:rPr>
          <w:iCs/>
          <w:i/>
        </w:rPr>
        <w:t xml:space="preserve">ECSCW 2015: Proceedings of the 14th european conference on computer supported cooperative work, 19-23 september 2015, oslo, norway</w:t>
      </w:r>
      <w:r>
        <w:t xml:space="preserve">. Springer, pp. 3–21.</w:t>
      </w:r>
    </w:p>
    <w:bookmarkEnd w:id="53"/>
    <w:bookmarkStart w:id="5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54">
        <w:r>
          <w:rPr>
            <w:rStyle w:val="Hyperlink"/>
          </w:rPr>
          <w:t xml:space="preserve">10.2139/ssrn.2874312</w:t>
        </w:r>
      </w:hyperlink>
      <w:r>
        <w:t xml:space="preserve">.</w:t>
      </w:r>
    </w:p>
    <w:bookmarkEnd w:id="55"/>
    <w:bookmarkStart w:id="57"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6">
        <w:r>
          <w:rPr>
            <w:rStyle w:val="Hyperlink"/>
          </w:rPr>
          <w:t xml:space="preserve">https://www.opendemocracy.net/en/civic_hacking_a_new_agenda_for_e_democracy/</w:t>
        </w:r>
      </w:hyperlink>
      <w:r>
        <w:t xml:space="preserve">.</w:t>
      </w:r>
    </w:p>
    <w:bookmarkEnd w:id="57"/>
    <w:bookmarkStart w:id="59"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8">
        <w:r>
          <w:rPr>
            <w:rStyle w:val="Hyperlink"/>
          </w:rPr>
          <w:t xml:space="preserve">10.1145/3301655</w:t>
        </w:r>
      </w:hyperlink>
      <w:r>
        <w:t xml:space="preserve">.</w:t>
      </w:r>
    </w:p>
    <w:bookmarkEnd w:id="59"/>
    <w:bookmarkStart w:id="61" w:name="ref-davies1990"/>
    <w:p>
      <w:pPr>
        <w:pStyle w:val="Bibliography"/>
      </w:pPr>
      <w:r>
        <w:t xml:space="preserve">Davies, S. (1990)</w:t>
      </w:r>
      <w:r>
        <w:t xml:space="preserve"> </w:t>
      </w:r>
      <w:r>
        <w:t xml:space="preserve">‘Privacy international: About us’</w:t>
      </w:r>
      <w:r>
        <w:t xml:space="preserve">. available at:</w:t>
      </w:r>
      <w:r>
        <w:t xml:space="preserve"> </w:t>
      </w:r>
      <w:hyperlink r:id="rId60">
        <w:r>
          <w:rPr>
            <w:rStyle w:val="Hyperlink"/>
          </w:rPr>
          <w:t xml:space="preserve">https://privacyinternational.org/about</w:t>
        </w:r>
      </w:hyperlink>
      <w:r>
        <w:t xml:space="preserve">.</w:t>
      </w:r>
    </w:p>
    <w:bookmarkEnd w:id="61"/>
    <w:bookmarkStart w:id="63" w:name="ref-digime2021"/>
    <w:p>
      <w:pPr>
        <w:pStyle w:val="Bibliography"/>
      </w:pPr>
      <w:r>
        <w:t xml:space="preserve">‘Digi.me’</w:t>
      </w:r>
      <w:r>
        <w:t xml:space="preserve"> </w:t>
      </w:r>
      <w:r>
        <w:t xml:space="preserve">(no date). available at:</w:t>
      </w:r>
      <w:r>
        <w:t xml:space="preserve"> </w:t>
      </w:r>
      <w:hyperlink r:id="rId62">
        <w:r>
          <w:rPr>
            <w:rStyle w:val="Hyperlink"/>
          </w:rPr>
          <w:t xml:space="preserve">https://digi.me/</w:t>
        </w:r>
      </w:hyperlink>
      <w:r>
        <w:t xml:space="preserve"> </w:t>
      </w:r>
      <w:r>
        <w:t xml:space="preserve">(accessed: 23 August 2021).</w:t>
      </w:r>
    </w:p>
    <w:bookmarkEnd w:id="63"/>
    <w:bookmarkStart w:id="65"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4">
        <w:r>
          <w:rPr>
            <w:rStyle w:val="Hyperlink"/>
          </w:rPr>
          <w:t xml:space="preserve">10.7551/mitpress/8732.003.0007</w:t>
        </w:r>
      </w:hyperlink>
      <w:r>
        <w:t xml:space="preserve">.</w:t>
      </w:r>
    </w:p>
    <w:bookmarkEnd w:id="65"/>
    <w:bookmarkStart w:id="67"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6">
        <w:r>
          <w:rPr>
            <w:rStyle w:val="Hyperlink"/>
          </w:rPr>
          <w:t xml:space="preserve">https://www.eff.org/deeplinks/2019/10/adversarial-interoperability</w:t>
        </w:r>
      </w:hyperlink>
      <w:r>
        <w:t xml:space="preserve">.</w:t>
      </w:r>
    </w:p>
    <w:bookmarkEnd w:id="67"/>
    <w:bookmarkStart w:id="69" w:name="ref-edwards2004"/>
    <w:p>
      <w:pPr>
        <w:pStyle w:val="Bibliography"/>
      </w:pPr>
      <w:r>
        <w:t xml:space="preserve">Edwards, J. (2004)</w:t>
      </w:r>
      <w:r>
        <w:t xml:space="preserve"> </w:t>
      </w:r>
      <w:r>
        <w:t xml:space="preserve">‘Manifesto of the programmer liberation front’</w:t>
      </w:r>
      <w:r>
        <w:t xml:space="preserve">,</w:t>
      </w:r>
      <w:r>
        <w:t xml:space="preserve"> </w:t>
      </w:r>
      <w:r>
        <w:rPr>
          <w:iCs/>
          <w:i/>
        </w:rPr>
        <w:t xml:space="preserve">Alarming Development</w:t>
      </w:r>
      <w:r>
        <w:t xml:space="preserve">. available at:</w:t>
      </w:r>
      <w:r>
        <w:t xml:space="preserve"> </w:t>
      </w:r>
      <w:hyperlink r:id="rId68">
        <w:r>
          <w:rPr>
            <w:rStyle w:val="Hyperlink"/>
          </w:rPr>
          <w:t xml:space="preserve">https://web.archive.org/web/20051219171732/http://alarmingdevelopment.org/?p=5</w:t>
        </w:r>
      </w:hyperlink>
      <w:r>
        <w:t xml:space="preserve"> </w:t>
      </w:r>
      <w:r>
        <w:t xml:space="preserve">(accessed: 7 May 2023).</w:t>
      </w:r>
    </w:p>
    <w:bookmarkEnd w:id="69"/>
    <w:bookmarkStart w:id="71" w:name="ref-explainableAI"/>
    <w:p>
      <w:pPr>
        <w:pStyle w:val="Bibliography"/>
      </w:pPr>
      <w:r>
        <w:t xml:space="preserve">‘Explainable AI: Making machines understandable for humans’</w:t>
      </w:r>
      <w:r>
        <w:t xml:space="preserve"> </w:t>
      </w:r>
      <w:r>
        <w:t xml:space="preserve">(no date). available at:</w:t>
      </w:r>
      <w:r>
        <w:t xml:space="preserve"> </w:t>
      </w:r>
      <w:hyperlink r:id="rId70">
        <w:r>
          <w:rPr>
            <w:rStyle w:val="Hyperlink"/>
          </w:rPr>
          <w:t xml:space="preserve">https://explainableai.com/</w:t>
        </w:r>
      </w:hyperlink>
      <w:r>
        <w:t xml:space="preserve"> </w:t>
      </w:r>
      <w:r>
        <w:t xml:space="preserve">(accessed: 16 June 2022).</w:t>
      </w:r>
    </w:p>
    <w:bookmarkEnd w:id="71"/>
    <w:bookmarkStart w:id="73" w:name="ref-gauntlett2015"/>
    <w:p>
      <w:pPr>
        <w:pStyle w:val="Bibliography"/>
      </w:pPr>
      <w:r>
        <w:t xml:space="preserve">Gauntlett, D. (2015)</w:t>
      </w:r>
      <w:r>
        <w:t xml:space="preserve"> </w:t>
      </w:r>
      <w:r>
        <w:t xml:space="preserve">‘What is digital DIY?’</w:t>
      </w:r>
      <w:r>
        <w:t xml:space="preserve">,</w:t>
      </w:r>
      <w:r>
        <w:t xml:space="preserve"> </w:t>
      </w:r>
      <w:r>
        <w:rPr>
          <w:iCs/>
          <w:i/>
        </w:rPr>
        <w:t xml:space="preserve">Digital Do It Yourself</w:t>
      </w:r>
      <w:r>
        <w:t xml:space="preserve">. available at:</w:t>
      </w:r>
      <w:r>
        <w:t xml:space="preserve"> </w:t>
      </w:r>
      <w:hyperlink r:id="rId72">
        <w:r>
          <w:rPr>
            <w:rStyle w:val="Hyperlink"/>
          </w:rPr>
          <w:t xml:space="preserve">https://www.didiy.eu/blogs/what-digital-diy/</w:t>
        </w:r>
      </w:hyperlink>
      <w:r>
        <w:t xml:space="preserve">.</w:t>
      </w:r>
    </w:p>
    <w:bookmarkEnd w:id="73"/>
    <w:bookmarkStart w:id="75"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4">
        <w:r>
          <w:rPr>
            <w:rStyle w:val="Hyperlink"/>
          </w:rPr>
          <w:t xml:space="preserve">https://socialmediacollective.org/reading-lists/critical-algorithm-studies/</w:t>
        </w:r>
      </w:hyperlink>
      <w:r>
        <w:t xml:space="preserve">.</w:t>
      </w:r>
    </w:p>
    <w:bookmarkEnd w:id="75"/>
    <w:bookmarkStart w:id="77"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6">
        <w:r>
          <w:rPr>
            <w:rStyle w:val="Hyperlink"/>
          </w:rPr>
          <w:t xml:space="preserve">http://www.minimizedistraction.com/</w:t>
        </w:r>
      </w:hyperlink>
      <w:r>
        <w:t xml:space="preserve">.</w:t>
      </w:r>
    </w:p>
    <w:bookmarkEnd w:id="77"/>
    <w:bookmarkStart w:id="79"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8">
        <w:r>
          <w:rPr>
            <w:rStyle w:val="Hyperlink"/>
          </w:rPr>
          <w:t xml:space="preserve">http://www3.weforum.org/docs/WEF_RethinkingPersonalData_ANewLens_Report_2014.pdf</w:t>
        </w:r>
      </w:hyperlink>
      <w:r>
        <w:t xml:space="preserve">.</w:t>
      </w:r>
    </w:p>
    <w:bookmarkEnd w:id="79"/>
    <w:bookmarkStart w:id="81"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80">
        <w:r>
          <w:rPr>
            <w:rStyle w:val="Hyperlink"/>
          </w:rPr>
          <w:t xml:space="preserve">http://www.manovich.net/DOCS/data_art.doc,</w:t>
        </w:r>
      </w:hyperlink>
      <w:r>
        <w:t xml:space="preserve">.</w:t>
      </w:r>
    </w:p>
    <w:bookmarkEnd w:id="81"/>
    <w:bookmarkStart w:id="83" w:name="ref-satoru2021"/>
    <w:p>
      <w:pPr>
        <w:pStyle w:val="Bibliography"/>
      </w:pPr>
      <w:r>
        <w:t xml:space="preserve">Hori, S. (2021)</w:t>
      </w:r>
      <w:r>
        <w:t xml:space="preserve"> </w:t>
      </w:r>
      <w:r>
        <w:t xml:space="preserve">‘Self-sovereign identity: The future of personal data ownership?’</w:t>
      </w:r>
      <w:r>
        <w:t xml:space="preserve">,</w:t>
      </w:r>
      <w:r>
        <w:t xml:space="preserve"> </w:t>
      </w:r>
      <w:r>
        <w:rPr>
          <w:iCs/>
          <w:i/>
        </w:rPr>
        <w:t xml:space="preserve">World Economic Forum</w:t>
      </w:r>
      <w:r>
        <w:t xml:space="preserve">. available at:</w:t>
      </w:r>
      <w:r>
        <w:t xml:space="preserve"> </w:t>
      </w:r>
      <w:hyperlink r:id="rId82">
        <w:r>
          <w:rPr>
            <w:rStyle w:val="Hyperlink"/>
          </w:rPr>
          <w:t xml:space="preserve">https://www.weforum.org/agenda/2021/08/self-sovereign-identity-future-personal-data-ownership/</w:t>
        </w:r>
      </w:hyperlink>
      <w:r>
        <w:t xml:space="preserve">.</w:t>
      </w:r>
    </w:p>
    <w:bookmarkEnd w:id="83"/>
    <w:bookmarkStart w:id="84"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4"/>
    <w:bookmarkStart w:id="86"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5">
        <w:r>
          <w:rPr>
            <w:rStyle w:val="Hyperlink"/>
          </w:rPr>
          <w:t xml:space="preserve">10.1145/1125451.1125469</w:t>
        </w:r>
      </w:hyperlink>
      <w:r>
        <w:t xml:space="preserve">.</w:t>
      </w:r>
    </w:p>
    <w:bookmarkEnd w:id="86"/>
    <w:bookmarkStart w:id="88"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7">
        <w:r>
          <w:rPr>
            <w:rStyle w:val="Hyperlink"/>
          </w:rPr>
          <w:t xml:space="preserve">https://s3.amazonaws.com/academia.edu.documents/46870765/haystack.pdf</w:t>
        </w:r>
      </w:hyperlink>
      <w:r>
        <w:t xml:space="preserve">.</w:t>
      </w:r>
    </w:p>
    <w:bookmarkEnd w:id="88"/>
    <w:bookmarkStart w:id="89" w:name="ref-kelty2008"/>
    <w:p>
      <w:pPr>
        <w:pStyle w:val="Bibliography"/>
      </w:pPr>
      <w:r>
        <w:t xml:space="preserve">Kelty, C. M. (2008)</w:t>
      </w:r>
      <w:r>
        <w:t xml:space="preserve"> </w:t>
      </w:r>
      <w:r>
        <w:rPr>
          <w:iCs/>
          <w:i/>
        </w:rPr>
        <w:t xml:space="preserve">Geeks and Recursive Publics</w:t>
      </w:r>
      <w:r>
        <w:t xml:space="preserve">. Duke University Press, pp. 27–63.</w:t>
      </w:r>
    </w:p>
    <w:bookmarkEnd w:id="89"/>
    <w:bookmarkStart w:id="90"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90"/>
    <w:bookmarkStart w:id="91" w:name="ref-ledantec2016"/>
    <w:p>
      <w:pPr>
        <w:pStyle w:val="Bibliography"/>
      </w:pPr>
      <w:r>
        <w:t xml:space="preserve">Le Dantec, C. A. (2016)</w:t>
      </w:r>
      <w:r>
        <w:t xml:space="preserve"> </w:t>
      </w:r>
      <w:r>
        <w:rPr>
          <w:iCs/>
          <w:i/>
        </w:rPr>
        <w:t xml:space="preserve">Designing publics</w:t>
      </w:r>
      <w:r>
        <w:t xml:space="preserve">. MIT Press.</w:t>
      </w:r>
    </w:p>
    <w:bookmarkEnd w:id="91"/>
    <w:bookmarkStart w:id="93"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92">
        <w:r>
          <w:rPr>
            <w:rStyle w:val="Hyperlink"/>
          </w:rPr>
          <w:t xml:space="preserve">https://medium.com/civic-innovation/defining-civic-hacking-16844fc161cd</w:t>
        </w:r>
      </w:hyperlink>
      <w:r>
        <w:t xml:space="preserve">.</w:t>
      </w:r>
    </w:p>
    <w:bookmarkEnd w:id="93"/>
    <w:bookmarkStart w:id="95"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4">
        <w:r>
          <w:rPr>
            <w:rStyle w:val="Hyperlink"/>
          </w:rPr>
          <w:t xml:space="preserve">10.1145/3173574.3173692</w:t>
        </w:r>
      </w:hyperlink>
      <w:r>
        <w:t xml:space="preserve">.</w:t>
      </w:r>
    </w:p>
    <w:bookmarkEnd w:id="95"/>
    <w:bookmarkStart w:id="96" w:name="ref-lupton2016"/>
    <w:p>
      <w:pPr>
        <w:pStyle w:val="Bibliography"/>
      </w:pPr>
      <w:r>
        <w:t xml:space="preserve">Lupton, D. (2016)</w:t>
      </w:r>
      <w:r>
        <w:t xml:space="preserve"> </w:t>
      </w:r>
      <w:r>
        <w:t xml:space="preserve">‘Personal data practices in the age of lively data’</w:t>
      </w:r>
      <w:r>
        <w:t xml:space="preserve">,</w:t>
      </w:r>
      <w:r>
        <w:t xml:space="preserve"> </w:t>
      </w:r>
      <w:r>
        <w:rPr>
          <w:iCs/>
          <w:i/>
        </w:rPr>
        <w:t xml:space="preserve">Digital sociologies</w:t>
      </w:r>
      <w:r>
        <w:t xml:space="preserve">. Policy Press Bristol, 2016, pp. 335–350.</w:t>
      </w:r>
    </w:p>
    <w:bookmarkEnd w:id="96"/>
    <w:bookmarkStart w:id="98"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7">
        <w:r>
          <w:rPr>
            <w:rStyle w:val="Hyperlink"/>
          </w:rPr>
          <w:t xml:space="preserve">10.1016/j.lisr.2008.07.001</w:t>
        </w:r>
      </w:hyperlink>
      <w:r>
        <w:t xml:space="preserve">.</w:t>
      </w:r>
    </w:p>
    <w:bookmarkEnd w:id="98"/>
    <w:bookmarkStart w:id="100"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9">
        <w:r>
          <w:rPr>
            <w:rStyle w:val="Hyperlink"/>
          </w:rPr>
          <w:t xml:space="preserve">10.5210/fm.v17i5.4013</w:t>
        </w:r>
      </w:hyperlink>
      <w:r>
        <w:t xml:space="preserve">.</w:t>
      </w:r>
    </w:p>
    <w:bookmarkEnd w:id="100"/>
    <w:bookmarkStart w:id="10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01">
        <w:r>
          <w:rPr>
            <w:rStyle w:val="Hyperlink"/>
          </w:rPr>
          <w:t xml:space="preserve">10.2139/ssrn.2508051</w:t>
        </w:r>
      </w:hyperlink>
      <w:r>
        <w:t xml:space="preserve">.</w:t>
      </w:r>
    </w:p>
    <w:bookmarkEnd w:id="102"/>
    <w:bookmarkStart w:id="10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03">
        <w:r>
          <w:rPr>
            <w:rStyle w:val="Hyperlink"/>
          </w:rPr>
          <w:t xml:space="preserve">https://web.archive.org/web/20210325143142/https://www.mydata.org/declaration/</w:t>
        </w:r>
      </w:hyperlink>
      <w:r>
        <w:t xml:space="preserve"> </w:t>
      </w:r>
      <w:r>
        <w:t xml:space="preserve">(accessed: 25 March 2021).</w:t>
      </w:r>
    </w:p>
    <w:bookmarkEnd w:id="104"/>
    <w:bookmarkStart w:id="106" w:name="ref-osullivan2021"/>
    <w:p>
      <w:pPr>
        <w:pStyle w:val="Bibliography"/>
      </w:pPr>
      <w:r>
        <w:t xml:space="preserve">O’Sullivan, C. (2021)</w:t>
      </w:r>
      <w:r>
        <w:t xml:space="preserve"> </w:t>
      </w:r>
      <w:r>
        <w:t xml:space="preserve">‘What is responsible AI?’</w:t>
      </w:r>
      <w:r>
        <w:t xml:space="preserve">,</w:t>
      </w:r>
      <w:r>
        <w:t xml:space="preserve"> </w:t>
      </w:r>
      <w:r>
        <w:rPr>
          <w:iCs/>
          <w:i/>
        </w:rPr>
        <w:t xml:space="preserve">Medium</w:t>
      </w:r>
      <w:r>
        <w:t xml:space="preserve">. available at:</w:t>
      </w:r>
      <w:r>
        <w:t xml:space="preserve"> </w:t>
      </w:r>
      <w:hyperlink r:id="rId105">
        <w:r>
          <w:rPr>
            <w:rStyle w:val="Hyperlink"/>
          </w:rPr>
          <w:t xml:space="preserve">https://towardsdatascience.com/what-is-responsible-ai-548743369729</w:t>
        </w:r>
      </w:hyperlink>
      <w:r>
        <w:t xml:space="preserve">.</w:t>
      </w:r>
    </w:p>
    <w:bookmarkEnd w:id="106"/>
    <w:bookmarkStart w:id="108" w:name="ref-openRightsGroup"/>
    <w:p>
      <w:pPr>
        <w:pStyle w:val="Bibliography"/>
      </w:pPr>
      <w:r>
        <w:t xml:space="preserve">‘Open rights group: Who we are’</w:t>
      </w:r>
      <w:r>
        <w:t xml:space="preserve"> </w:t>
      </w:r>
      <w:r>
        <w:t xml:space="preserve">(no date). available at:</w:t>
      </w:r>
      <w:r>
        <w:t xml:space="preserve"> </w:t>
      </w:r>
      <w:hyperlink r:id="rId107">
        <w:r>
          <w:rPr>
            <w:rStyle w:val="Hyperlink"/>
          </w:rPr>
          <w:t xml:space="preserve">https://www.openrightsgroup.org/who-we-are/</w:t>
        </w:r>
      </w:hyperlink>
      <w:r>
        <w:t xml:space="preserve"> </w:t>
      </w:r>
      <w:r>
        <w:t xml:space="preserve">(accessed: 16 June 2022).</w:t>
      </w:r>
    </w:p>
    <w:bookmarkEnd w:id="108"/>
    <w:bookmarkStart w:id="110"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9">
        <w:r>
          <w:rPr>
            <w:rStyle w:val="Hyperlink"/>
          </w:rPr>
          <w:t xml:space="preserve">https://wiki.p2pfoundation.net/Recursive_Public</w:t>
        </w:r>
      </w:hyperlink>
      <w:r>
        <w:t xml:space="preserve"> </w:t>
      </w:r>
      <w:r>
        <w:t xml:space="preserve">(accessed: 16 June 2022).</w:t>
      </w:r>
    </w:p>
    <w:bookmarkEnd w:id="110"/>
    <w:bookmarkStart w:id="111" w:name="ref-sailaja2021workshop"/>
    <w:p>
      <w:pPr>
        <w:pStyle w:val="Bibliography"/>
      </w:pPr>
      <w:r>
        <w:t xml:space="preserve">Sailaja, N.</w:t>
      </w:r>
      <w:r>
        <w:t xml:space="preserve"> </w:t>
      </w:r>
      <w:r>
        <w:rPr>
          <w:iCs/>
          <w:i/>
        </w:rPr>
        <w:t xml:space="preserve">et al.</w:t>
      </w:r>
      <w:r>
        <w:t xml:space="preserve"> </w:t>
      </w:r>
      <w:r>
        <w:t xml:space="preserve">(2021)</w:t>
      </w:r>
      <w:r>
        <w:t xml:space="preserve"> </w:t>
      </w:r>
      <w:r>
        <w:t xml:space="preserve">‘Human-data interaction through design: An explorative step from theory to practice using design as a vehicle’</w:t>
      </w:r>
      <w:r>
        <w:t xml:space="preserve">, in</w:t>
      </w:r>
      <w:r>
        <w:t xml:space="preserve"> </w:t>
      </w:r>
      <w:r>
        <w:rPr>
          <w:iCs/>
          <w:i/>
        </w:rPr>
        <w:t xml:space="preserve">Extended abstracts of the 2021 CHI conference on human factors in computing systems</w:t>
      </w:r>
      <w:r>
        <w:t xml:space="preserve">, pp. 1–5.</w:t>
      </w:r>
    </w:p>
    <w:bookmarkEnd w:id="111"/>
    <w:bookmarkStart w:id="113"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12">
        <w:r>
          <w:rPr>
            <w:rStyle w:val="Hyperlink"/>
          </w:rPr>
          <w:t xml:space="preserve">https://www.bbc.co.uk/rd/blog/2021-09-personal-data-store-research</w:t>
        </w:r>
      </w:hyperlink>
      <w:r>
        <w:t xml:space="preserve">.</w:t>
      </w:r>
    </w:p>
    <w:bookmarkEnd w:id="113"/>
    <w:bookmarkStart w:id="114" w:name="ref-svensson2018"/>
    <w:p>
      <w:pPr>
        <w:pStyle w:val="Bibliography"/>
      </w:pPr>
      <w:r>
        <w:t xml:space="preserve">Svensson, S.</w:t>
      </w:r>
      <w:r>
        <w:t xml:space="preserve"> </w:t>
      </w:r>
      <w:r>
        <w:rPr>
          <w:iCs/>
          <w:i/>
        </w:rPr>
        <w:t xml:space="preserve">et al.</w:t>
      </w:r>
      <w:r>
        <w:t xml:space="preserve"> </w:t>
      </w:r>
      <w:r>
        <w:t xml:space="preserve">(2018)</w:t>
      </w:r>
      <w:r>
        <w:t xml:space="preserve"> </w:t>
      </w:r>
      <w:r>
        <w:t xml:space="preserve">‘The emerging ‘right to repair’legislation in the EU and the US’</w:t>
      </w:r>
      <w:r>
        <w:t xml:space="preserve">,</w:t>
      </w:r>
      <w:r>
        <w:t xml:space="preserve"> </w:t>
      </w:r>
      <w:r>
        <w:rPr>
          <w:iCs/>
          <w:i/>
        </w:rPr>
        <w:t xml:space="preserve">Proceedings from Going Green–Care Innovation</w:t>
      </w:r>
      <w:r>
        <w:t xml:space="preserve">, pp. 27–29.</w:t>
      </w:r>
    </w:p>
    <w:bookmarkEnd w:id="114"/>
    <w:bookmarkStart w:id="116"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15">
        <w:r>
          <w:rPr>
            <w:rStyle w:val="Hyperlink"/>
          </w:rPr>
          <w:t xml:space="preserve">https://opengovdata.io/2014/civic-hacking/</w:t>
        </w:r>
      </w:hyperlink>
      <w:r>
        <w:t xml:space="preserve">.</w:t>
      </w:r>
    </w:p>
    <w:bookmarkEnd w:id="116"/>
    <w:bookmarkStart w:id="118"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17">
        <w:r>
          <w:rPr>
            <w:rStyle w:val="Hyperlink"/>
          </w:rPr>
          <w:t xml:space="preserve">10.1177/2053951717736335</w:t>
        </w:r>
      </w:hyperlink>
      <w:r>
        <w:t xml:space="preserve">.</w:t>
      </w:r>
    </w:p>
    <w:bookmarkEnd w:id="118"/>
    <w:bookmarkStart w:id="12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9">
        <w:r>
          <w:rPr>
            <w:rStyle w:val="Hyperlink"/>
          </w:rPr>
          <w:t xml:space="preserve">10.1145/2851581.2886436</w:t>
        </w:r>
      </w:hyperlink>
      <w:r>
        <w:t xml:space="preserve">.</w:t>
      </w:r>
    </w:p>
    <w:bookmarkEnd w:id="120"/>
    <w:bookmarkStart w:id="121"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21"/>
    <w:bookmarkStart w:id="123" w:name="ref-wie2022"/>
    <w:p>
      <w:pPr>
        <w:pStyle w:val="Bibliography"/>
      </w:pPr>
      <w:r>
        <w:t xml:space="preserve">‘Worker info exchange’</w:t>
      </w:r>
      <w:r>
        <w:t xml:space="preserve"> </w:t>
      </w:r>
      <w:r>
        <w:t xml:space="preserve">(2022). available at:</w:t>
      </w:r>
      <w:r>
        <w:t xml:space="preserve"> </w:t>
      </w:r>
      <w:hyperlink r:id="rId122">
        <w:r>
          <w:rPr>
            <w:rStyle w:val="Hyperlink"/>
          </w:rPr>
          <w:t xml:space="preserve">https://www.workerinfoexchange.org/</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4">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28">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2d09f34970bc84346435f2ffe98303e41132089">
        <w:r>
          <w:rPr>
            <w:rStyle w:val="Hyperlink"/>
          </w:rPr>
          <w:t xml:space="preserve">5.6.1</w:t>
        </w:r>
      </w:hyperlink>
      <w:r>
        <w:t xml:space="preserve"> </w:t>
      </w:r>
      <w:r>
        <w:t xml:space="preserve">for improvements to copy-based access].</w:t>
      </w:r>
    </w:p>
  </w:footnote>
  <w:footnote w:id="35">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38">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this researcher’s proximity and depth of engagement with those ideas, rather than their relative merit, complexity or impact potential. Given the broad aim to chart a new area of research, it is considered to be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hyperlink" Id="rId41" Target="http://www.bos-cbscsr.dk/2021/01/05/the-maker-movement/" TargetMode="External" /><Relationship Type="http://schemas.openxmlformats.org/officeDocument/2006/relationships/hyperlink" Id="rId80" Target="http://www.manovich.net/DOCS/data_art.doc," TargetMode="External" /><Relationship Type="http://schemas.openxmlformats.org/officeDocument/2006/relationships/hyperlink" Id="rId76" Target="http://www.minimizedistraction.com/" TargetMode="External" /><Relationship Type="http://schemas.openxmlformats.org/officeDocument/2006/relationships/hyperlink" Id="rId78" Target="http://www3.weforum.org/docs/WEF_RethinkingPersonalData_ANewLens_Report_2014.pdf" TargetMode="External" /><Relationship Type="http://schemas.openxmlformats.org/officeDocument/2006/relationships/hyperlink" Id="rId51" Target="https://designjustice.mitpress.mit.edu/pub/cfohnud7/release/4" TargetMode="External" /><Relationship Type="http://schemas.openxmlformats.org/officeDocument/2006/relationships/hyperlink" Id="rId62" Target="https://digi.me/" TargetMode="External" /><Relationship Type="http://schemas.openxmlformats.org/officeDocument/2006/relationships/hyperlink" Id="rId47" Target="https://doi.org/10.1007/s12394-010-0062-y" TargetMode="External" /><Relationship Type="http://schemas.openxmlformats.org/officeDocument/2006/relationships/hyperlink" Id="rId97" Target="https://doi.org/10.1016/j.lisr.2008.07.001" TargetMode="External" /><Relationship Type="http://schemas.openxmlformats.org/officeDocument/2006/relationships/hyperlink" Id="rId85" Target="https://doi.org/10.1145/1125451.1125469" TargetMode="External" /><Relationship Type="http://schemas.openxmlformats.org/officeDocument/2006/relationships/hyperlink" Id="rId119" Target="https://doi.org/10.1145/2851581.2886436" TargetMode="External" /><Relationship Type="http://schemas.openxmlformats.org/officeDocument/2006/relationships/hyperlink" Id="rId94" Target="https://doi.org/10.1145/3173574.3173692" TargetMode="External" /><Relationship Type="http://schemas.openxmlformats.org/officeDocument/2006/relationships/hyperlink" Id="rId58" Target="https://doi.org/10.1145/3301655" TargetMode="External" /><Relationship Type="http://schemas.openxmlformats.org/officeDocument/2006/relationships/hyperlink" Id="rId117" Target="https://doi.org/10.1177/2053951717736335" TargetMode="External" /><Relationship Type="http://schemas.openxmlformats.org/officeDocument/2006/relationships/hyperlink" Id="rId101" Target="https://doi.org/10.2139/ssrn.2508051" TargetMode="External" /><Relationship Type="http://schemas.openxmlformats.org/officeDocument/2006/relationships/hyperlink" Id="rId54" Target="https://doi.org/10.2139/ssrn.2874312" TargetMode="External" /><Relationship Type="http://schemas.openxmlformats.org/officeDocument/2006/relationships/hyperlink" Id="rId99" Target="https://doi.org/10.5210/fm.v17i5.4013" TargetMode="External" /><Relationship Type="http://schemas.openxmlformats.org/officeDocument/2006/relationships/hyperlink" Id="rId64" Target="https://doi.org/10.7551/mitpress/8732.003.0007" TargetMode="External" /><Relationship Type="http://schemas.openxmlformats.org/officeDocument/2006/relationships/hyperlink" Id="rId45" Target="https://eprints.ncl.ac.uk/273832#." TargetMode="External" /><Relationship Type="http://schemas.openxmlformats.org/officeDocument/2006/relationships/hyperlink" Id="rId70" Target="https://explainableai.com/" TargetMode="External" /><Relationship Type="http://schemas.openxmlformats.org/officeDocument/2006/relationships/hyperlink" Id="rId92" Target="https://medium.com/civic-innovation/defining-civic-hacking-16844fc161cd" TargetMode="External" /><Relationship Type="http://schemas.openxmlformats.org/officeDocument/2006/relationships/hyperlink" Id="rId115" Target="https://opengovdata.io/2014/civic-hacking/" TargetMode="External" /><Relationship Type="http://schemas.openxmlformats.org/officeDocument/2006/relationships/hyperlink" Id="rId60" Target="https://privacyinternational.org/about" TargetMode="External" /><Relationship Type="http://schemas.openxmlformats.org/officeDocument/2006/relationships/hyperlink" Id="rId87" Target="https://s3.amazonaws.com/academia.edu.documents/46870765/haystack.pdf" TargetMode="External" /><Relationship Type="http://schemas.openxmlformats.org/officeDocument/2006/relationships/hyperlink" Id="rId74" Target="https://socialmediacollective.org/reading-lists/critical-algorithm-studies/" TargetMode="External" /><Relationship Type="http://schemas.openxmlformats.org/officeDocument/2006/relationships/hyperlink" Id="rId105" Target="https://towardsdatascience.com/what-is-responsible-ai-548743369729" TargetMode="External" /><Relationship Type="http://schemas.openxmlformats.org/officeDocument/2006/relationships/hyperlink" Id="rId68" Target="https://web.archive.org/web/20051219171732/http://alarmingdevelopment.org/?p=5" TargetMode="External" /><Relationship Type="http://schemas.openxmlformats.org/officeDocument/2006/relationships/hyperlink" Id="rId103" Target="https://web.archive.org/web/20210325143142/https://www.mydata.org/declaration/" TargetMode="External" /><Relationship Type="http://schemas.openxmlformats.org/officeDocument/2006/relationships/hyperlink" Id="rId109" Target="https://wiki.p2pfoundation.net/Recursive_Public" TargetMode="External" /><Relationship Type="http://schemas.openxmlformats.org/officeDocument/2006/relationships/hyperlink" Id="rId112" Target="https://www.bbc.co.uk/rd/blog/2021-09-personal-data-store-research" TargetMode="External" /><Relationship Type="http://schemas.openxmlformats.org/officeDocument/2006/relationships/hyperlink" Id="rId43" Target="https://www.bitsoffreedom.nl/english/" TargetMode="External" /><Relationship Type="http://schemas.openxmlformats.org/officeDocument/2006/relationships/hyperlink" Id="rId49" Target="https://www.citizenme.com/for-citizens/" TargetMode="External" /><Relationship Type="http://schemas.openxmlformats.org/officeDocument/2006/relationships/hyperlink" Id="rId72" Target="https://www.didiy.eu/blogs/what-digital-diy/" TargetMode="External" /><Relationship Type="http://schemas.openxmlformats.org/officeDocument/2006/relationships/hyperlink" Id="rId66" Target="https://www.eff.org/deeplinks/2019/10/adversarial-interoperability" TargetMode="External" /><Relationship Type="http://schemas.openxmlformats.org/officeDocument/2006/relationships/hyperlink" Id="rId56" Target="https://www.opendemocracy.net/en/civic_hacking_a_new_agenda_for_e_democracy/" TargetMode="External" /><Relationship Type="http://schemas.openxmlformats.org/officeDocument/2006/relationships/hyperlink" Id="rId107" Target="https://www.openrightsgroup.org/who-we-are/" TargetMode="External" /><Relationship Type="http://schemas.openxmlformats.org/officeDocument/2006/relationships/hyperlink" Id="rId82" Target="https://www.weforum.org/agenda/2021/08/self-sovereign-identity-future-personal-data-ownership/" TargetMode="External" /><Relationship Type="http://schemas.openxmlformats.org/officeDocument/2006/relationships/hyperlink" Id="rId122"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1" Target="http://www.bos-cbscsr.dk/2021/01/05/the-maker-movement/" TargetMode="External" /><Relationship Type="http://schemas.openxmlformats.org/officeDocument/2006/relationships/hyperlink" Id="rId80" Target="http://www.manovich.net/DOCS/data_art.doc," TargetMode="External" /><Relationship Type="http://schemas.openxmlformats.org/officeDocument/2006/relationships/hyperlink" Id="rId76" Target="http://www.minimizedistraction.com/" TargetMode="External" /><Relationship Type="http://schemas.openxmlformats.org/officeDocument/2006/relationships/hyperlink" Id="rId78" Target="http://www3.weforum.org/docs/WEF_RethinkingPersonalData_ANewLens_Report_2014.pdf" TargetMode="External" /><Relationship Type="http://schemas.openxmlformats.org/officeDocument/2006/relationships/hyperlink" Id="rId51" Target="https://designjustice.mitpress.mit.edu/pub/cfohnud7/release/4" TargetMode="External" /><Relationship Type="http://schemas.openxmlformats.org/officeDocument/2006/relationships/hyperlink" Id="rId62" Target="https://digi.me/" TargetMode="External" /><Relationship Type="http://schemas.openxmlformats.org/officeDocument/2006/relationships/hyperlink" Id="rId47" Target="https://doi.org/10.1007/s12394-010-0062-y" TargetMode="External" /><Relationship Type="http://schemas.openxmlformats.org/officeDocument/2006/relationships/hyperlink" Id="rId97" Target="https://doi.org/10.1016/j.lisr.2008.07.001" TargetMode="External" /><Relationship Type="http://schemas.openxmlformats.org/officeDocument/2006/relationships/hyperlink" Id="rId85" Target="https://doi.org/10.1145/1125451.1125469" TargetMode="External" /><Relationship Type="http://schemas.openxmlformats.org/officeDocument/2006/relationships/hyperlink" Id="rId119" Target="https://doi.org/10.1145/2851581.2886436" TargetMode="External" /><Relationship Type="http://schemas.openxmlformats.org/officeDocument/2006/relationships/hyperlink" Id="rId94" Target="https://doi.org/10.1145/3173574.3173692" TargetMode="External" /><Relationship Type="http://schemas.openxmlformats.org/officeDocument/2006/relationships/hyperlink" Id="rId58" Target="https://doi.org/10.1145/3301655" TargetMode="External" /><Relationship Type="http://schemas.openxmlformats.org/officeDocument/2006/relationships/hyperlink" Id="rId117" Target="https://doi.org/10.1177/2053951717736335" TargetMode="External" /><Relationship Type="http://schemas.openxmlformats.org/officeDocument/2006/relationships/hyperlink" Id="rId101" Target="https://doi.org/10.2139/ssrn.2508051" TargetMode="External" /><Relationship Type="http://schemas.openxmlformats.org/officeDocument/2006/relationships/hyperlink" Id="rId54" Target="https://doi.org/10.2139/ssrn.2874312" TargetMode="External" /><Relationship Type="http://schemas.openxmlformats.org/officeDocument/2006/relationships/hyperlink" Id="rId99" Target="https://doi.org/10.5210/fm.v17i5.4013" TargetMode="External" /><Relationship Type="http://schemas.openxmlformats.org/officeDocument/2006/relationships/hyperlink" Id="rId64" Target="https://doi.org/10.7551/mitpress/8732.003.0007" TargetMode="External" /><Relationship Type="http://schemas.openxmlformats.org/officeDocument/2006/relationships/hyperlink" Id="rId45" Target="https://eprints.ncl.ac.uk/273832#." TargetMode="External" /><Relationship Type="http://schemas.openxmlformats.org/officeDocument/2006/relationships/hyperlink" Id="rId70" Target="https://explainableai.com/" TargetMode="External" /><Relationship Type="http://schemas.openxmlformats.org/officeDocument/2006/relationships/hyperlink" Id="rId92" Target="https://medium.com/civic-innovation/defining-civic-hacking-16844fc161cd" TargetMode="External" /><Relationship Type="http://schemas.openxmlformats.org/officeDocument/2006/relationships/hyperlink" Id="rId115" Target="https://opengovdata.io/2014/civic-hacking/" TargetMode="External" /><Relationship Type="http://schemas.openxmlformats.org/officeDocument/2006/relationships/hyperlink" Id="rId60" Target="https://privacyinternational.org/about" TargetMode="External" /><Relationship Type="http://schemas.openxmlformats.org/officeDocument/2006/relationships/hyperlink" Id="rId87" Target="https://s3.amazonaws.com/academia.edu.documents/46870765/haystack.pdf" TargetMode="External" /><Relationship Type="http://schemas.openxmlformats.org/officeDocument/2006/relationships/hyperlink" Id="rId74" Target="https://socialmediacollective.org/reading-lists/critical-algorithm-studies/" TargetMode="External" /><Relationship Type="http://schemas.openxmlformats.org/officeDocument/2006/relationships/hyperlink" Id="rId105" Target="https://towardsdatascience.com/what-is-responsible-ai-548743369729" TargetMode="External" /><Relationship Type="http://schemas.openxmlformats.org/officeDocument/2006/relationships/hyperlink" Id="rId68" Target="https://web.archive.org/web/20051219171732/http://alarmingdevelopment.org/?p=5" TargetMode="External" /><Relationship Type="http://schemas.openxmlformats.org/officeDocument/2006/relationships/hyperlink" Id="rId103" Target="https://web.archive.org/web/20210325143142/https://www.mydata.org/declaration/" TargetMode="External" /><Relationship Type="http://schemas.openxmlformats.org/officeDocument/2006/relationships/hyperlink" Id="rId109" Target="https://wiki.p2pfoundation.net/Recursive_Public" TargetMode="External" /><Relationship Type="http://schemas.openxmlformats.org/officeDocument/2006/relationships/hyperlink" Id="rId112" Target="https://www.bbc.co.uk/rd/blog/2021-09-personal-data-store-research" TargetMode="External" /><Relationship Type="http://schemas.openxmlformats.org/officeDocument/2006/relationships/hyperlink" Id="rId43" Target="https://www.bitsoffreedom.nl/english/" TargetMode="External" /><Relationship Type="http://schemas.openxmlformats.org/officeDocument/2006/relationships/hyperlink" Id="rId49" Target="https://www.citizenme.com/for-citizens/" TargetMode="External" /><Relationship Type="http://schemas.openxmlformats.org/officeDocument/2006/relationships/hyperlink" Id="rId72" Target="https://www.didiy.eu/blogs/what-digital-diy/" TargetMode="External" /><Relationship Type="http://schemas.openxmlformats.org/officeDocument/2006/relationships/hyperlink" Id="rId66" Target="https://www.eff.org/deeplinks/2019/10/adversarial-interoperability" TargetMode="External" /><Relationship Type="http://schemas.openxmlformats.org/officeDocument/2006/relationships/hyperlink" Id="rId56" Target="https://www.opendemocracy.net/en/civic_hacking_a_new_agenda_for_e_democracy/" TargetMode="External" /><Relationship Type="http://schemas.openxmlformats.org/officeDocument/2006/relationships/hyperlink" Id="rId107" Target="https://www.openrightsgroup.org/who-we-are/" TargetMode="External" /><Relationship Type="http://schemas.openxmlformats.org/officeDocument/2006/relationships/hyperlink" Id="rId82" Target="https://www.weforum.org/agenda/2021/08/self-sovereign-identity-future-personal-data-ownership/" TargetMode="External" /><Relationship Type="http://schemas.openxmlformats.org/officeDocument/2006/relationships/hyperlink" Id="rId122"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2023-05-29T18:01:58Z</dcterms:created>
  <dcterms:modified xsi:type="dcterms:W3CDTF">2023-05-29T18:01:58Z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