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chapter, I will bring the two parts of the thesis together, reflecting on my journey as a researcher, activist and innovator through this work, and contextualising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[TODO write personal reflection using material from C1 plus new]</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5">
        <w:r>
          <w:rPr>
            <w:rStyle w:val="Hyperlink"/>
          </w:rPr>
          <w:t xml:space="preserve">15</w:t>
        </w:r>
      </w:hyperlink>
      <w:r>
        <w:t xml:space="preserve"> </w:t>
      </w:r>
      <w:r>
        <w:rPr>
          <w:bCs/>
          <w:b/>
        </w:rPr>
        <w:t xml:space="preserve">data</w:t>
      </w:r>
      <w:r>
        <w:t xml:space="preserve">,</w:t>
      </w:r>
      <w:r>
        <w:t xml:space="preserve"> </w:t>
      </w:r>
      <w:r>
        <w:rPr>
          <w:bCs/>
          <w:b/>
        </w:rPr>
        <w:t xml:space="preserve">process transparency, individual oversight capabilities and involvement in decision-making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5">
        <w:r>
          <w:rPr>
            <w:rStyle w:val="Hyperlink"/>
          </w:rPr>
          <w:t xml:space="preserve">15</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investiment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2022-08-07T13:17:35Z</dcterms:created>
  <dcterms:modified xsi:type="dcterms:W3CDTF">2022-08-07T13:17:35Z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