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 </w:t>
      </w:r>
      <w:r>
        <w:t xml:space="preserve">– Victor Hugo</w:t>
      </w:r>
    </w:p>
    <w:p>
      <w:pPr>
        <w:pStyle w:val="FirstParagraph"/>
      </w:pPr>
      <w:r>
        <w:t xml:space="preserve">In this chapter, I will reflect on my journey as a researcher, activist and innovator through this work, and contextualise the contributions of the thesis in terms of their legacy and future value.</w:t>
      </w:r>
    </w:p>
    <w:bookmarkStart w:id="20" w:name="personal-reflection"/>
    <w:p>
      <w:pPr>
        <w:pStyle w:val="Heading2"/>
      </w:pPr>
      <w:r>
        <w:rPr>
          <w:rStyle w:val="SectionNumber"/>
        </w:rPr>
        <w:t xml:space="preserve">1.1</w:t>
      </w:r>
      <w:r>
        <w:tab/>
      </w:r>
      <w:r>
        <w:t xml:space="preserve">Personal Reflection</w:t>
      </w:r>
    </w:p>
    <w:p>
      <w:pPr>
        <w:pStyle w:val="FirstParagraph"/>
      </w:pPr>
      <w:r>
        <w:t xml:space="preserve">[TODO write personal reflection using material from C1 plus new]</w:t>
      </w:r>
    </w:p>
    <w:bookmarkEnd w:id="20"/>
    <w:bookmarkStart w:id="21"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w:t>
      </w:r>
      <w:r>
        <w:t xml:space="preserve"> </w:t>
      </w:r>
      <w:r>
        <w:rPr>
          <w:bCs/>
          <w:b/>
        </w:rPr>
        <w:t xml:space="preserve">a detailed understanding of individual needs around data interaction and data-centric service relationships</w:t>
      </w:r>
      <w:r>
        <w:t xml:space="preserve"> </w:t>
      </w:r>
      <w:r>
        <w:t xml:space="preserve">[</w:t>
      </w:r>
      <w:hyperlink w:anchor="chapter-6">
        <w:r>
          <w:rPr>
            <w:rStyle w:val="Hyperlink"/>
          </w:rPr>
          <w:t xml:space="preserve">Chapter 6</w:t>
        </w:r>
      </w:hyperlink>
      <w:r>
        <w:t xml:space="preserve">], backed by empirical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w:t>
      </w:r>
      <w:r>
        <w:t xml:space="preserve"> </w:t>
      </w:r>
      <w:r>
        <w:rPr>
          <w:bCs/>
          <w:b/>
        </w:rPr>
        <w:t xml:space="preserve">visible, understandable and useable</w:t>
      </w:r>
      <w:hyperlink w:anchor="fn15">
        <w:r>
          <w:rPr>
            <w:rStyle w:val="Hyperlink"/>
          </w:rPr>
          <w:t xml:space="preserve">15</w:t>
        </w:r>
      </w:hyperlink>
      <w:r>
        <w:t xml:space="preserve"> </w:t>
      </w:r>
      <w:r>
        <w:rPr>
          <w:bCs/>
          <w:b/>
        </w:rPr>
        <w:t xml:space="preserve">data</w:t>
      </w:r>
      <w:r>
        <w:t xml:space="preserve">,</w:t>
      </w:r>
      <w:r>
        <w:t xml:space="preserve"> </w:t>
      </w:r>
      <w:r>
        <w:rPr>
          <w:bCs/>
          <w:b/>
        </w:rPr>
        <w:t xml:space="preserve">process transparency, individual oversight capabilities and involvement in decision-making</w:t>
      </w:r>
      <w:r>
        <w:t xml:space="preserve">.</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w:t>
      </w:r>
      <w:r>
        <w:t xml:space="preserve"> </w:t>
      </w:r>
      <w:r>
        <w:rPr>
          <w:bCs/>
          <w:b/>
        </w:rPr>
        <w:t xml:space="preserve">a clearly-defined new field for future research and innovation,</w:t>
      </w:r>
      <w:r>
        <w:rPr>
          <w:bCs/>
          <w:b/>
        </w:rPr>
        <w:t xml:space="preserve"> </w:t>
      </w:r>
      <w:r>
        <w:rPr>
          <w:iCs/>
          <w:i/>
          <w:bCs/>
          <w:b/>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5">
        <w:r>
          <w:rPr>
            <w:rStyle w:val="Hyperlink"/>
          </w:rPr>
          <w:t xml:space="preserve">15</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pusuit of better Human Data Relations in four different real-world academic and industrial project settings [</w:t>
      </w:r>
      <w:hyperlink w:anchor="Xe27230ba01bbc53968feca07aae81d544d0a7c6">
        <w:r>
          <w:rPr>
            <w:rStyle w:val="Hyperlink"/>
          </w:rPr>
          <w:t xml:space="preserve">7.1.1</w:t>
        </w:r>
      </w:hyperlink>
      <w:r>
        <w:t xml:space="preserve">]. This allows for additional insights, designs and implementation strategies that enable the thesis to offer more than just a theoretical contribution, but</w:t>
      </w:r>
      <w:r>
        <w:t xml:space="preserve"> </w:t>
      </w:r>
      <w:r>
        <w:rPr>
          <w:bCs/>
          <w:b/>
        </w:rPr>
        <w:t xml:space="preserve">clear and actionable insights that could be immediately explored by researchers and innovators</w:t>
      </w:r>
      <w:r>
        <w:t xml:space="preserve"> </w:t>
      </w:r>
      <w:r>
        <w:t xml:space="preserve">-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investiment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are made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 sets the scene for an progressive and activist agenda to realise those needs.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w:t>
      </w:r>
      <w:r>
        <w:t xml:space="preserve"> </w:t>
      </w:r>
      <w:r>
        <w:rPr>
          <w:bCs/>
          <w:b/>
        </w:rPr>
        <w:t xml:space="preserve">design and implementation strategies</w:t>
      </w:r>
      <w:r>
        <w:t xml:space="preserve"> </w:t>
      </w:r>
      <w:r>
        <w:t xml:space="preserve">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 drive us towards a better future to deliver increased agency for individuals, greater data use capabilities, and a more balanced landscape around the use of personal data by service providers.</w: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2022-07-31T15:35:25Z</dcterms:created>
  <dcterms:modified xsi:type="dcterms:W3CDTF">2022-07-31T15:35:25Z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