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1" w:name="frontmatter"/>
    <w:p>
      <w:pPr>
        <w:pStyle w:val="Heading1"/>
      </w:pPr>
      <w:r>
        <w:t xml:space="preserve">Frontmatter</w:t>
      </w:r>
    </w:p>
    <w:bookmarkStart w:id="20" w:name="abstract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Technologies including PCs, smartphones, and cloud computing have transformed the world: In our daily lives we interact with many businesses and public services who (to reduce costs) increasingly seek to rely on data collection and processing rather than face-to-face user interactions to inform their decisions. This creates an</w:t>
      </w:r>
      <w:r>
        <w:t xml:space="preserve"> </w:t>
      </w:r>
      <w:r>
        <w:rPr>
          <w:iCs/>
          <w:i/>
        </w:rPr>
        <w:t xml:space="preserve">imbalance of power</w:t>
      </w:r>
      <w:r>
        <w:t xml:space="preserve"> </w:t>
      </w:r>
      <w:r>
        <w:t xml:space="preserve">between those who hold data and the individuals about whom data is stored, who cannot easily see their personal data or how it is used. This</w:t>
      </w:r>
      <w:r>
        <w:t xml:space="preserve"> </w:t>
      </w:r>
      <w:r>
        <w:rPr>
          <w:iCs/>
          <w:i/>
        </w:rPr>
        <w:t xml:space="preserve">Digital Civics</w:t>
      </w:r>
      <w:r>
        <w:t xml:space="preserve"> </w:t>
      </w:r>
      <w:r>
        <w:t xml:space="preserve">PhD research explores, from a pragmatic, constructivist perspective, the topic of</w:t>
      </w:r>
      <w:r>
        <w:t xml:space="preserve"> </w:t>
      </w:r>
      <w:r>
        <w:rPr>
          <w:iCs/>
          <w:i/>
        </w:rPr>
        <w:t xml:space="preserve">Human Data Relations</w:t>
      </w:r>
      <w:r>
        <w:t xml:space="preserve">. Through two qualitative case studies across public and private sectors, it answers the question,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What relationship do people need with their personal data?</w:t>
      </w:r>
      <w:r>
        <w:rPr>
          <w:iCs/>
          <w:i/>
        </w:rPr>
        <w:t xml:space="preserve">”</w:t>
      </w:r>
      <w:r>
        <w:t xml:space="preserve">. Case Study One focuses on</w:t>
      </w:r>
      <w:r>
        <w:t xml:space="preserve"> </w:t>
      </w:r>
      <w:r>
        <w:rPr>
          <w:iCs/>
          <w:i/>
        </w:rPr>
        <w:t xml:space="preserve">Early Help</w:t>
      </w:r>
      <w:r>
        <w:t xml:space="preserve"> </w:t>
      </w:r>
      <w:r>
        <w:t xml:space="preserve">social care: Through four workshops with supported families, social workers and staff, a deep understanding of the individual perspective on civic personal data use is established.</w:t>
      </w:r>
      <w:r>
        <w:t xml:space="preserve"> </w:t>
      </w:r>
      <w:r>
        <w:rPr>
          <w:iCs/>
          <w:i/>
        </w:rPr>
        <w:t xml:space="preserve">Shared data interaction</w:t>
      </w:r>
      <w:r>
        <w:t xml:space="preserve"> </w:t>
      </w:r>
      <w:r>
        <w:t xml:space="preserve">is explored as a means to shift the balance of power towards the individual while maintaining an effective care relationship. Case Study Two is a three-month study exploring 10 participants’ experience of using</w:t>
      </w:r>
      <w:r>
        <w:t xml:space="preserve"> </w:t>
      </w:r>
      <w:r>
        <w:rPr>
          <w:iCs/>
          <w:i/>
        </w:rPr>
        <w:t xml:space="preserve">GDPR data access rights</w:t>
      </w:r>
      <w:r>
        <w:t xml:space="preserve"> </w:t>
      </w:r>
      <w:r>
        <w:t xml:space="preserve">to view their own data, resulting in insights into individual needs and the challenges of data-centric service relationships, and recommendations for improvement of policies and practices. With reference to literature from the fields of</w:t>
      </w:r>
      <w:r>
        <w:t xml:space="preserve"> </w:t>
      </w:r>
      <w:r>
        <w:rPr>
          <w:iCs/>
          <w:i/>
        </w:rPr>
        <w:t xml:space="preserve">Personal Information Management</w:t>
      </w:r>
      <w:r>
        <w:t xml:space="preserve">,</w:t>
      </w:r>
      <w:r>
        <w:t xml:space="preserve"> </w:t>
      </w:r>
      <w:r>
        <w:rPr>
          <w:iCs/>
          <w:i/>
        </w:rPr>
        <w:t xml:space="preserve">Human Data Interaction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MyData</w:t>
      </w:r>
      <w:r>
        <w:t xml:space="preserve"> </w:t>
      </w:r>
      <w:r>
        <w:t xml:space="preserve">personal data ecosystems, these case studies contribute to a unified understanding of</w:t>
      </w:r>
      <w:r>
        <w:t xml:space="preserve"> </w:t>
      </w:r>
      <w:r>
        <w:rPr>
          <w:iCs/>
          <w:i/>
        </w:rPr>
        <w:t xml:space="preserve">six core needs</w:t>
      </w:r>
      <w:r>
        <w:t xml:space="preserve"> </w:t>
      </w:r>
      <w:r>
        <w:t xml:space="preserve">that people have in Human Data Relations. In the final chapter, the thesis discusses the</w:t>
      </w:r>
      <w:r>
        <w:t xml:space="preserve"> </w:t>
      </w:r>
      <w:r>
        <w:rPr>
          <w:iCs/>
          <w:i/>
        </w:rPr>
        <w:t xml:space="preserve">practical pursuit</w:t>
      </w:r>
      <w:r>
        <w:t xml:space="preserve"> </w:t>
      </w:r>
      <w:r>
        <w:t xml:space="preserve">of these goals, drawing on first-hand knowledge acquired from expert participation in industrial research projects at BBC R&amp;D and Hestia.ai/SITRA, mapping out the</w:t>
      </w:r>
      <w:r>
        <w:t xml:space="preserve"> </w:t>
      </w:r>
      <w:r>
        <w:rPr>
          <w:iCs/>
          <w:i/>
        </w:rPr>
        <w:t xml:space="preserve">landscape for future research and innovation</w:t>
      </w:r>
      <w:r>
        <w:t xml:space="preserve">.</w:t>
      </w:r>
    </w:p>
    <w:bookmarkEnd w:id="20"/>
    <w:bookmarkEnd w:id="21"/>
    <w:bookmarkStart w:id="22" w:name="acknowledgements"/>
    <w:p>
      <w:pPr>
        <w:pStyle w:val="Heading1"/>
      </w:pPr>
      <w:r>
        <w:t xml:space="preserve">Acknowledgements</w:t>
      </w:r>
    </w:p>
    <w:bookmarkEnd w:id="22"/>
    <w:bookmarkStart w:id="27" w:name="lists-of-tables-and-figures"/>
    <w:p>
      <w:pPr>
        <w:pStyle w:val="Heading1"/>
      </w:pPr>
      <w:r>
        <w:t xml:space="preserve">Lists of Tables and Figures</w:t>
      </w:r>
    </w:p>
    <w:bookmarkStart w:id="24" w:name="lists-of-tables-by-chapter"/>
    <w:p>
      <w:pPr>
        <w:pStyle w:val="Heading2"/>
      </w:pPr>
      <w:r>
        <w:t xml:space="preserve">Lists of Tables by chapter</w:t>
      </w:r>
    </w:p>
    <w:bookmarkStart w:id="23" w:name="tables-in-chapter-n"/>
    <w:p>
      <w:pPr>
        <w:pStyle w:val="Heading3"/>
      </w:pPr>
      <w:r>
        <w:t xml:space="preserve">Tables in Chapter 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Table N.n</w:t>
      </w:r>
      <w:r>
        <w:t xml:space="preserve"> </w:t>
      </w:r>
      <w:r>
        <w:t xml:space="preserve">- Description goes here</w:t>
      </w:r>
    </w:p>
    <w:bookmarkEnd w:id="23"/>
    <w:bookmarkEnd w:id="24"/>
    <w:bookmarkStart w:id="26" w:name="lists-of-figures-by-chapter"/>
    <w:p>
      <w:pPr>
        <w:pStyle w:val="Heading2"/>
      </w:pPr>
      <w:r>
        <w:t xml:space="preserve">Lists of Figures by chapter</w:t>
      </w:r>
    </w:p>
    <w:bookmarkStart w:id="25" w:name="figures-in-chapter-n"/>
    <w:p>
      <w:pPr>
        <w:pStyle w:val="Heading3"/>
      </w:pPr>
      <w:r>
        <w:t xml:space="preserve">Figures in Chapter 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Figure N.n</w:t>
      </w:r>
      <w:r>
        <w:t xml:space="preserve"> </w:t>
      </w:r>
      <w:r>
        <w:t xml:space="preserve">- Description goes here</w:t>
      </w:r>
    </w:p>
    <w:bookmarkEnd w:id="25"/>
    <w:bookmarkEnd w:id="26"/>
    <w:bookmarkEnd w:id="27"/>
    <w:bookmarkStart w:id="28" w:name="bibliography"/>
    <w:p>
      <w:pPr>
        <w:pStyle w:val="Heading1"/>
      </w:pPr>
      <w:r>
        <w:t xml:space="preserve">Bibliography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2022-06-29T15:15:19Z</dcterms:created>
  <dcterms:modified xsi:type="dcterms:W3CDTF">2022-06-29T15:15:19Z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