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(in pursuit of cost-saving) increasingly seek to rely on data collection and processing rather than face-to-face user interactions to inform their decisions. This creates an</w:t>
      </w:r>
      <w:r>
        <w:t xml:space="preserve"> </w:t>
      </w:r>
      <w:r>
        <w:rPr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What do we want from data, and from those who hold data about us?</w:t>
      </w:r>
      <w:r>
        <w:rPr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providing a workable</w:t>
      </w:r>
      <w:r>
        <w:t xml:space="preserve"> </w:t>
      </w:r>
      <w:r>
        <w:rPr>
          <w:i/>
        </w:rPr>
        <w:t xml:space="preserve">roadmap for future research and innovation</w:t>
      </w:r>
      <w:r>
        <w:t xml:space="preserve">.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2022-05-14T09:34:38Z</dcterms:created>
  <dcterms:modified xsi:type="dcterms:W3CDTF">2022-05-14T09:34:38Z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