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 Digital Civics 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 Digital Civics 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7" w:name="lists-of-tables-and-figures"/>
    <w:p>
      <w:pPr>
        <w:pStyle w:val="Heading1"/>
      </w:pPr>
      <w:r>
        <w:t xml:space="preserve">Lists of Tables and Figures</w:t>
      </w:r>
    </w:p>
    <w:bookmarkStart w:id="28"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Table 3.1</w:t>
        </w:r>
      </w:hyperlink>
      <w:r>
        <w:t xml:space="preserve"> </w:t>
      </w:r>
      <w:r>
        <w:t xml:space="preserve">- Context One (Civic Data &amp; Early Help): Participants involved in Research Activities leading into Case Study One.</w:t>
      </w:r>
    </w:p>
    <w:p>
      <w:pPr>
        <w:pStyle w:val="BodyText"/>
      </w:pPr>
      <w:hyperlink w:anchor="table-3.2">
        <w:r>
          <w:rPr>
            <w:rStyle w:val="Hyperlink"/>
          </w:rPr>
          <w:t xml:space="preserve">Table 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Table 4.1</w:t>
        </w:r>
      </w:hyperlink>
      <w:r>
        <w:t xml:space="preserve"> </w:t>
      </w:r>
      <w:r>
        <w:t xml:space="preserve">- Example Categories of Family Civic Data</w:t>
      </w:r>
    </w:p>
    <w:p>
      <w:pPr>
        <w:pStyle w:val="BodyText"/>
      </w:pPr>
      <w:hyperlink w:anchor="table-4.2">
        <w:r>
          <w:rPr>
            <w:rStyle w:val="Hyperlink"/>
          </w:rPr>
          <w:t xml:space="preserve">Table 4.2</w:t>
        </w:r>
      </w:hyperlink>
      <w:r>
        <w:t xml:space="preserve"> </w:t>
      </w:r>
      <w:r>
        <w:t xml:space="preserve">- Case Study One Group Design Workshops</w:t>
      </w:r>
    </w:p>
    <w:p>
      <w:pPr>
        <w:pStyle w:val="BodyText"/>
      </w:pPr>
      <w:hyperlink w:anchor="table-4.3">
        <w:r>
          <w:rPr>
            <w:rStyle w:val="Hyperlink"/>
          </w:rPr>
          <w:t xml:space="preserve">Table 4.3</w:t>
        </w:r>
      </w:hyperlink>
      <w:r>
        <w:t xml:space="preserve"> </w:t>
      </w:r>
      <w:r>
        <w:t xml:space="preserve">- Theme 1 - Meaningful Data Interaction for Families: Subthemes &amp; Participant Quotes</w:t>
      </w:r>
    </w:p>
    <w:p>
      <w:pPr>
        <w:pStyle w:val="BodyText"/>
      </w:pPr>
      <w:hyperlink w:anchor="table-4.4">
        <w:r>
          <w:rPr>
            <w:rStyle w:val="Hyperlink"/>
          </w:rPr>
          <w:t xml:space="preserve">Table 4.4</w:t>
        </w:r>
      </w:hyperlink>
      <w:r>
        <w:t xml:space="preserve"> </w:t>
      </w:r>
      <w:r>
        <w:t xml:space="preserve">- Theme 2 - Giving a Voice to the Family: Subthemes &amp; Participant Quotes</w:t>
      </w:r>
    </w:p>
    <w:p>
      <w:pPr>
        <w:pStyle w:val="BodyText"/>
      </w:pPr>
      <w:hyperlink w:anchor="table-4.5">
        <w:r>
          <w:rPr>
            <w:rStyle w:val="Hyperlink"/>
          </w:rPr>
          <w:t xml:space="preserve">Table 4.5</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Table 5.1</w:t>
        </w:r>
      </w:hyperlink>
      <w:r>
        <w:t xml:space="preserve"> </w:t>
      </w:r>
      <w:r>
        <w:t xml:space="preserve">- Types of Data Holding Organisation Targeted for GDPR Requests by Study Participants</w:t>
      </w:r>
    </w:p>
    <w:p>
      <w:pPr>
        <w:pStyle w:val="BodyText"/>
      </w:pPr>
      <w:hyperlink w:anchor="table-5.2">
        <w:r>
          <w:rPr>
            <w:rStyle w:val="Hyperlink"/>
          </w:rPr>
          <w:t xml:space="preserve">Table 5.2</w:t>
        </w:r>
      </w:hyperlink>
      <w:r>
        <w:t xml:space="preserve"> </w:t>
      </w:r>
      <w:r>
        <w:t xml:space="preserve">- Types of Personal Data Potentially Accessible from Data Holders via GDPR Rights</w:t>
      </w:r>
    </w:p>
    <w:p>
      <w:pPr>
        <w:pStyle w:val="BodyText"/>
      </w:pPr>
      <w:hyperlink w:anchor="table-5.3">
        <w:r>
          <w:rPr>
            <w:rStyle w:val="Hyperlink"/>
          </w:rPr>
          <w:t xml:space="preserve">Table 5.3</w:t>
        </w:r>
      </w:hyperlink>
      <w:r>
        <w:t xml:space="preserve"> </w:t>
      </w:r>
      <w:r>
        <w:t xml:space="preserve">- Presence and Quality Assessments of GDPR Responses by Data Type (as Percentages)</w:t>
      </w:r>
    </w:p>
    <w:p>
      <w:pPr>
        <w:pStyle w:val="BodyText"/>
      </w:pPr>
      <w:hyperlink w:anchor="table-5.4">
        <w:r>
          <w:rPr>
            <w:rStyle w:val="Hyperlink"/>
          </w:rPr>
          <w:t xml:space="preserve">Table 5.4</w:t>
        </w:r>
      </w:hyperlink>
      <w:r>
        <w:t xml:space="preserve"> </w:t>
      </w:r>
      <w:r>
        <w:t xml:space="preserve">- Participants’ Hopes, Imagined Data Uses and Goals for GDPR, as well as Resultant Outcomes</w:t>
      </w:r>
    </w:p>
    <w:p>
      <w:pPr>
        <w:pStyle w:val="BodyText"/>
      </w:pPr>
      <w:hyperlink w:anchor="table-5.5">
        <w:r>
          <w:rPr>
            <w:rStyle w:val="Hyperlink"/>
          </w:rPr>
          <w:t xml:space="preserve">Table 5.5</w:t>
        </w:r>
      </w:hyperlink>
      <w:r>
        <w:t xml:space="preserve"> </w:t>
      </w:r>
      <w:r>
        <w:t xml:space="preserve">- Theme 1 - Insufficient Transparency: Subthemes &amp; Participant Quotes</w:t>
      </w:r>
    </w:p>
    <w:p>
      <w:pPr>
        <w:pStyle w:val="BodyText"/>
      </w:pPr>
      <w:hyperlink w:anchor="table-5.6">
        <w:r>
          <w:rPr>
            <w:rStyle w:val="Hyperlink"/>
          </w:rPr>
          <w:t xml:space="preserve">Table 5.6</w:t>
        </w:r>
      </w:hyperlink>
      <w:r>
        <w:t xml:space="preserve"> </w:t>
      </w:r>
      <w:r>
        <w:t xml:space="preserve">- Theme 2 - Confusing &amp; Unuseable Data: Subthemes &amp; Participant Quotes</w:t>
      </w:r>
    </w:p>
    <w:p>
      <w:pPr>
        <w:pStyle w:val="BodyText"/>
      </w:pPr>
      <w:hyperlink w:anchor="table-5.7">
        <w:r>
          <w:rPr>
            <w:rStyle w:val="Hyperlink"/>
          </w:rPr>
          <w:t xml:space="preserve">Table 5.7</w:t>
        </w:r>
      </w:hyperlink>
      <w:r>
        <w:t xml:space="preserve"> </w:t>
      </w:r>
      <w:r>
        <w:t xml:space="preserve">- Theme 3 - Fragile Relationships: Subthemes &amp; Participant Quotes</w:t>
      </w:r>
    </w:p>
    <w:bookmarkEnd w:id="25"/>
    <w:bookmarkStart w:id="26" w:name="tables-in-chapter-7"/>
    <w:p>
      <w:pPr>
        <w:pStyle w:val="Heading3"/>
      </w:pPr>
      <w:r>
        <w:t xml:space="preserve">Tables in Chapter 7</w:t>
      </w:r>
    </w:p>
    <w:p>
      <w:pPr>
        <w:pStyle w:val="FirstParagraph"/>
      </w:pPr>
      <w:hyperlink w:anchor="table-7.1">
        <w:r>
          <w:rPr>
            <w:rStyle w:val="Hyperlink"/>
          </w:rPr>
          <w:t xml:space="preserve">Table 7.1</w:t>
        </w:r>
      </w:hyperlink>
      <w:r>
        <w:t xml:space="preserve"> </w:t>
      </w:r>
      <w:r>
        <w:t xml:space="preserve">- Eight Lenses on Personal Data</w:t>
      </w:r>
    </w:p>
    <w:bookmarkEnd w:id="26"/>
    <w:bookmarkStart w:id="27"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1">
        <w:r>
          <w:rPr>
            <w:rStyle w:val="Hyperlink"/>
          </w:rPr>
          <w:t xml:space="preserve">Table ARI.1</w:t>
        </w:r>
      </w:hyperlink>
      <w:r>
        <w:t xml:space="preserve"> </w:t>
      </w:r>
      <w:r>
        <w:t xml:space="preserve">- Best and Worst Data Holders for GDPR, according to Participants’ Judgements</w:t>
      </w:r>
    </w:p>
    <w:bookmarkEnd w:id="27"/>
    <w:bookmarkEnd w:id="28"/>
    <w:bookmarkStart w:id="36" w:name="lists-of-figures-by-chapter"/>
    <w:p>
      <w:pPr>
        <w:pStyle w:val="Heading2"/>
      </w:pPr>
      <w:r>
        <w:t xml:space="preserve">Lists of Figures by Chapter</w:t>
      </w:r>
    </w:p>
    <w:bookmarkStart w:id="29" w:name="figures-in-chapter-1"/>
    <w:p>
      <w:pPr>
        <w:pStyle w:val="Heading3"/>
      </w:pPr>
      <w:r>
        <w:t xml:space="preserve">Figures in Chapter 1</w:t>
      </w:r>
    </w:p>
    <w:p>
      <w:pPr>
        <w:pStyle w:val="FirstParagraph"/>
      </w:pPr>
      <w:hyperlink w:anchor="figure-1.1">
        <w:r>
          <w:rPr>
            <w:rStyle w:val="Hyperlink"/>
          </w:rPr>
          <w:t xml:space="preserve">Figure 1.1</w:t>
        </w:r>
      </w:hyperlink>
      <w:r>
        <w:t xml:space="preserve"> </w:t>
      </w:r>
      <w:r>
        <w:t xml:space="preserve">- Poster Presentation of Case Study One</w:t>
      </w:r>
    </w:p>
    <w:p>
      <w:pPr>
        <w:pStyle w:val="BodyText"/>
      </w:pPr>
      <w:hyperlink w:anchor="figure-1.2">
        <w:r>
          <w:rPr>
            <w:rStyle w:val="Hyperlink"/>
          </w:rPr>
          <w:t xml:space="preserve">Figure 1.2</w:t>
        </w:r>
      </w:hyperlink>
      <w:r>
        <w:t xml:space="preserve"> </w:t>
      </w:r>
      <w:r>
        <w:t xml:space="preserve">- The Structure of This Thesis</w:t>
      </w:r>
    </w:p>
    <w:bookmarkEnd w:id="29"/>
    <w:bookmarkStart w:id="30" w:name="figures-in-chapter-2"/>
    <w:p>
      <w:pPr>
        <w:pStyle w:val="Heading3"/>
      </w:pPr>
      <w:r>
        <w:t xml:space="preserve">Figures in Chapter 2</w:t>
      </w:r>
    </w:p>
    <w:p>
      <w:pPr>
        <w:pStyle w:val="FirstParagraph"/>
      </w:pPr>
      <w:hyperlink w:anchor="figure-2.1">
        <w:r>
          <w:rPr>
            <w:rStyle w:val="Hyperlink"/>
          </w:rPr>
          <w:t xml:space="preserve">Figure 2.1</w:t>
        </w:r>
      </w:hyperlink>
      <w:r>
        <w:t xml:space="preserve"> </w:t>
      </w:r>
      <w:r>
        <w:t xml:space="preserve">- The Wisdom Curve: Making Data into Meaningful Information</w:t>
      </w:r>
    </w:p>
    <w:p>
      <w:pPr>
        <w:pStyle w:val="BodyText"/>
      </w:pPr>
      <w:hyperlink w:anchor="figure-2.2">
        <w:r>
          <w:rPr>
            <w:rStyle w:val="Hyperlink"/>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30"/>
    <w:bookmarkStart w:id="31" w:name="figures-in-chapter-3"/>
    <w:p>
      <w:pPr>
        <w:pStyle w:val="Heading3"/>
      </w:pPr>
      <w:r>
        <w:t xml:space="preserve">Figures in Chapter 3</w:t>
      </w:r>
    </w:p>
    <w:p>
      <w:pPr>
        <w:pStyle w:val="FirstParagraph"/>
      </w:pPr>
      <w:hyperlink w:anchor="figure-3.1">
        <w:r>
          <w:rPr>
            <w:rStyle w:val="Hyperlink"/>
          </w:rPr>
          <w:t xml:space="preserve">Figure 3.1</w:t>
        </w:r>
      </w:hyperlink>
      <w:r>
        <w:t xml:space="preserve"> </w:t>
      </w:r>
      <w:r>
        <w:t xml:space="preserve">- My Action Research Approach</w:t>
      </w:r>
    </w:p>
    <w:p>
      <w:pPr>
        <w:pStyle w:val="BodyText"/>
      </w:pPr>
      <w:hyperlink w:anchor="figure-3.2">
        <w:r>
          <w:rPr>
            <w:rStyle w:val="Hyperlink"/>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pStyle w:val="BodyText"/>
      </w:pPr>
      <w:hyperlink w:anchor="figure-3.3">
        <w:r>
          <w:rPr>
            <w:rStyle w:val="Hyperlink"/>
          </w:rPr>
          <w:t xml:space="preserve">Figure 3.3</w:t>
        </w:r>
      </w:hyperlink>
      <w:r>
        <w:t xml:space="preserve"> </w:t>
      </w:r>
      <w:r>
        <w:t xml:space="preserve">- Walls of Data — Sensitising Participants to the World of Commercially-held Data and GDPR</w:t>
      </w:r>
    </w:p>
    <w:p>
      <w:pPr>
        <w:pStyle w:val="BodyText"/>
      </w:pPr>
      <w:hyperlink w:anchor="figure-3.4">
        <w:r>
          <w:rPr>
            <w:rStyle w:val="Hyperlink"/>
          </w:rPr>
          <w:t xml:space="preserve">Figure 3.4</w:t>
        </w:r>
      </w:hyperlink>
      <w:r>
        <w:t xml:space="preserve"> </w:t>
      </w:r>
      <w:r>
        <w:t xml:space="preserve">- Sentence Ranking — Bringing Support Workers and Families to a Shared Problem Space</w:t>
      </w:r>
    </w:p>
    <w:p>
      <w:pPr>
        <w:pStyle w:val="BodyText"/>
      </w:pPr>
      <w:hyperlink w:anchor="figure-3.5">
        <w:r>
          <w:rPr>
            <w:rStyle w:val="Hyperlink"/>
          </w:rPr>
          <w:t xml:space="preserve">Figure 3.5</w:t>
        </w:r>
      </w:hyperlink>
      <w:r>
        <w:t xml:space="preserve"> </w:t>
      </w:r>
      <w:r>
        <w:t xml:space="preserve">- Family Civic Data Cards — Things to Think With</w:t>
      </w:r>
    </w:p>
    <w:p>
      <w:pPr>
        <w:pStyle w:val="BodyText"/>
      </w:pPr>
      <w:hyperlink w:anchor="figure-3.6">
        <w:r>
          <w:rPr>
            <w:rStyle w:val="Hyperlink"/>
          </w:rPr>
          <w:t xml:space="preserve">Figure 3.6</w:t>
        </w:r>
      </w:hyperlink>
      <w:r>
        <w:t xml:space="preserve"> </w:t>
      </w:r>
      <w:r>
        <w:t xml:space="preserve">- Personal Data Examples — Making Data Relatable</w:t>
      </w:r>
    </w:p>
    <w:p>
      <w:pPr>
        <w:pStyle w:val="BodyText"/>
      </w:pPr>
      <w:hyperlink w:anchor="figure-3.7">
        <w:r>
          <w:rPr>
            <w:rStyle w:val="Hyperlink"/>
          </w:rPr>
          <w:t xml:space="preserve">Figure 3.7</w:t>
        </w:r>
      </w:hyperlink>
      <w:r>
        <w:t xml:space="preserve"> </w:t>
      </w:r>
      <w:r>
        <w:t xml:space="preserve">- Home Interviewing: Card Sorting with a Family in Their Living Room</w:t>
      </w:r>
    </w:p>
    <w:p>
      <w:pPr>
        <w:pStyle w:val="BodyText"/>
      </w:pPr>
      <w:hyperlink w:anchor="figure-3.8">
        <w:r>
          <w:rPr>
            <w:rStyle w:val="Hyperlink"/>
          </w:rPr>
          <w:t xml:space="preserve">Figure 3.8</w:t>
        </w:r>
      </w:hyperlink>
      <w:r>
        <w:t xml:space="preserve"> </w:t>
      </w:r>
      <w:r>
        <w:t xml:space="preserve">- Ideation Decks — Combining Random Design Ingredients to Generate New Ideas</w:t>
      </w:r>
    </w:p>
    <w:p>
      <w:pPr>
        <w:pStyle w:val="BodyText"/>
      </w:pPr>
      <w:hyperlink w:anchor="figure-3.9">
        <w:r>
          <w:rPr>
            <w:rStyle w:val="Hyperlink"/>
          </w:rPr>
          <w:t xml:space="preserve">Figure 3.9</w:t>
        </w:r>
      </w:hyperlink>
      <w:r>
        <w:t xml:space="preserve"> </w:t>
      </w:r>
      <w:r>
        <w:t xml:space="preserve">- Group Poster Design — A Participant-designed Poster to Advertise Features of Imagined Data Interface Products</w:t>
      </w:r>
    </w:p>
    <w:p>
      <w:pPr>
        <w:pStyle w:val="BodyText"/>
      </w:pPr>
      <w:hyperlink w:anchor="figure-3.10">
        <w:r>
          <w:rPr>
            <w:rStyle w:val="Hyperlink"/>
          </w:rPr>
          <w:t xml:space="preserve">Figure 3.10</w:t>
        </w:r>
      </w:hyperlink>
      <w:r>
        <w:t xml:space="preserve"> </w:t>
      </w:r>
      <w:r>
        <w:t xml:space="preserve">- Storyboarding Cards — A Collaboratively-constructed Narrative Created through Discussion from a Palette of Possible Parent and Staff Actions</w:t>
      </w:r>
    </w:p>
    <w:p>
      <w:pPr>
        <w:pStyle w:val="BodyText"/>
      </w:pPr>
      <w:hyperlink w:anchor="figure-3.11">
        <w:r>
          <w:rPr>
            <w:rStyle w:val="Hyperlink"/>
          </w:rPr>
          <w:t xml:space="preserve">Figure 3.11</w:t>
        </w:r>
      </w:hyperlink>
      <w:r>
        <w:t xml:space="preserve"> </w:t>
      </w:r>
      <w:r>
        <w:t xml:space="preserve">- Thematic Analysis of Qualitative Data using Quirkos for Case Study One</w:t>
      </w:r>
    </w:p>
    <w:p>
      <w:pPr>
        <w:pStyle w:val="BodyText"/>
      </w:pPr>
      <w:hyperlink w:anchor="figure-3.12">
        <w:r>
          <w:rPr>
            <w:rStyle w:val="Hyperlink"/>
          </w:rPr>
          <w:t xml:space="preserve">Figure 3.12</w:t>
        </w:r>
      </w:hyperlink>
      <w:r>
        <w:t xml:space="preserve"> </w:t>
      </w:r>
      <w:r>
        <w:t xml:space="preserve">- Spreadsheet-based Quantitative Analysis of Interview Data for Case Study Two</w:t>
      </w:r>
    </w:p>
    <w:p>
      <w:pPr>
        <w:pStyle w:val="BodyText"/>
      </w:pPr>
      <w:hyperlink w:anchor="figure-3.13">
        <w:r>
          <w:rPr>
            <w:rStyle w:val="Hyperlink"/>
          </w:rPr>
          <w:t xml:space="preserve">Figure 3.13</w:t>
        </w:r>
      </w:hyperlink>
      <w:r>
        <w:t xml:space="preserve"> </w:t>
      </w:r>
      <w:r>
        <w:t xml:space="preserve">- Pilot Study Recruitment Poster</w:t>
      </w:r>
    </w:p>
    <w:p>
      <w:pPr>
        <w:pStyle w:val="BodyText"/>
      </w:pPr>
      <w:hyperlink w:anchor="figure-3.14">
        <w:r>
          <w:rPr>
            <w:rStyle w:val="Hyperlink"/>
          </w:rPr>
          <w:t xml:space="preserve">Figure 3.14</w:t>
        </w:r>
      </w:hyperlink>
      <w:r>
        <w:t xml:space="preserve"> </w:t>
      </w:r>
      <w:r>
        <w:t xml:space="preserve">- How the Case Studies and Peripheral Activities Contribute to This Thesis</w:t>
      </w:r>
    </w:p>
    <w:bookmarkEnd w:id="31"/>
    <w:bookmarkStart w:id="32" w:name="figures-in-chapter-4"/>
    <w:p>
      <w:pPr>
        <w:pStyle w:val="Heading3"/>
      </w:pPr>
      <w:r>
        <w:t xml:space="preserve">Figures in Chapter 4</w:t>
      </w:r>
    </w:p>
    <w:p>
      <w:pPr>
        <w:pStyle w:val="FirstParagraph"/>
      </w:pPr>
      <w:hyperlink w:anchor="figure-4.1">
        <w:r>
          <w:rPr>
            <w:rStyle w:val="Hyperlink"/>
          </w:rPr>
          <w:t xml:space="preserve">Figure 4.1</w:t>
        </w:r>
      </w:hyperlink>
      <w:r>
        <w:t xml:space="preserve"> </w:t>
      </w:r>
      <w:r>
        <w:t xml:space="preserve">- Participants’ Shared Values Deduced from Sentence Rankings Data</w:t>
      </w:r>
    </w:p>
    <w:p>
      <w:pPr>
        <w:pStyle w:val="BodyText"/>
      </w:pPr>
      <w:hyperlink w:anchor="figure-4.2">
        <w:r>
          <w:rPr>
            <w:rStyle w:val="Hyperlink"/>
          </w:rPr>
          <w:t xml:space="preserve">Figure 4.2</w:t>
        </w:r>
      </w:hyperlink>
      <w:r>
        <w:t xml:space="preserve"> </w:t>
      </w:r>
      <w:r>
        <w:t xml:space="preserve">- Current Model of Data Interaction, and Proposed Model of Shared Data Interaction</w:t>
      </w:r>
    </w:p>
    <w:bookmarkEnd w:id="32"/>
    <w:bookmarkStart w:id="33" w:name="figures-in-chapter-5"/>
    <w:p>
      <w:pPr>
        <w:pStyle w:val="Heading3"/>
      </w:pPr>
      <w:r>
        <w:t xml:space="preserve">Figures in Chapter 5</w:t>
      </w:r>
    </w:p>
    <w:p>
      <w:pPr>
        <w:pStyle w:val="FirstParagraph"/>
      </w:pPr>
      <w:hyperlink w:anchor="figure-5.1">
        <w:r>
          <w:rPr>
            <w:rStyle w:val="Hyperlink"/>
          </w:rPr>
          <w:t xml:space="preserve">Figure 5.1</w:t>
        </w:r>
      </w:hyperlink>
      <w:r>
        <w:t xml:space="preserve"> </w:t>
      </w:r>
      <w:r>
        <w:t xml:space="preserve">- A Journey Map of Each Participant’s Study Progression</w:t>
      </w:r>
    </w:p>
    <w:p>
      <w:pPr>
        <w:pStyle w:val="BodyText"/>
      </w:pPr>
      <w:hyperlink w:anchor="figure-5.2">
        <w:r>
          <w:rPr>
            <w:rStyle w:val="Hyperlink"/>
          </w:rPr>
          <w:t xml:space="preserve">Figure 5.2</w:t>
        </w:r>
      </w:hyperlink>
      <w:r>
        <w:t xml:space="preserve"> </w:t>
      </w:r>
      <w:r>
        <w:t xml:space="preserve">- An Example Life Sketch from Interview 1, with Data Handling Companies in Red, Data Types in Blue, and Feelings in Green</w:t>
      </w:r>
    </w:p>
    <w:p>
      <w:pPr>
        <w:pStyle w:val="BodyText"/>
      </w:pPr>
      <w:hyperlink w:anchor="figure-5.3">
        <w:r>
          <w:rPr>
            <w:rStyle w:val="Hyperlink"/>
          </w:rPr>
          <w:t xml:space="preserve">Figure 5.3</w:t>
        </w:r>
      </w:hyperlink>
      <w:r>
        <w:t xml:space="preserve"> </w:t>
      </w:r>
      <w:r>
        <w:t xml:space="preserve">- Sankey Overview of Participants’ GDPR Requests</w:t>
      </w:r>
    </w:p>
    <w:p>
      <w:pPr>
        <w:pStyle w:val="BodyText"/>
      </w:pPr>
      <w:hyperlink w:anchor="figure-5.4">
        <w:r>
          <w:rPr>
            <w:rStyle w:val="Hyperlink"/>
          </w:rPr>
          <w:t xml:space="preserve">Figure 5.4</w:t>
        </w:r>
      </w:hyperlink>
      <w:r>
        <w:t xml:space="preserve"> </w:t>
      </w:r>
      <w:r>
        <w:t xml:space="preserve">- Longitudinal Distribution of Net Changes in Participants’ Perceived Power and Trust Scores</w:t>
      </w:r>
    </w:p>
    <w:p>
      <w:pPr>
        <w:pStyle w:val="BodyText"/>
      </w:pPr>
      <w:hyperlink w:anchor="figure-5.6">
        <w:r>
          <w:rPr>
            <w:rStyle w:val="Hyperlink"/>
          </w:rPr>
          <w:t xml:space="preserve">Figure 5.6</w:t>
        </w:r>
      </w:hyperlink>
      <w:r>
        <w:t xml:space="preserve"> </w:t>
      </w:r>
      <w:r>
        <w:t xml:space="preserve">- Participants’ Perceived Trust in Provider at Different Stages of the GDPR/Study Process</w:t>
      </w:r>
    </w:p>
    <w:bookmarkEnd w:id="33"/>
    <w:bookmarkStart w:id="34" w:name="figures-in-chapter-7"/>
    <w:p>
      <w:pPr>
        <w:pStyle w:val="Heading3"/>
      </w:pPr>
      <w:r>
        <w:t xml:space="preserve">Figures in Chapter 7</w:t>
      </w:r>
    </w:p>
    <w:p>
      <w:pPr>
        <w:pStyle w:val="FirstParagraph"/>
      </w:pPr>
      <w:hyperlink w:anchor="figure-7.1">
        <w:r>
          <w:rPr>
            <w:rStyle w:val="Hyperlink"/>
          </w:rPr>
          <w:t xml:space="preserve">Figure 7.1</w:t>
        </w:r>
      </w:hyperlink>
      <w:r>
        <w:t xml:space="preserve"> </w:t>
      </w:r>
      <w:r>
        <w:t xml:space="preserve">- The Two Motivations for HDR: Controlling Your Personal Data Ecosystem and Utilising Your Information About Your Life</w:t>
      </w:r>
    </w:p>
    <w:p>
      <w:pPr>
        <w:pStyle w:val="BodyText"/>
      </w:pPr>
      <w:hyperlink w:anchor="figure-7.2">
        <w:r>
          <w:rPr>
            <w:rStyle w:val="Hyperlink"/>
          </w:rPr>
          <w:t xml:space="preserve">Figure 7.2</w:t>
        </w:r>
      </w:hyperlink>
      <w:r>
        <w:t xml:space="preserve"> </w:t>
      </w:r>
      <w:r>
        <w:t xml:space="preserve">- Mapping the Six Wants into Objectives for the HDR Opportunity Landscape</w:t>
      </w:r>
    </w:p>
    <w:p>
      <w:pPr>
        <w:pStyle w:val="BodyText"/>
      </w:pPr>
      <w:hyperlink w:anchor="figure-7.3">
        <w:r>
          <w:rPr>
            <w:rStyle w:val="Hyperlink"/>
          </w:rPr>
          <w:t xml:space="preserve">Figure 7.3</w:t>
        </w:r>
      </w:hyperlink>
      <w:r>
        <w:t xml:space="preserve"> </w:t>
      </w:r>
      <w:r>
        <w:t xml:space="preserve">- Obstacles and Resulting Insights in the HDR Opportunity Landscape</w:t>
      </w:r>
    </w:p>
    <w:p>
      <w:pPr>
        <w:pStyle w:val="BodyText"/>
      </w:pPr>
      <w:hyperlink w:anchor="figure-7.4">
        <w:r>
          <w:rPr>
            <w:rStyle w:val="Hyperlink"/>
          </w:rPr>
          <w:t xml:space="preserve">Figure 7.4</w:t>
        </w:r>
      </w:hyperlink>
      <w:r>
        <w:t xml:space="preserve"> </w:t>
      </w:r>
      <w:r>
        <w:t xml:space="preserve">- Life Concept Modelling</w:t>
      </w:r>
    </w:p>
    <w:p>
      <w:pPr>
        <w:pStyle w:val="BodyText"/>
      </w:pPr>
      <w:hyperlink w:anchor="figure-7.5">
        <w:r>
          <w:rPr>
            <w:rStyle w:val="Hyperlink"/>
          </w:rPr>
          <w:t xml:space="preserve">Figure 7.5</w:t>
        </w:r>
      </w:hyperlink>
      <w:r>
        <w:t xml:space="preserve"> </w:t>
      </w:r>
      <w:r>
        <w:t xml:space="preserve">- Mock-up of a Unified TV Viewing History Interface</w:t>
      </w:r>
    </w:p>
    <w:p>
      <w:pPr>
        <w:pStyle w:val="BodyText"/>
      </w:pPr>
      <w:hyperlink w:anchor="figure-7.6">
        <w:r>
          <w:rPr>
            <w:rStyle w:val="Hyperlink"/>
          </w:rPr>
          <w:t xml:space="preserve">Figure 7.6</w:t>
        </w:r>
      </w:hyperlink>
      <w:r>
        <w:t xml:space="preserve"> </w:t>
      </w:r>
      <w:r>
        <w:t xml:space="preserve">- SubsCrab: An Example Application for Ecosystem Detection and Visualisation</w:t>
      </w:r>
    </w:p>
    <w:p>
      <w:pPr>
        <w:pStyle w:val="BodyText"/>
      </w:pPr>
      <w:hyperlink w:anchor="figure-7.7">
        <w:r>
          <w:rPr>
            <w:rStyle w:val="Hyperlink"/>
          </w:rPr>
          <w:t xml:space="preserve">Figure 7.7</w:t>
        </w:r>
      </w:hyperlink>
      <w:r>
        <w:t xml:space="preserve"> </w:t>
      </w:r>
      <w:r>
        <w:t xml:space="preserve">- Some of the Many Aspects of Metadata that Might Exist About a Datapoint or Dataset</w:t>
      </w:r>
    </w:p>
    <w:p>
      <w:pPr>
        <w:pStyle w:val="BodyText"/>
      </w:pPr>
      <w:hyperlink w:anchor="figure-7.8">
        <w:r>
          <w:rPr>
            <w:rStyle w:val="Hyperlink"/>
          </w:rPr>
          <w:t xml:space="preserve">Figure 7.8</w:t>
        </w:r>
      </w:hyperlink>
      <w:r>
        <w:t xml:space="preserve"> </w:t>
      </w:r>
      <w:r>
        <w:t xml:space="preserve">- The Panopticon Structure of the Illinois State Penitentiary</w:t>
      </w:r>
    </w:p>
    <w:p>
      <w:pPr>
        <w:pStyle w:val="BodyText"/>
      </w:pPr>
      <w:hyperlink w:anchor="figure-7.9">
        <w:r>
          <w:rPr>
            <w:rStyle w:val="Hyperlink"/>
          </w:rPr>
          <w:t xml:space="preserve">Figure 7.9</w:t>
        </w:r>
      </w:hyperlink>
      <w:r>
        <w:t xml:space="preserve"> </w:t>
      </w:r>
      <w:r>
        <w:t xml:space="preserve">- Human Values, as Identified in BBC R&amp;D Research Funded by Nesta</w:t>
      </w:r>
    </w:p>
    <w:p>
      <w:pPr>
        <w:pStyle w:val="BodyText"/>
      </w:pPr>
      <w:hyperlink w:anchor="figure-7.10">
        <w:r>
          <w:rPr>
            <w:rStyle w:val="Hyperlink"/>
          </w:rPr>
          <w:t xml:space="preserve">Figure 7.10</w:t>
        </w:r>
      </w:hyperlink>
      <w:r>
        <w:t xml:space="preserve"> </w:t>
      </w:r>
      <w:r>
        <w:t xml:space="preserve">- A Contact-and-Calendar-centric PDS Approach</w:t>
      </w:r>
    </w:p>
    <w:p>
      <w:pPr>
        <w:pStyle w:val="BodyText"/>
      </w:pPr>
      <w:hyperlink w:anchor="figure-7.11">
        <w:r>
          <w:rPr>
            <w:rStyle w:val="Hyperlink"/>
          </w:rPr>
          <w:t xml:space="preserve">Figure 7.11</w:t>
        </w:r>
      </w:hyperlink>
      <w:r>
        <w:t xml:space="preserve"> </w:t>
      </w:r>
      <w:r>
        <w:t xml:space="preserve">- The Scattered Data Relating to a Vacation</w:t>
      </w:r>
    </w:p>
    <w:p>
      <w:pPr>
        <w:pStyle w:val="BodyText"/>
      </w:pPr>
      <w:hyperlink w:anchor="figure-7.12">
        <w:r>
          <w:rPr>
            <w:rStyle w:val="Hyperlink"/>
          </w:rPr>
          <w:t xml:space="preserve">Figure 7.12</w:t>
        </w:r>
      </w:hyperlink>
      <w:r>
        <w:t xml:space="preserve"> </w:t>
      </w:r>
      <w:r>
        <w:t xml:space="preserve">- Mock-up of a Unified Interface for a Vacation</w:t>
      </w:r>
    </w:p>
    <w:p>
      <w:pPr>
        <w:pStyle w:val="BodyText"/>
      </w:pPr>
      <w:hyperlink w:anchor="figure-7.13">
        <w:r>
          <w:rPr>
            <w:rStyle w:val="Hyperlink"/>
          </w:rPr>
          <w:t xml:space="preserve">Figure 7.13</w:t>
        </w:r>
      </w:hyperlink>
      <w:r>
        <w:t xml:space="preserve"> </w:t>
      </w:r>
      <w:r>
        <w:t xml:space="preserve">- Annotating Data with Semantic Context</w:t>
      </w:r>
    </w:p>
    <w:p>
      <w:pPr>
        <w:pStyle w:val="BodyText"/>
      </w:pPr>
      <w:hyperlink w:anchor="figure-7.14">
        <w:r>
          <w:rPr>
            <w:rStyle w:val="Hyperlink"/>
          </w:rPr>
          <w:t xml:space="preserve">Figure 7.14</w:t>
        </w:r>
      </w:hyperlink>
      <w:r>
        <w:t xml:space="preserve"> </w:t>
      </w:r>
      <w:r>
        <w:t xml:space="preserve">- Theory of Change [ToC]: The Four Dimensions of Change</w:t>
      </w:r>
    </w:p>
    <w:p>
      <w:pPr>
        <w:pStyle w:val="BodyText"/>
      </w:pPr>
      <w:hyperlink w:anchor="figure-7.15">
        <w:r>
          <w:rPr>
            <w:rStyle w:val="Hyperlink"/>
          </w:rPr>
          <w:t xml:space="preserve">Figure 7.15</w:t>
        </w:r>
      </w:hyperlink>
      <w:r>
        <w:t xml:space="preserve"> </w:t>
      </w:r>
      <w:r>
        <w:t xml:space="preserve">- HDR Approach 1: Discovery-Driven Activism</w:t>
      </w:r>
    </w:p>
    <w:p>
      <w:pPr>
        <w:pStyle w:val="BodyText"/>
      </w:pPr>
      <w:hyperlink w:anchor="figure-7.16">
        <w:r>
          <w:rPr>
            <w:rStyle w:val="Hyperlink"/>
          </w:rPr>
          <w:t xml:space="preserve">Figure 7.16</w:t>
        </w:r>
      </w:hyperlink>
      <w:r>
        <w:t xml:space="preserve"> </w:t>
      </w:r>
      <w:r>
        <w:t xml:space="preserve">- HDR Approach 2: Building the Human-centric Future</w:t>
      </w:r>
    </w:p>
    <w:p>
      <w:pPr>
        <w:pStyle w:val="BodyText"/>
      </w:pPr>
      <w:hyperlink w:anchor="figure-7.17">
        <w:r>
          <w:rPr>
            <w:rStyle w:val="Hyperlink"/>
          </w:rPr>
          <w:t xml:space="preserve">Figure 7.17</w:t>
        </w:r>
      </w:hyperlink>
      <w:r>
        <w:t xml:space="preserve"> </w:t>
      </w:r>
      <w:r>
        <w:t xml:space="preserve">- Conceptual Model for a Personal Data Store System</w:t>
      </w:r>
    </w:p>
    <w:p>
      <w:pPr>
        <w:pStyle w:val="BodyText"/>
      </w:pPr>
      <w:hyperlink w:anchor="figure-7.18">
        <w:r>
          <w:rPr>
            <w:rStyle w:val="Hyperlink"/>
          </w:rPr>
          <w:t xml:space="preserve">Figure 7.18</w:t>
        </w:r>
      </w:hyperlink>
      <w:r>
        <w:t xml:space="preserve"> </w:t>
      </w:r>
      <w:r>
        <w:t xml:space="preserve">- High Level Data Types</w:t>
      </w:r>
    </w:p>
    <w:p>
      <w:pPr>
        <w:pStyle w:val="BodyText"/>
      </w:pPr>
      <w:hyperlink w:anchor="figure-7.19">
        <w:r>
          <w:rPr>
            <w:rStyle w:val="Hyperlink"/>
          </w:rPr>
          <w:t xml:space="preserve">Figure 7.19</w:t>
        </w:r>
      </w:hyperlink>
      <w:r>
        <w:t xml:space="preserve"> </w:t>
      </w:r>
      <w:r>
        <w:t xml:space="preserve">- Life Information Modelled as Happenings</w:t>
      </w:r>
    </w:p>
    <w:p>
      <w:pPr>
        <w:pStyle w:val="BodyText"/>
      </w:pPr>
      <w:hyperlink w:anchor="figure-7.20">
        <w:r>
          <w:rPr>
            <w:rStyle w:val="Hyperlink"/>
          </w:rPr>
          <w:t xml:space="preserve">Figure 7.20</w:t>
        </w:r>
      </w:hyperlink>
      <w:r>
        <w:t xml:space="preserve"> </w:t>
      </w:r>
      <w:r>
        <w:t xml:space="preserve">- A Simple PDS Life Information Presentation Model</w:t>
      </w:r>
    </w:p>
    <w:p>
      <w:pPr>
        <w:pStyle w:val="BodyText"/>
      </w:pPr>
      <w:hyperlink w:anchor="figure-7.21">
        <w:r>
          <w:rPr>
            <w:rStyle w:val="Hyperlink"/>
          </w:rPr>
          <w:t xml:space="preserve">Figure 7.21</w:t>
        </w:r>
      </w:hyperlink>
      <w:r>
        <w:t xml:space="preserve"> </w:t>
      </w:r>
      <w:r>
        <w:t xml:space="preserve">- Mock-up of Life Information Presented in a PDS Interface</w:t>
      </w:r>
    </w:p>
    <w:p>
      <w:pPr>
        <w:pStyle w:val="BodyText"/>
      </w:pPr>
      <w:hyperlink w:anchor="figure-7.22">
        <w:r>
          <w:rPr>
            <w:rStyle w:val="Hyperlink"/>
          </w:rPr>
          <w:t xml:space="preserve">Figure 7.22</w:t>
        </w:r>
      </w:hyperlink>
      <w:r>
        <w:t xml:space="preserve"> </w:t>
      </w:r>
      <w:r>
        <w:t xml:space="preserve">- Life Partitioning Analogy using a Cluedo™ board</w:t>
      </w:r>
    </w:p>
    <w:p>
      <w:pPr>
        <w:pStyle w:val="BodyText"/>
      </w:pPr>
      <w:hyperlink w:anchor="figure-7.23">
        <w:r>
          <w:rPr>
            <w:rStyle w:val="Hyperlink"/>
          </w:rPr>
          <w:t xml:space="preserve">Figure 7.23</w:t>
        </w:r>
      </w:hyperlink>
      <w:r>
        <w:t xml:space="preserve"> </w:t>
      </w:r>
      <w:r>
        <w:t xml:space="preserve">- Mock-up: Browsing by Areas of Life</w:t>
      </w:r>
    </w:p>
    <w:p>
      <w:pPr>
        <w:pStyle w:val="BodyText"/>
      </w:pPr>
      <w:hyperlink w:anchor="figure-7.24">
        <w:r>
          <w:rPr>
            <w:rStyle w:val="Hyperlink"/>
          </w:rPr>
          <w:t xml:space="preserve">Figure 7.24</w:t>
        </w:r>
      </w:hyperlink>
      <w:r>
        <w:t xml:space="preserve"> </w:t>
      </w:r>
      <w:r>
        <w:t xml:space="preserve">- Identifying Entity Associations in Data</w:t>
      </w:r>
    </w:p>
    <w:p>
      <w:pPr>
        <w:pStyle w:val="BodyText"/>
      </w:pPr>
      <w:hyperlink w:anchor="figure-7.25">
        <w:r>
          <w:rPr>
            <w:rStyle w:val="Hyperlink"/>
          </w:rPr>
          <w:t xml:space="preserve">Figure 7.25</w:t>
        </w:r>
      </w:hyperlink>
      <w:r>
        <w:t xml:space="preserve"> </w:t>
      </w:r>
      <w:r>
        <w:t xml:space="preserve">- Facebook’s World2vec Model, Semantically Modelling Human Information from Social Media Posts on Facebook</w:t>
      </w:r>
    </w:p>
    <w:p>
      <w:pPr>
        <w:pStyle w:val="BodyText"/>
      </w:pPr>
      <w:hyperlink w:anchor="figure-7.26">
        <w:r>
          <w:rPr>
            <w:rStyle w:val="Hyperlink"/>
          </w:rPr>
          <w:t xml:space="preserve">Figure 7.26</w:t>
        </w:r>
      </w:hyperlink>
      <w:r>
        <w:t xml:space="preserve"> </w:t>
      </w:r>
      <w:r>
        <w:t xml:space="preserve">- Identifying the Attributes of Data</w:t>
      </w:r>
    </w:p>
    <w:p>
      <w:pPr>
        <w:pStyle w:val="BodyText"/>
      </w:pPr>
      <w:hyperlink w:anchor="figure-7.27">
        <w:r>
          <w:rPr>
            <w:rStyle w:val="Hyperlink"/>
          </w:rPr>
          <w:t xml:space="preserve">Figure 7.27</w:t>
        </w:r>
      </w:hyperlink>
      <w:r>
        <w:t xml:space="preserve"> </w:t>
      </w:r>
      <w:r>
        <w:t xml:space="preserve">- Determining the Nature of a Piece of Data</w:t>
      </w:r>
    </w:p>
    <w:p>
      <w:pPr>
        <w:pStyle w:val="BodyText"/>
      </w:pPr>
      <w:hyperlink w:anchor="figure-7.28">
        <w:r>
          <w:rPr>
            <w:rStyle w:val="Hyperlink"/>
          </w:rPr>
          <w:t xml:space="preserve">Figure 7.28</w:t>
        </w:r>
      </w:hyperlink>
      <w:r>
        <w:t xml:space="preserve"> </w:t>
      </w:r>
      <w:r>
        <w:t xml:space="preserve">- Attributes of Data</w:t>
      </w:r>
    </w:p>
    <w:p>
      <w:pPr>
        <w:pStyle w:val="BodyText"/>
      </w:pPr>
      <w:hyperlink w:anchor="figure-7.29">
        <w:r>
          <w:rPr>
            <w:rStyle w:val="Hyperlink"/>
          </w:rPr>
          <w:t xml:space="preserve">Figure 7.29</w:t>
        </w:r>
      </w:hyperlink>
      <w:r>
        <w:t xml:space="preserve"> </w:t>
      </w:r>
      <w:r>
        <w:t xml:space="preserve">- Actions One Might Perform on Life Information</w:t>
      </w:r>
    </w:p>
    <w:p>
      <w:pPr>
        <w:pStyle w:val="BodyText"/>
      </w:pPr>
      <w:hyperlink w:anchor="figure-7.30">
        <w:r>
          <w:rPr>
            <w:rStyle w:val="Hyperlink"/>
          </w:rPr>
          <w:t xml:space="preserve">Figure 7.30</w:t>
        </w:r>
      </w:hyperlink>
      <w:r>
        <w:t xml:space="preserve"> </w:t>
      </w:r>
      <w:r>
        <w:t xml:space="preserve">- Questions One Might Ask of Life Information</w:t>
      </w:r>
    </w:p>
    <w:p>
      <w:pPr>
        <w:pStyle w:val="BodyText"/>
      </w:pPr>
      <w:hyperlink w:anchor="figure-7.31">
        <w:r>
          <w:rPr>
            <w:rStyle w:val="Hyperlink"/>
          </w:rPr>
          <w:t xml:space="preserve">Figure 7.31</w:t>
        </w:r>
      </w:hyperlink>
      <w:r>
        <w:t xml:space="preserve"> </w:t>
      </w:r>
      <w:r>
        <w:t xml:space="preserve">- Example Taxonomies for Life Information Navigation</w:t>
      </w:r>
    </w:p>
    <w:p>
      <w:pPr>
        <w:pStyle w:val="BodyText"/>
      </w:pPr>
      <w:hyperlink w:anchor="figure-7.32">
        <w:r>
          <w:rPr>
            <w:rStyle w:val="Hyperlink"/>
          </w:rPr>
          <w:t xml:space="preserve">Figure 7.32</w:t>
        </w:r>
      </w:hyperlink>
      <w:r>
        <w:t xml:space="preserve"> </w:t>
      </w:r>
      <w:r>
        <w:t xml:space="preserve">- HDR Approach 3: Defending User Autonomy and Hacking the Information Landscape</w:t>
      </w:r>
    </w:p>
    <w:p>
      <w:pPr>
        <w:pStyle w:val="BodyText"/>
      </w:pPr>
      <w:hyperlink w:anchor="figure-7.33">
        <w:r>
          <w:rPr>
            <w:rStyle w:val="Hyperlink"/>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pStyle w:val="BodyText"/>
      </w:pPr>
      <w:hyperlink w:anchor="figure-7.34">
        <w:r>
          <w:rPr>
            <w:rStyle w:val="Hyperlink"/>
          </w:rPr>
          <w:t xml:space="preserve">Figure 7.34</w:t>
        </w:r>
      </w:hyperlink>
      <w:r>
        <w:t xml:space="preserve"> </w:t>
      </w:r>
      <w:r>
        <w:t xml:space="preserve">- HDR Approach 4: Winning Hearts and Minds: Teaching, Championing and Selling the Vision</w:t>
      </w:r>
    </w:p>
    <w:p>
      <w:pPr>
        <w:pStyle w:val="BodyText"/>
      </w:pPr>
      <w:hyperlink w:anchor="figure-7.35">
        <w:r>
          <w:rPr>
            <w:rStyle w:val="Hyperlink"/>
          </w:rPr>
          <w:t xml:space="preserve">Figure 7.35</w:t>
        </w:r>
      </w:hyperlink>
      <w:r>
        <w:t xml:space="preserve"> </w:t>
      </w:r>
      <w:r>
        <w:t xml:space="preserve">- SILVER Health Data Viewing Interface</w:t>
      </w:r>
    </w:p>
    <w:p>
      <w:pPr>
        <w:pStyle w:val="BodyText"/>
      </w:pPr>
      <w:hyperlink w:anchor="figure-7.36">
        <w:r>
          <w:rPr>
            <w:rStyle w:val="Hyperlink"/>
          </w:rPr>
          <w:t xml:space="preserve">Figure 7.36</w:t>
        </w:r>
      </w:hyperlink>
      <w:r>
        <w:t xml:space="preserve"> </w:t>
      </w:r>
      <w:r>
        <w:t xml:space="preserve">- Summary of Generalised Change Strategies for Pursuing Better HDR, Using the ToC Model</w:t>
      </w:r>
    </w:p>
    <w:bookmarkEnd w:id="34"/>
    <w:bookmarkStart w:id="35"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1">
        <w:r>
          <w:rPr>
            <w:rStyle w:val="Hyperlink"/>
          </w:rPr>
          <w:t xml:space="preserve">Figure ARI.1</w:t>
        </w:r>
      </w:hyperlink>
      <w:r>
        <w:t xml:space="preserve"> </w:t>
      </w:r>
      <w:r>
        <w:t xml:space="preserve">- Extract of Sample Scenario Storyboarding Exercise walkthrough</w:t>
      </w:r>
    </w:p>
    <w:p>
      <w:pPr>
        <w:pStyle w:val="BodyText"/>
      </w:pPr>
      <w:hyperlink w:anchor="figure-ARI.2">
        <w:r>
          <w:rPr>
            <w:rStyle w:val="Hyperlink"/>
          </w:rPr>
          <w:t xml:space="preserve">Figure ARI.2</w:t>
        </w:r>
      </w:hyperlink>
      <w:r>
        <w:t xml:space="preserve"> </w:t>
      </w:r>
      <w:r>
        <w:t xml:space="preserve">- Example Backing Mat for Storyboard Decks</w:t>
      </w:r>
    </w:p>
    <w:p>
      <w:pPr>
        <w:pStyle w:val="BodyText"/>
      </w:pPr>
      <w:hyperlink w:anchor="figure-ARI.x">
        <w:r>
          <w:rPr>
            <w:rStyle w:val="Hyperlink"/>
          </w:rPr>
          <w:t xml:space="preserve">Figure ARI.x</w:t>
        </w:r>
      </w:hyperlink>
      <w:r>
        <w:t xml:space="preserve"> </w:t>
      </w:r>
      <w:r>
        <w:t xml:space="preserve">- Screenshot from Quirkos During Coding Process</w:t>
      </w:r>
    </w:p>
    <w:p>
      <w:pPr>
        <w:pStyle w:val="BodyText"/>
      </w:pPr>
      <w:hyperlink w:anchor="figure-ARI.x">
        <w:r>
          <w:rPr>
            <w:rStyle w:val="Hyperlink"/>
          </w:rPr>
          <w:t xml:space="preserve">Figure ARI.x</w:t>
        </w:r>
      </w:hyperlink>
      <w:r>
        <w:t xml:space="preserve"> </w:t>
      </w:r>
      <w:r>
        <w:t xml:space="preserve">- Screenshot from Quirkos at End of Coding Process</w:t>
      </w:r>
    </w:p>
    <w:p>
      <w:pPr>
        <w:pStyle w:val="BodyText"/>
      </w:pPr>
      <w:hyperlink w:anchor="figure-ARI.x">
        <w:r>
          <w:rPr>
            <w:rStyle w:val="Hyperlink"/>
          </w:rPr>
          <w:t xml:space="preserve">Figure ARI.c</w:t>
        </w:r>
      </w:hyperlink>
      <w:r>
        <w:t xml:space="preserve"> </w:t>
      </w:r>
      <w:r>
        <w:t xml:space="preserve">- Screenshot from Workflowy During Theme Construction</w:t>
      </w:r>
    </w:p>
    <w:p>
      <w:pPr>
        <w:pStyle w:val="BodyText"/>
      </w:pPr>
      <w:hyperlink w:anchor="figure-ARI.x">
        <w:r>
          <w:rPr>
            <w:rStyle w:val="Hyperlink"/>
          </w:rPr>
          <w:t xml:space="preserve">Figure ARI.x</w:t>
        </w:r>
      </w:hyperlink>
      <w:r>
        <w:t xml:space="preserve"> </w:t>
      </w:r>
      <w:r>
        <w:t xml:space="preserve">- Private Data Viewing Monitor with Viewing Glasses</w:t>
      </w:r>
    </w:p>
    <w:p>
      <w:r>
        <w:pict>
          <v:rect style="width:0;height:1.5pt" o:hralign="center" o:hrstd="t" o:hr="t"/>
        </w:pict>
      </w:r>
    </w:p>
    <w:bookmarkEnd w:id="35"/>
    <w:bookmarkEnd w:id="36"/>
    <w:bookmarkEnd w:id="37"/>
    <w:bookmarkStart w:id="42" w:name="bibliography"/>
    <w:p>
      <w:pPr>
        <w:pStyle w:val="Heading1"/>
      </w:pPr>
      <w:r>
        <w:t xml:space="preserve">Bibliography</w:t>
      </w:r>
    </w:p>
    <w:bookmarkStart w:id="41" w:name="refs"/>
    <w:bookmarkStart w:id="38"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8"/>
    <w:bookmarkStart w:id="40" w:name="ref-marshall2020"/>
    <w:p>
      <w:pPr>
        <w:pStyle w:val="Bibliography"/>
      </w:pPr>
      <w:r>
        <w:t xml:space="preserve">Marshall, M. (2020)</w:t>
      </w:r>
      <w:r>
        <w:t xml:space="preserve"> </w:t>
      </w:r>
      <w:r>
        <w:t xml:space="preserve">‘Markdown thesis’</w:t>
      </w:r>
      <w:r>
        <w:t xml:space="preserve">. Available at:</w:t>
      </w:r>
      <w:r>
        <w:t xml:space="preserve"> </w:t>
      </w:r>
      <w:hyperlink r:id="rId39">
        <w:r>
          <w:rPr>
            <w:rStyle w:val="Hyperlink"/>
          </w:rPr>
          <w:t xml:space="preserve">https://gitlab.com/mrshll1001/markdown-thesis</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9"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2022-08-20T22:38:51Z</dcterms:created>
  <dcterms:modified xsi:type="dcterms:W3CDTF">2022-08-20T22:38:51Z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