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7" w:name="lists-of-tables-and-figures"/>
    <w:p>
      <w:pPr>
        <w:pStyle w:val="Heading1"/>
      </w:pPr>
      <w:r>
        <w:t xml:space="preserve">Lists of Tables and Figures</w:t>
      </w:r>
    </w:p>
    <w:bookmarkStart w:id="27" w:name="lists-of-tables-by-chapter"/>
    <w:p>
      <w:pPr>
        <w:pStyle w:val="Heading2"/>
      </w:pPr>
      <w:r>
        <w:t xml:space="preserve">Lists of Tables by Chapter</w:t>
      </w:r>
    </w:p>
    <w:bookmarkStart w:id="23" w:name="tables-in-chapter-3"/>
    <w:p>
      <w:pPr>
        <w:pStyle w:val="Heading3"/>
      </w:pPr>
      <w:r>
        <w:t xml:space="preserve">Tables in Chapter 3</w:t>
      </w:r>
    </w:p>
    <w:p>
      <w:pPr>
        <w:numPr>
          <w:ilvl w:val="0"/>
          <w:numId w:val="1001"/>
        </w:numPr>
        <w:pStyle w:val="Compact"/>
      </w:pPr>
      <w:hyperlink w:anchor="table-3.1">
        <w:r>
          <w:rPr>
            <w:rStyle w:val="Hyperlink"/>
            <w:bCs/>
            <w:b/>
          </w:rPr>
          <w:t xml:space="preserve">Table 3.1</w:t>
        </w:r>
      </w:hyperlink>
      <w:r>
        <w:t xml:space="preserve"> </w:t>
      </w:r>
      <w:r>
        <w:t xml:space="preserve">- Context One (Civic Data &amp; Early Help): Participants involved in Research Activities leading into Case Study One.</w:t>
      </w:r>
    </w:p>
    <w:p>
      <w:pPr>
        <w:numPr>
          <w:ilvl w:val="0"/>
          <w:numId w:val="1001"/>
        </w:numPr>
        <w:pStyle w:val="Compact"/>
      </w:pPr>
      <w:hyperlink w:anchor="table-3.2">
        <w:r>
          <w:rPr>
            <w:rStyle w:val="Hyperlink"/>
            <w:bCs/>
            <w:b/>
          </w:rPr>
          <w:t xml:space="preserve">Table 3.2</w:t>
        </w:r>
      </w:hyperlink>
      <w:r>
        <w:t xml:space="preserve"> </w:t>
      </w:r>
      <w:r>
        <w:t xml:space="preserve">- Context Two (Digital Life): Participants Involved in Digital Life Research Activities Leading into Case Study Two.</w:t>
      </w:r>
    </w:p>
    <w:bookmarkEnd w:id="23"/>
    <w:bookmarkStart w:id="24" w:name="tables-in-chapter-4"/>
    <w:p>
      <w:pPr>
        <w:pStyle w:val="Heading3"/>
      </w:pPr>
      <w:r>
        <w:t xml:space="preserve">Tables in Chapter 4</w:t>
      </w:r>
    </w:p>
    <w:p>
      <w:pPr>
        <w:numPr>
          <w:ilvl w:val="0"/>
          <w:numId w:val="1002"/>
        </w:numPr>
        <w:pStyle w:val="Compact"/>
      </w:pPr>
      <w:hyperlink w:anchor="table-4.1">
        <w:r>
          <w:rPr>
            <w:rStyle w:val="Hyperlink"/>
            <w:bCs/>
            <w:b/>
          </w:rPr>
          <w:t xml:space="preserve">Table 4.1</w:t>
        </w:r>
      </w:hyperlink>
      <w:r>
        <w:t xml:space="preserve"> </w:t>
      </w:r>
      <w:r>
        <w:t xml:space="preserve">- Example Categories of Family Civic Data</w:t>
      </w:r>
    </w:p>
    <w:p>
      <w:pPr>
        <w:numPr>
          <w:ilvl w:val="0"/>
          <w:numId w:val="1002"/>
        </w:numPr>
        <w:pStyle w:val="Compact"/>
      </w:pPr>
      <w:hyperlink w:anchor="table-4.2">
        <w:r>
          <w:rPr>
            <w:rStyle w:val="Hyperlink"/>
            <w:bCs/>
            <w:b/>
          </w:rPr>
          <w:t xml:space="preserve">Table 4.2</w:t>
        </w:r>
      </w:hyperlink>
      <w:r>
        <w:t xml:space="preserve"> </w:t>
      </w:r>
      <w:r>
        <w:t xml:space="preserve">- Case Study One Group Design Workshops</w:t>
      </w:r>
    </w:p>
    <w:p>
      <w:pPr>
        <w:numPr>
          <w:ilvl w:val="0"/>
          <w:numId w:val="1002"/>
        </w:numPr>
        <w:pStyle w:val="Compact"/>
      </w:pPr>
      <w:hyperlink w:anchor="table-4.3">
        <w:r>
          <w:rPr>
            <w:rStyle w:val="Hyperlink"/>
            <w:bCs/>
            <w:b/>
          </w:rPr>
          <w:t xml:space="preserve">Table 4.3</w:t>
        </w:r>
      </w:hyperlink>
      <w:r>
        <w:t xml:space="preserve"> </w:t>
      </w:r>
      <w:r>
        <w:t xml:space="preserve">- Theme 1 - Meaningful Data Interaction for Families: Subthemes &amp; Participant Quotes</w:t>
      </w:r>
    </w:p>
    <w:p>
      <w:pPr>
        <w:numPr>
          <w:ilvl w:val="0"/>
          <w:numId w:val="1002"/>
        </w:numPr>
        <w:pStyle w:val="Compact"/>
      </w:pPr>
      <w:hyperlink w:anchor="table-4.4">
        <w:r>
          <w:rPr>
            <w:rStyle w:val="Hyperlink"/>
            <w:bCs/>
            <w:b/>
          </w:rPr>
          <w:t xml:space="preserve">Table 4.4</w:t>
        </w:r>
      </w:hyperlink>
      <w:r>
        <w:t xml:space="preserve"> </w:t>
      </w:r>
      <w:r>
        <w:t xml:space="preserve">- Theme 2 - Giving a Voice to the Family: Subthemes &amp; Participant Quotes</w:t>
      </w:r>
    </w:p>
    <w:p>
      <w:pPr>
        <w:numPr>
          <w:ilvl w:val="0"/>
          <w:numId w:val="1002"/>
        </w:numPr>
        <w:pStyle w:val="Compact"/>
      </w:pPr>
      <w:hyperlink w:anchor="table-4.5">
        <w:r>
          <w:rPr>
            <w:rStyle w:val="Hyperlink"/>
            <w:bCs/>
            <w:b/>
          </w:rPr>
          <w:t xml:space="preserve">Table 4.5</w:t>
        </w:r>
      </w:hyperlink>
      <w:r>
        <w:t xml:space="preserve"> </w:t>
      </w:r>
      <w:r>
        <w:t xml:space="preserve">- Theme 3 - Earning Families’ Trust Through Transparency: Subthemes &amp; Participant Quotes</w:t>
      </w:r>
    </w:p>
    <w:bookmarkEnd w:id="24"/>
    <w:bookmarkStart w:id="25" w:name="tables-in-chapter-5"/>
    <w:p>
      <w:pPr>
        <w:pStyle w:val="Heading3"/>
      </w:pPr>
      <w:r>
        <w:t xml:space="preserve">Tables in Chapter 5</w:t>
      </w:r>
    </w:p>
    <w:p>
      <w:pPr>
        <w:numPr>
          <w:ilvl w:val="0"/>
          <w:numId w:val="1003"/>
        </w:numPr>
        <w:pStyle w:val="Compact"/>
      </w:pPr>
      <w:hyperlink w:anchor="table-5.1">
        <w:r>
          <w:rPr>
            <w:rStyle w:val="Hyperlink"/>
            <w:bCs/>
            <w:b/>
          </w:rPr>
          <w:t xml:space="preserve">Table 5.1</w:t>
        </w:r>
      </w:hyperlink>
      <w:r>
        <w:t xml:space="preserve"> </w:t>
      </w:r>
      <w:r>
        <w:t xml:space="preserve">- Types of Data Holding Organisation Targeted for GDPR Requests by Study Participants</w:t>
      </w:r>
    </w:p>
    <w:p>
      <w:pPr>
        <w:numPr>
          <w:ilvl w:val="0"/>
          <w:numId w:val="1003"/>
        </w:numPr>
        <w:pStyle w:val="Compact"/>
      </w:pPr>
      <w:hyperlink w:anchor="table-5.2">
        <w:r>
          <w:rPr>
            <w:rStyle w:val="Hyperlink"/>
            <w:bCs/>
            <w:b/>
          </w:rPr>
          <w:t xml:space="preserve">Table 5.2</w:t>
        </w:r>
      </w:hyperlink>
      <w:r>
        <w:t xml:space="preserve"> </w:t>
      </w:r>
      <w:r>
        <w:t xml:space="preserve">- Types of Personal Data Potentially Accessible from Data Holders via GDPR Rights</w:t>
      </w:r>
    </w:p>
    <w:p>
      <w:pPr>
        <w:numPr>
          <w:ilvl w:val="0"/>
          <w:numId w:val="1003"/>
        </w:numPr>
        <w:pStyle w:val="Compact"/>
      </w:pPr>
      <w:hyperlink w:anchor="table-5.3">
        <w:r>
          <w:rPr>
            <w:rStyle w:val="Hyperlink"/>
            <w:bCs/>
            <w:b/>
          </w:rPr>
          <w:t xml:space="preserve">Table 5.3</w:t>
        </w:r>
      </w:hyperlink>
      <w:r>
        <w:t xml:space="preserve"> </w:t>
      </w:r>
      <w:r>
        <w:t xml:space="preserve">- Presence and Quality Assessments of GDPR Responses by Data Type (as Percentages)</w:t>
      </w:r>
    </w:p>
    <w:p>
      <w:pPr>
        <w:numPr>
          <w:ilvl w:val="0"/>
          <w:numId w:val="1003"/>
        </w:numPr>
        <w:pStyle w:val="Compact"/>
      </w:pPr>
      <w:hyperlink w:anchor="table-5.4">
        <w:r>
          <w:rPr>
            <w:rStyle w:val="Hyperlink"/>
            <w:bCs/>
            <w:b/>
          </w:rPr>
          <w:t xml:space="preserve">Table 5.4</w:t>
        </w:r>
      </w:hyperlink>
      <w:r>
        <w:t xml:space="preserve"> </w:t>
      </w:r>
      <w:r>
        <w:t xml:space="preserve">- Best and Worst Data Holders in Different Categories, According to Participants’ Judgements</w:t>
      </w:r>
    </w:p>
    <w:p>
      <w:pPr>
        <w:numPr>
          <w:ilvl w:val="0"/>
          <w:numId w:val="1003"/>
        </w:numPr>
        <w:pStyle w:val="Compact"/>
      </w:pPr>
      <w:hyperlink w:anchor="table-5.5">
        <w:r>
          <w:rPr>
            <w:rStyle w:val="Hyperlink"/>
            <w:bCs/>
            <w:b/>
          </w:rPr>
          <w:t xml:space="preserve">Table 5.5</w:t>
        </w:r>
      </w:hyperlink>
      <w:r>
        <w:t xml:space="preserve"> </w:t>
      </w:r>
      <w:r>
        <w:t xml:space="preserve">- Participants’ Hopes, Imagined Data Uses and Goals for GDPR, as well as Resultant Outcomes</w:t>
      </w:r>
    </w:p>
    <w:p>
      <w:pPr>
        <w:numPr>
          <w:ilvl w:val="0"/>
          <w:numId w:val="1003"/>
        </w:numPr>
        <w:pStyle w:val="Compact"/>
      </w:pPr>
      <w:hyperlink w:anchor="table-5.6">
        <w:r>
          <w:rPr>
            <w:rStyle w:val="Hyperlink"/>
            <w:bCs/>
            <w:b/>
          </w:rPr>
          <w:t xml:space="preserve">Table 5.6</w:t>
        </w:r>
      </w:hyperlink>
      <w:r>
        <w:t xml:space="preserve"> </w:t>
      </w:r>
      <w:r>
        <w:t xml:space="preserve">- Theme 1 - Insufficient Transparency: Subthemes &amp; Participant Quotes</w:t>
      </w:r>
    </w:p>
    <w:p>
      <w:pPr>
        <w:numPr>
          <w:ilvl w:val="0"/>
          <w:numId w:val="1003"/>
        </w:numPr>
        <w:pStyle w:val="Compact"/>
      </w:pPr>
      <w:hyperlink w:anchor="table-5.7">
        <w:r>
          <w:rPr>
            <w:rStyle w:val="Hyperlink"/>
            <w:bCs/>
            <w:b/>
          </w:rPr>
          <w:t xml:space="preserve">Table 5.7</w:t>
        </w:r>
      </w:hyperlink>
      <w:r>
        <w:t xml:space="preserve"> </w:t>
      </w:r>
      <w:r>
        <w:t xml:space="preserve">- Theme 2 - Confusing &amp; Unusable Data: Subthemes &amp; Participant Quotes</w:t>
      </w:r>
    </w:p>
    <w:p>
      <w:pPr>
        <w:numPr>
          <w:ilvl w:val="0"/>
          <w:numId w:val="1003"/>
        </w:numPr>
        <w:pStyle w:val="Compact"/>
      </w:pPr>
      <w:hyperlink w:anchor="table-5.8">
        <w:r>
          <w:rPr>
            <w:rStyle w:val="Hyperlink"/>
            <w:bCs/>
            <w:b/>
          </w:rPr>
          <w:t xml:space="preserve">Table 5.8</w:t>
        </w:r>
      </w:hyperlink>
      <w:r>
        <w:t xml:space="preserve"> </w:t>
      </w:r>
      <w:r>
        <w:t xml:space="preserve">- Theme 3 - Fragile Relationships: Subthemes &amp; Participant Quotes</w:t>
      </w:r>
    </w:p>
    <w:bookmarkEnd w:id="25"/>
    <w:bookmarkStart w:id="26" w:name="tables-in-chapter-7"/>
    <w:p>
      <w:pPr>
        <w:pStyle w:val="Heading3"/>
      </w:pPr>
      <w:r>
        <w:t xml:space="preserve">Tables in Chapter 7</w:t>
      </w:r>
    </w:p>
    <w:p>
      <w:pPr>
        <w:numPr>
          <w:ilvl w:val="0"/>
          <w:numId w:val="1004"/>
        </w:numPr>
        <w:pStyle w:val="Compact"/>
      </w:pPr>
      <w:hyperlink w:anchor="table-7.1">
        <w:r>
          <w:rPr>
            <w:rStyle w:val="Hyperlink"/>
            <w:bCs/>
            <w:b/>
          </w:rPr>
          <w:t xml:space="preserve">Table 7.1</w:t>
        </w:r>
      </w:hyperlink>
      <w:r>
        <w:t xml:space="preserve"> </w:t>
      </w:r>
      <w:r>
        <w:t xml:space="preserve">- Eight lenses on Personal Data**</w:t>
      </w:r>
    </w:p>
    <w:bookmarkEnd w:id="26"/>
    <w:bookmarkEnd w:id="27"/>
    <w:bookmarkStart w:id="36" w:name="lists-of-figures-by-chapter"/>
    <w:p>
      <w:pPr>
        <w:pStyle w:val="Heading2"/>
      </w:pPr>
      <w:r>
        <w:t xml:space="preserve">Lists of Figures by Chapter</w:t>
      </w:r>
    </w:p>
    <w:bookmarkStart w:id="28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5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5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8"/>
    <w:bookmarkStart w:id="29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6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6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9"/>
    <w:bookmarkStart w:id="30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7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7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7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7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7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7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7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7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7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7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7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7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7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7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30"/>
    <w:bookmarkStart w:id="31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8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8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31"/>
    <w:bookmarkStart w:id="32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9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9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9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9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9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9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32"/>
    <w:bookmarkStart w:id="33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10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10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10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10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10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10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10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10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10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10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10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10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10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10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10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10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10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10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10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10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10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10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10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10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10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10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10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10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10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10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10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10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10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10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10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10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3"/>
    <w:bookmarkStart w:id="34" w:name="figures-in-appendix-c"/>
    <w:p>
      <w:pPr>
        <w:pStyle w:val="Heading3"/>
      </w:pPr>
      <w:r>
        <w:t xml:space="preserve">Figures in Appendix C</w:t>
      </w:r>
    </w:p>
    <w:p>
      <w:pPr>
        <w:numPr>
          <w:ilvl w:val="0"/>
          <w:numId w:val="1011"/>
        </w:numPr>
        <w:pStyle w:val="Compact"/>
      </w:pPr>
      <w:hyperlink w:anchor="figure-C.1">
        <w:r>
          <w:rPr>
            <w:rStyle w:val="Hyperlink"/>
            <w:bCs/>
            <w:b/>
          </w:rPr>
          <w:t xml:space="preserve">Figure C.1</w:t>
        </w:r>
      </w:hyperlink>
      <w:r>
        <w:t xml:space="preserve"> </w:t>
      </w:r>
      <w:r>
        <w:t xml:space="preserve">- Screenshot From Quirkos During Coding Process</w:t>
      </w:r>
    </w:p>
    <w:p>
      <w:pPr>
        <w:numPr>
          <w:ilvl w:val="0"/>
          <w:numId w:val="1011"/>
        </w:numPr>
        <w:pStyle w:val="Compact"/>
      </w:pPr>
      <w:hyperlink w:anchor="figure-C.2">
        <w:r>
          <w:rPr>
            <w:rStyle w:val="Hyperlink"/>
            <w:bCs/>
            <w:b/>
          </w:rPr>
          <w:t xml:space="preserve">Figure C.2</w:t>
        </w:r>
      </w:hyperlink>
      <w:r>
        <w:t xml:space="preserve"> </w:t>
      </w:r>
      <w:r>
        <w:t xml:space="preserve">- Screenshot From Quirkos at End of Coding Process</w:t>
      </w:r>
    </w:p>
    <w:p>
      <w:pPr>
        <w:numPr>
          <w:ilvl w:val="0"/>
          <w:numId w:val="1011"/>
        </w:numPr>
        <w:pStyle w:val="Compact"/>
      </w:pPr>
      <w:hyperlink w:anchor="figure-C.3">
        <w:r>
          <w:rPr>
            <w:rStyle w:val="Hyperlink"/>
            <w:bCs/>
            <w:b/>
          </w:rPr>
          <w:t xml:space="preserve">Figure C.3</w:t>
        </w:r>
      </w:hyperlink>
      <w:r>
        <w:t xml:space="preserve"> </w:t>
      </w:r>
      <w:r>
        <w:t xml:space="preserve">- Screenshot From Workflowy During Theme Construction</w:t>
      </w:r>
    </w:p>
    <w:bookmarkEnd w:id="34"/>
    <w:bookmarkStart w:id="35" w:name="figures-in-appendix-f"/>
    <w:p>
      <w:pPr>
        <w:pStyle w:val="Heading3"/>
      </w:pPr>
      <w:r>
        <w:t xml:space="preserve">Figures in Appendix F</w:t>
      </w:r>
    </w:p>
    <w:p>
      <w:pPr>
        <w:numPr>
          <w:ilvl w:val="0"/>
          <w:numId w:val="1012"/>
        </w:numPr>
        <w:pStyle w:val="Compact"/>
      </w:pPr>
      <w:hyperlink w:anchor="figure-D.1">
        <w:r>
          <w:rPr>
            <w:rStyle w:val="Hyperlink"/>
            <w:bCs/>
            <w:b/>
          </w:rPr>
          <w:t xml:space="preserve">Figure F.1</w:t>
        </w:r>
      </w:hyperlink>
      <w:r>
        <w:t xml:space="preserve"> </w:t>
      </w:r>
      <w:r>
        <w:t xml:space="preserve">- Private Data Viewing Monitor with Viewing Glasses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2022-08-10T11:30:54Z</dcterms:created>
  <dcterms:modified xsi:type="dcterms:W3CDTF">2022-08-10T11:30:54Z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