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2" w:name="figures-in-appendix-d"/>
    <w:p>
      <w:pPr>
        <w:pStyle w:val="Heading3"/>
      </w:pPr>
      <w:r>
        <w:t xml:space="preserve">Figures in Appendix D</w:t>
      </w:r>
    </w:p>
    <w:p>
      <w:pPr>
        <w:numPr>
          <w:ilvl w:val="0"/>
          <w:numId w:val="1008"/>
        </w:numPr>
        <w:pStyle w:val="Heading2"/>
      </w:pPr>
      <w:bookmarkStart w:id="31" w:name="Xf24edf70c8386e445c1ddb3d9e764aa6a395350"/>
      <w:hyperlink w:anchor="figure-D.1">
        <w:r>
          <w:rPr>
            <w:rStyle w:val="Hyperlink"/>
            <w:bCs/>
            <w:b/>
          </w:rPr>
          <w:t xml:space="preserve">Figure D.1</w:t>
        </w:r>
      </w:hyperlink>
      <w:r>
        <w:t xml:space="preserve"> </w:t>
      </w:r>
      <w:r>
        <w:t xml:space="preserve">- Private Data Viewing Monitor with Viewing Glasses</w:t>
      </w:r>
      <w:bookmarkEnd w:id="31"/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2022-08-05T15:41:30Z</dcterms:created>
  <dcterms:modified xsi:type="dcterms:W3CDTF">2022-08-05T15:41:30Z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