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598" w:rsidRDefault="00E74598" w:rsidP="00E74598">
      <w:pPr>
        <w:pStyle w:val="af4"/>
        <w:rPr>
          <w:b/>
          <w:szCs w:val="32"/>
        </w:rPr>
      </w:pPr>
      <w:r>
        <w:rPr>
          <w:b/>
          <w:szCs w:val="32"/>
        </w:rPr>
        <w:t xml:space="preserve">Тема 8.  </w:t>
      </w:r>
      <w:r w:rsidRPr="00E74598">
        <w:rPr>
          <w:b/>
          <w:szCs w:val="32"/>
        </w:rPr>
        <w:t>Роль таможенных пошлин в качестве механизма регулирования внешнеэкономической деятельности</w:t>
      </w:r>
      <w:r>
        <w:rPr>
          <w:b/>
          <w:szCs w:val="32"/>
        </w:rPr>
        <w:t>.</w:t>
      </w:r>
    </w:p>
    <w:p w:rsidR="00E74598" w:rsidRDefault="00E74598" w:rsidP="00E74598">
      <w:pPr>
        <w:pStyle w:val="af4"/>
        <w:jc w:val="center"/>
        <w:rPr>
          <w:b/>
          <w:szCs w:val="32"/>
        </w:rPr>
      </w:pPr>
    </w:p>
    <w:p w:rsidR="00E74598" w:rsidRDefault="00E74598" w:rsidP="008136CC">
      <w:pPr>
        <w:pStyle w:val="af4"/>
        <w:rPr>
          <w:shd w:val="clear" w:color="auto" w:fill="FFFFFF"/>
        </w:rPr>
      </w:pPr>
    </w:p>
    <w:p w:rsidR="008F3F1A" w:rsidRPr="00803028" w:rsidRDefault="008136CC" w:rsidP="008136CC">
      <w:pPr>
        <w:pStyle w:val="af4"/>
        <w:rPr>
          <w:shd w:val="clear" w:color="auto" w:fill="FFFFFF"/>
        </w:rPr>
      </w:pPr>
      <w:r w:rsidRPr="00803028">
        <w:rPr>
          <w:shd w:val="clear" w:color="auto" w:fill="FFFFFF"/>
        </w:rPr>
        <w:t xml:space="preserve">Таможенные пошлины, в настоящее время занимают ведущее место в регулировании импорта и экспорта товаров, путем балансирования потоков иностранной продукции на отечественные рынки. Таможенные пошлины, наряду с таможенными сборами, НДС и акцизом относятся к таможенным платежам и подразделяются на ввозную таможенную пошлину и вывозную таможенную пошлину. </w:t>
      </w:r>
    </w:p>
    <w:p w:rsidR="008F3F1A" w:rsidRPr="00803028" w:rsidRDefault="008136CC" w:rsidP="008136CC">
      <w:pPr>
        <w:pStyle w:val="af4"/>
        <w:rPr>
          <w:shd w:val="clear" w:color="auto" w:fill="FFFFFF"/>
        </w:rPr>
      </w:pPr>
      <w:r w:rsidRPr="00803028">
        <w:rPr>
          <w:shd w:val="clear" w:color="auto" w:fill="FFFFFF"/>
        </w:rPr>
        <w:t xml:space="preserve">Ввозная пошлина взимается при ввозе товаров на таможенную территорию Евразийского экономического союза (далее — ЕАЭС). </w:t>
      </w:r>
    </w:p>
    <w:p w:rsidR="008136CC" w:rsidRPr="00803028" w:rsidRDefault="008136CC" w:rsidP="008136CC">
      <w:pPr>
        <w:pStyle w:val="af4"/>
        <w:rPr>
          <w:shd w:val="clear" w:color="auto" w:fill="FFFFFF"/>
        </w:rPr>
      </w:pPr>
      <w:r w:rsidRPr="00803028">
        <w:rPr>
          <w:shd w:val="clear" w:color="auto" w:fill="FFFFFF"/>
        </w:rPr>
        <w:t>Вывозная таможенная пошлина взимается при вывозе товаров с таможенной территории ЕАЭС, при этом ставки вывозных таможенных пошлин устанавливаются в соответствии с национальным законодательством. Таможенная пошлина — обязательный взнос (платеж), взимаемый таможенными органами РФ при ввозе товара на таможенную территорию ЕАЭС или вывозе товара с этой территории и являющийся неотъемлемым условием такого ввоза или вывоза.</w:t>
      </w:r>
    </w:p>
    <w:p w:rsidR="008136CC" w:rsidRPr="00803028" w:rsidRDefault="008136CC" w:rsidP="008136CC">
      <w:pPr>
        <w:pStyle w:val="af4"/>
        <w:rPr>
          <w:shd w:val="clear" w:color="auto" w:fill="FFFFFF"/>
        </w:rPr>
      </w:pPr>
    </w:p>
    <w:p w:rsidR="008136CC" w:rsidRPr="00803028" w:rsidRDefault="008136CC" w:rsidP="008136CC">
      <w:pPr>
        <w:pStyle w:val="af4"/>
      </w:pPr>
      <w:r w:rsidRPr="00803028">
        <w:rPr>
          <w:shd w:val="clear" w:color="auto" w:fill="FFFFFF"/>
        </w:rPr>
        <w:t>Таможенные пошлины выступают основой таможенно - тарифного регулирования внешнеэкономической деятельности (далее — ВЭД), так как реализуют его главные цели. Таможенные пошлины выполняют защитную, фискальную и регулирующую функции:</w:t>
      </w:r>
      <w:r w:rsidRPr="00803028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8136CC" w:rsidRPr="00803028" w:rsidRDefault="00803028" w:rsidP="00F1720B">
      <w:pPr>
        <w:pStyle w:val="af4"/>
        <w:numPr>
          <w:ilvl w:val="0"/>
          <w:numId w:val="10"/>
        </w:numPr>
        <w:ind w:left="0" w:firstLine="709"/>
      </w:pPr>
      <w:r w:rsidRPr="00803028">
        <w:rPr>
          <w:shd w:val="clear" w:color="auto" w:fill="FFFFFF"/>
        </w:rPr>
        <w:t xml:space="preserve">Защитная функция — </w:t>
      </w:r>
      <w:r w:rsidR="008136CC" w:rsidRPr="00803028">
        <w:rPr>
          <w:shd w:val="clear" w:color="auto" w:fill="FFFFFF"/>
        </w:rPr>
        <w:t>предполагает защиту отечественных производителей, и внутреннего рынка от иностранной конкуренции;</w:t>
      </w:r>
      <w:r w:rsidR="008136CC" w:rsidRPr="00803028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8136CC" w:rsidRPr="00803028" w:rsidRDefault="00803028" w:rsidP="00F1720B">
      <w:pPr>
        <w:pStyle w:val="af4"/>
        <w:numPr>
          <w:ilvl w:val="0"/>
          <w:numId w:val="10"/>
        </w:numPr>
        <w:ind w:left="0" w:firstLine="709"/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803028">
        <w:rPr>
          <w:shd w:val="clear" w:color="auto" w:fill="FFFFFF"/>
        </w:rPr>
        <w:t>Ф</w:t>
      </w:r>
      <w:r w:rsidR="008136CC" w:rsidRPr="00803028">
        <w:rPr>
          <w:shd w:val="clear" w:color="auto" w:fill="FFFFFF"/>
        </w:rPr>
        <w:t xml:space="preserve">искальная функция </w:t>
      </w:r>
      <w:r w:rsidRPr="00803028">
        <w:rPr>
          <w:shd w:val="clear" w:color="auto" w:fill="FFFFFF"/>
        </w:rPr>
        <w:t xml:space="preserve">— </w:t>
      </w:r>
      <w:r w:rsidR="008136CC" w:rsidRPr="00803028">
        <w:rPr>
          <w:shd w:val="clear" w:color="auto" w:fill="FFFFFF"/>
        </w:rPr>
        <w:t>реализуется с целью пополнения доходной части бюджета, путем взимания таможенных платежей;</w:t>
      </w:r>
    </w:p>
    <w:p w:rsidR="00803028" w:rsidRPr="00803028" w:rsidRDefault="00803028" w:rsidP="00F1720B">
      <w:pPr>
        <w:pStyle w:val="af4"/>
        <w:numPr>
          <w:ilvl w:val="0"/>
          <w:numId w:val="10"/>
        </w:numPr>
        <w:ind w:left="-142" w:firstLine="851"/>
        <w:rPr>
          <w:shd w:val="clear" w:color="auto" w:fill="FFFFFF"/>
        </w:rPr>
      </w:pPr>
      <w:r w:rsidRPr="00803028">
        <w:rPr>
          <w:shd w:val="clear" w:color="auto" w:fill="FFFFFF"/>
        </w:rPr>
        <w:lastRenderedPageBreak/>
        <w:t xml:space="preserve">Регулирующая — </w:t>
      </w:r>
      <w:r w:rsidR="008136CC" w:rsidRPr="00803028">
        <w:rPr>
          <w:shd w:val="clear" w:color="auto" w:fill="FFFFFF"/>
        </w:rPr>
        <w:t>функция предполагает поддержание соответствующего соотношения уровня цен на импортную и отечественную продукцию на внутреннем рынке страны импортера .</w:t>
      </w:r>
    </w:p>
    <w:p w:rsidR="00803028" w:rsidRPr="00803028" w:rsidRDefault="00803028" w:rsidP="00803028">
      <w:pPr>
        <w:pStyle w:val="af4"/>
        <w:ind w:left="349" w:firstLine="0"/>
        <w:rPr>
          <w:shd w:val="clear" w:color="auto" w:fill="FFFFFF"/>
        </w:rPr>
      </w:pPr>
    </w:p>
    <w:p w:rsidR="00803028" w:rsidRPr="00803028" w:rsidRDefault="008136CC" w:rsidP="00803028">
      <w:pPr>
        <w:pStyle w:val="af4"/>
        <w:ind w:left="349" w:firstLine="0"/>
        <w:rPr>
          <w:shd w:val="clear" w:color="auto" w:fill="FFFFFF"/>
        </w:rPr>
      </w:pPr>
      <w:r w:rsidRPr="00803028">
        <w:rPr>
          <w:shd w:val="clear" w:color="auto" w:fill="FFFFFF"/>
        </w:rPr>
        <w:t xml:space="preserve">При этом фискальная и регулирующая функция таможенных пошлин относится как к ввозной, так и к вывозной таможенной пошлине, а защитная функция применяется только в отношении товаров, ввозимых на таможенную территорию ЕАЭС. </w:t>
      </w:r>
    </w:p>
    <w:p w:rsidR="008136CC" w:rsidRPr="00803028" w:rsidRDefault="008136CC" w:rsidP="00803028">
      <w:pPr>
        <w:pStyle w:val="af4"/>
        <w:ind w:left="349" w:firstLine="0"/>
        <w:rPr>
          <w:shd w:val="clear" w:color="auto" w:fill="FFFFFF"/>
        </w:rPr>
      </w:pPr>
      <w:r w:rsidRPr="00803028">
        <w:rPr>
          <w:shd w:val="clear" w:color="auto" w:fill="FFFFFF"/>
        </w:rPr>
        <w:t>Таможенные пошлины классифицируются по многим признакам:</w:t>
      </w:r>
    </w:p>
    <w:p w:rsidR="008136CC" w:rsidRPr="00803028" w:rsidRDefault="00803028" w:rsidP="00803028">
      <w:pPr>
        <w:pStyle w:val="af4"/>
        <w:numPr>
          <w:ilvl w:val="0"/>
          <w:numId w:val="11"/>
        </w:numPr>
        <w:rPr>
          <w:shd w:val="clear" w:color="auto" w:fill="FFFFFF"/>
        </w:rPr>
      </w:pPr>
      <w:r w:rsidRPr="00803028">
        <w:rPr>
          <w:shd w:val="clear" w:color="auto" w:fill="FFFFFF"/>
        </w:rPr>
        <w:t>П</w:t>
      </w:r>
      <w:r w:rsidR="008136CC" w:rsidRPr="00803028">
        <w:rPr>
          <w:shd w:val="clear" w:color="auto" w:fill="FFFFFF"/>
        </w:rPr>
        <w:t xml:space="preserve">о целям взимания; </w:t>
      </w:r>
    </w:p>
    <w:p w:rsidR="008136CC" w:rsidRPr="00803028" w:rsidRDefault="00803028" w:rsidP="00803028">
      <w:pPr>
        <w:pStyle w:val="af4"/>
        <w:numPr>
          <w:ilvl w:val="0"/>
          <w:numId w:val="11"/>
        </w:numPr>
        <w:rPr>
          <w:shd w:val="clear" w:color="auto" w:fill="FFFFFF"/>
        </w:rPr>
      </w:pPr>
      <w:r w:rsidRPr="00803028">
        <w:rPr>
          <w:shd w:val="clear" w:color="auto" w:fill="FFFFFF"/>
        </w:rPr>
        <w:t>П</w:t>
      </w:r>
      <w:r w:rsidR="008136CC" w:rsidRPr="00803028">
        <w:rPr>
          <w:shd w:val="clear" w:color="auto" w:fill="FFFFFF"/>
        </w:rPr>
        <w:t xml:space="preserve">о объектам обложения; </w:t>
      </w:r>
    </w:p>
    <w:p w:rsidR="008136CC" w:rsidRPr="00803028" w:rsidRDefault="00803028" w:rsidP="00803028">
      <w:pPr>
        <w:pStyle w:val="af4"/>
        <w:numPr>
          <w:ilvl w:val="0"/>
          <w:numId w:val="11"/>
        </w:numPr>
        <w:rPr>
          <w:shd w:val="clear" w:color="auto" w:fill="FFFFFF"/>
        </w:rPr>
      </w:pPr>
      <w:r w:rsidRPr="00803028">
        <w:rPr>
          <w:shd w:val="clear" w:color="auto" w:fill="FFFFFF"/>
        </w:rPr>
        <w:t>В</w:t>
      </w:r>
      <w:r w:rsidR="008136CC" w:rsidRPr="00803028">
        <w:rPr>
          <w:shd w:val="clear" w:color="auto" w:fill="FFFFFF"/>
        </w:rPr>
        <w:t xml:space="preserve"> зависимости от способа исчисления; </w:t>
      </w:r>
    </w:p>
    <w:p w:rsidR="008136CC" w:rsidRPr="00803028" w:rsidRDefault="00803028" w:rsidP="00803028">
      <w:pPr>
        <w:pStyle w:val="af4"/>
        <w:numPr>
          <w:ilvl w:val="0"/>
          <w:numId w:val="11"/>
        </w:numPr>
        <w:rPr>
          <w:shd w:val="clear" w:color="auto" w:fill="FFFFFF"/>
        </w:rPr>
      </w:pPr>
      <w:r w:rsidRPr="00803028">
        <w:rPr>
          <w:shd w:val="clear" w:color="auto" w:fill="FFFFFF"/>
        </w:rPr>
        <w:t>П</w:t>
      </w:r>
      <w:r w:rsidR="008136CC" w:rsidRPr="00803028">
        <w:rPr>
          <w:shd w:val="clear" w:color="auto" w:fill="FFFFFF"/>
        </w:rPr>
        <w:t xml:space="preserve">о характеру происхождения; </w:t>
      </w:r>
    </w:p>
    <w:p w:rsidR="008136CC" w:rsidRPr="00803028" w:rsidRDefault="00803028" w:rsidP="00803028">
      <w:pPr>
        <w:pStyle w:val="af4"/>
        <w:numPr>
          <w:ilvl w:val="0"/>
          <w:numId w:val="11"/>
        </w:numPr>
        <w:rPr>
          <w:shd w:val="clear" w:color="auto" w:fill="FFFFFF"/>
        </w:rPr>
      </w:pPr>
      <w:r w:rsidRPr="00803028">
        <w:rPr>
          <w:shd w:val="clear" w:color="auto" w:fill="FFFFFF"/>
        </w:rPr>
        <w:t>П</w:t>
      </w:r>
      <w:r w:rsidR="008136CC" w:rsidRPr="00803028">
        <w:rPr>
          <w:shd w:val="clear" w:color="auto" w:fill="FFFFFF"/>
        </w:rPr>
        <w:t xml:space="preserve">о стране происхождения; </w:t>
      </w:r>
    </w:p>
    <w:p w:rsidR="008136CC" w:rsidRPr="00803028" w:rsidRDefault="00803028" w:rsidP="00803028">
      <w:pPr>
        <w:pStyle w:val="af4"/>
        <w:numPr>
          <w:ilvl w:val="0"/>
          <w:numId w:val="11"/>
        </w:numPr>
        <w:rPr>
          <w:shd w:val="clear" w:color="auto" w:fill="FFFFFF"/>
        </w:rPr>
      </w:pPr>
      <w:r w:rsidRPr="00803028">
        <w:rPr>
          <w:shd w:val="clear" w:color="auto" w:fill="FFFFFF"/>
        </w:rPr>
        <w:t>О</w:t>
      </w:r>
      <w:r w:rsidR="008136CC" w:rsidRPr="00803028">
        <w:rPr>
          <w:shd w:val="clear" w:color="auto" w:fill="FFFFFF"/>
        </w:rPr>
        <w:t xml:space="preserve">собые таможенные пошлины. </w:t>
      </w:r>
    </w:p>
    <w:p w:rsidR="00803028" w:rsidRDefault="00803028" w:rsidP="008136CC">
      <w:pPr>
        <w:pStyle w:val="af4"/>
        <w:rPr>
          <w:shd w:val="clear" w:color="auto" w:fill="FFFFFF"/>
        </w:rPr>
      </w:pPr>
    </w:p>
    <w:p w:rsidR="00803028" w:rsidRDefault="008136CC" w:rsidP="008136CC">
      <w:pPr>
        <w:pStyle w:val="af4"/>
        <w:rPr>
          <w:shd w:val="clear" w:color="auto" w:fill="FFFFFF"/>
        </w:rPr>
      </w:pPr>
      <w:r w:rsidRPr="00803028">
        <w:rPr>
          <w:shd w:val="clear" w:color="auto" w:fill="FFFFFF"/>
        </w:rPr>
        <w:t xml:space="preserve">В зависимости от целей взимания выделяют: фискальные (применяется для пополнения бюджета страны) и протекционистские пошлины (защита отечественного производителя и внутреннего рынка страны). </w:t>
      </w:r>
    </w:p>
    <w:p w:rsidR="00803028" w:rsidRDefault="00803028" w:rsidP="008136CC">
      <w:pPr>
        <w:pStyle w:val="af4"/>
        <w:rPr>
          <w:shd w:val="clear" w:color="auto" w:fill="FFFFFF"/>
        </w:rPr>
      </w:pPr>
    </w:p>
    <w:p w:rsidR="008136CC" w:rsidRPr="00803028" w:rsidRDefault="008136CC" w:rsidP="008136CC">
      <w:pPr>
        <w:pStyle w:val="af4"/>
        <w:rPr>
          <w:shd w:val="clear" w:color="auto" w:fill="FFFFFF"/>
        </w:rPr>
      </w:pPr>
      <w:r w:rsidRPr="00803028">
        <w:rPr>
          <w:shd w:val="clear" w:color="auto" w:fill="FFFFFF"/>
        </w:rPr>
        <w:t xml:space="preserve">По объектам обложения выделяют импортную (в фискальных целях или в целях стимулирования экспорта; целесообразно устанавливать высокие пошлины на ввозимые в страну предметы роскоши, на готовую продукцию, которая не влияет на развитие отечественного производства, а также на акцизные товары), экспортную (применяется для выравнивания низкой внутренней цены относительно цены на внешнем рынке; в России данная мера применяется в основном к сырьевым товарам (нефть). Применять экспортные пошлины необходимо, если отечественный товар пользуется высоким спросом на импортных рынках, а также, если расширение экспорта нецелесообразно, вследствие падения мировых цен, вызванным избыточным </w:t>
      </w:r>
      <w:r w:rsidRPr="00803028">
        <w:rPr>
          <w:shd w:val="clear" w:color="auto" w:fill="FFFFFF"/>
        </w:rPr>
        <w:lastRenderedPageBreak/>
        <w:t>предложением товаров на рынке) и транзитную таможенную пошлину (применяется в редких случаях, взимается за провоз иностранных товаров по территории страны; в мировой практике применяются таможенные сборы за таможенное сопровождение).</w:t>
      </w:r>
    </w:p>
    <w:p w:rsidR="00803028" w:rsidRDefault="00803028" w:rsidP="008136CC">
      <w:pPr>
        <w:pStyle w:val="af4"/>
        <w:rPr>
          <w:shd w:val="clear" w:color="auto" w:fill="FFFFFF"/>
        </w:rPr>
      </w:pPr>
    </w:p>
    <w:p w:rsidR="008136CC" w:rsidRDefault="008136CC" w:rsidP="008136CC">
      <w:pPr>
        <w:pStyle w:val="af4"/>
      </w:pPr>
      <w:r w:rsidRPr="00803028">
        <w:rPr>
          <w:shd w:val="clear" w:color="auto" w:fill="FFFFFF"/>
        </w:rPr>
        <w:t>В зависимости от способа исчисления выделяют следующие ставки таможенных пошлин: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8136CC" w:rsidRPr="00803028" w:rsidRDefault="00803028" w:rsidP="00F1720B">
      <w:pPr>
        <w:pStyle w:val="af4"/>
        <w:numPr>
          <w:ilvl w:val="0"/>
          <w:numId w:val="14"/>
        </w:numPr>
        <w:tabs>
          <w:tab w:val="left" w:pos="1701"/>
        </w:tabs>
        <w:ind w:left="0" w:firstLine="1418"/>
      </w:pPr>
      <w:r>
        <w:rPr>
          <w:shd w:val="clear" w:color="auto" w:fill="FFFFFF"/>
        </w:rPr>
        <w:t>А</w:t>
      </w:r>
      <w:r w:rsidR="008136CC" w:rsidRPr="00803028">
        <w:rPr>
          <w:shd w:val="clear" w:color="auto" w:fill="FFFFFF"/>
        </w:rPr>
        <w:t>двалорные — пошлины, начисляемые в процентах к таможенной стоимости облагаемых товаров. Обычно при обложении товаров, имеющих различные качественные характеристики в рамках одной товарной группы. Так, по адвалорным ставкам облагаются сырье, продовольствие;</w:t>
      </w:r>
      <w:r w:rsidR="008136CC" w:rsidRPr="00803028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8136CC" w:rsidRPr="00803028" w:rsidRDefault="00803028" w:rsidP="00F1720B">
      <w:pPr>
        <w:pStyle w:val="af4"/>
        <w:numPr>
          <w:ilvl w:val="0"/>
          <w:numId w:val="14"/>
        </w:numPr>
        <w:tabs>
          <w:tab w:val="left" w:pos="1701"/>
        </w:tabs>
        <w:ind w:left="0" w:firstLine="1418"/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shd w:val="clear" w:color="auto" w:fill="FFFFFF"/>
        </w:rPr>
        <w:t>С</w:t>
      </w:r>
      <w:r w:rsidR="008136CC" w:rsidRPr="00803028">
        <w:rPr>
          <w:shd w:val="clear" w:color="auto" w:fill="FFFFFF"/>
        </w:rPr>
        <w:t>пецифические — это обязательный платеж, который начисляется в установленной форме за единицу облагаемого товара. По специфическим ставкам чаще всего облагаются готовые изделия. Своеобразной чертой данного вида сборов является зависимость уровня таможенной защиты с помощью специфических пошлин от колебания цен на товары;</w:t>
      </w:r>
    </w:p>
    <w:p w:rsidR="008136CC" w:rsidRPr="008136CC" w:rsidRDefault="00803028" w:rsidP="00F1720B">
      <w:pPr>
        <w:pStyle w:val="af4"/>
        <w:numPr>
          <w:ilvl w:val="0"/>
          <w:numId w:val="14"/>
        </w:numPr>
        <w:tabs>
          <w:tab w:val="left" w:pos="1701"/>
        </w:tabs>
        <w:ind w:left="0" w:firstLine="1418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shd w:val="clear" w:color="auto" w:fill="FFFFFF"/>
        </w:rPr>
        <w:t>К</w:t>
      </w:r>
      <w:r w:rsidR="008136CC" w:rsidRPr="00803028">
        <w:rPr>
          <w:shd w:val="clear" w:color="auto" w:fill="FFFFFF"/>
        </w:rPr>
        <w:t>омбинированные — особая форма взимания пошлины, которая сочетает адвалорный и специфический вид обложения. При</w:t>
      </w:r>
      <w:r w:rsidR="008136CC">
        <w:rPr>
          <w:shd w:val="clear" w:color="auto" w:fill="FFFFFF"/>
        </w:rPr>
        <w:t xml:space="preserve"> этом таможенная пошлина взимается по той ставке, величина которой оказывается больше. Данный вид ставок является наиболее гибким, так как учитывает и стоимость товара, и его физические характеристики.</w:t>
      </w:r>
    </w:p>
    <w:p w:rsidR="008136CC" w:rsidRDefault="008136CC" w:rsidP="008136CC">
      <w:pPr>
        <w:pStyle w:val="af4"/>
        <w:rPr>
          <w:shd w:val="clear" w:color="auto" w:fill="FFFFFF"/>
        </w:rPr>
      </w:pPr>
    </w:p>
    <w:p w:rsidR="00803028" w:rsidRDefault="008136CC" w:rsidP="008136CC">
      <w:pPr>
        <w:pStyle w:val="af4"/>
        <w:rPr>
          <w:highlight w:val="yellow"/>
          <w:shd w:val="clear" w:color="auto" w:fill="FFFFFF"/>
        </w:rPr>
      </w:pPr>
      <w:r w:rsidRPr="00803028">
        <w:rPr>
          <w:shd w:val="clear" w:color="auto" w:fill="FFFFFF"/>
        </w:rPr>
        <w:t>По характеру происхождения выделяют автономные пошлины и конвенционные (договорные) пошлины. Автономные пошлины устанавливаются страной без применения двухсторонних или многосторонних договоров.</w:t>
      </w:r>
      <w:r>
        <w:rPr>
          <w:shd w:val="clear" w:color="auto" w:fill="FFFFFF"/>
        </w:rPr>
        <w:t xml:space="preserve"> Исходя из этого, их размеры зачастую бывают очень высокими и подлежат обсуждению между странами-партнерами, таким образом, образуются конвенционные пошлины. Они являются более </w:t>
      </w:r>
      <w:r>
        <w:rPr>
          <w:shd w:val="clear" w:color="auto" w:fill="FFFFFF"/>
        </w:rPr>
        <w:lastRenderedPageBreak/>
        <w:t>выгодными для контрагентов, так как их величина не может изменяться в одностороннем порядке</w:t>
      </w:r>
      <w:r w:rsidRPr="00803028">
        <w:rPr>
          <w:shd w:val="clear" w:color="auto" w:fill="FFFFFF"/>
        </w:rPr>
        <w:t xml:space="preserve">. </w:t>
      </w:r>
    </w:p>
    <w:p w:rsidR="008136CC" w:rsidRPr="00803028" w:rsidRDefault="008136CC" w:rsidP="008136CC">
      <w:pPr>
        <w:pStyle w:val="af4"/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803028">
        <w:rPr>
          <w:shd w:val="clear" w:color="auto" w:fill="FFFFFF"/>
        </w:rPr>
        <w:t>Размер таможенной пошлины зависит от страны происхождения товаров. В зависимости от данного критерия выделяют:</w:t>
      </w:r>
      <w:r w:rsidRPr="00803028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8136CC" w:rsidRPr="00803028" w:rsidRDefault="008136CC" w:rsidP="00F1720B">
      <w:pPr>
        <w:pStyle w:val="af4"/>
        <w:numPr>
          <w:ilvl w:val="0"/>
          <w:numId w:val="13"/>
        </w:numPr>
        <w:tabs>
          <w:tab w:val="left" w:pos="1560"/>
        </w:tabs>
        <w:ind w:left="0" w:firstLine="1276"/>
        <w:rPr>
          <w:shd w:val="clear" w:color="auto" w:fill="FFFFFF"/>
        </w:rPr>
      </w:pPr>
      <w:r w:rsidRPr="00803028">
        <w:rPr>
          <w:shd w:val="clear" w:color="auto" w:fill="FFFFFF"/>
        </w:rPr>
        <w:t>базовые — таможенные пошлины содержатся в Едином таможенном тарифе ЕАЭС и являются общими для применения;</w:t>
      </w:r>
      <w:r w:rsidRPr="00803028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803028" w:rsidRDefault="008136CC" w:rsidP="00F1720B">
      <w:pPr>
        <w:pStyle w:val="af4"/>
        <w:numPr>
          <w:ilvl w:val="0"/>
          <w:numId w:val="13"/>
        </w:numPr>
        <w:tabs>
          <w:tab w:val="left" w:pos="1560"/>
          <w:tab w:val="left" w:pos="1701"/>
        </w:tabs>
        <w:ind w:left="0" w:firstLine="1276"/>
        <w:jc w:val="left"/>
        <w:rPr>
          <w:shd w:val="clear" w:color="auto" w:fill="FFFFFF"/>
        </w:rPr>
      </w:pPr>
      <w:r w:rsidRPr="00803028">
        <w:rPr>
          <w:shd w:val="clear" w:color="auto" w:fill="FFFFFF"/>
        </w:rPr>
        <w:t>преференциальные,</w:t>
      </w:r>
      <w:r>
        <w:rPr>
          <w:shd w:val="clear" w:color="auto" w:fill="FFFFFF"/>
        </w:rPr>
        <w:t xml:space="preserve"> предоставляемые отдельным странам или группам стран. Они могут быть снижены на 100 % — в отношении наименее развитых стран-пользователей единой системы тарифных преференций ЕАЭС, или на 25 % — в отношении развивающихся стран. Также выделяют третью группу стран, в отношении которых устанавливается режим наибольшего благоприятствования. Режим наибольшего благоприятствования предусматривает представление таможенных льгот, а также преимуществ в отношении внутренних налогов и сборов, которыми облагается производство, обработка и обращение импортируемых товаров. </w:t>
      </w:r>
    </w:p>
    <w:p w:rsidR="008136CC" w:rsidRDefault="008136CC" w:rsidP="008136CC">
      <w:pPr>
        <w:pStyle w:val="af4"/>
        <w:rPr>
          <w:shd w:val="clear" w:color="auto" w:fill="FFFFFF"/>
        </w:rPr>
      </w:pPr>
      <w:r w:rsidRPr="00F1720B">
        <w:rPr>
          <w:shd w:val="clear" w:color="auto" w:fill="FFFFFF"/>
        </w:rPr>
        <w:t>Тарифные преференции устанавливаются в отношении конкретных товаров. В перечень преференциальных товаров входят преимущественно сельскохозяйственные товары, а также товары низкой степени переработки (сырье и полуфабрикаты). Абсолютное большинство тарифных преференций на импорт из развивающихся стран предоставляется в отношении мяса и пищевых мясных субпродуктов, овощей и корнеплодов, фруктов и орехов.</w:t>
      </w:r>
      <w:r>
        <w:rPr>
          <w:shd w:val="clear" w:color="auto" w:fill="FFFFFF"/>
        </w:rPr>
        <w:t xml:space="preserve"> Основными преференциальными товарами, импортируемыми из наименее развитых стран, являются злаки, рыба и морепродукты, табак. А вот импорт мяса и мясных продуктов с точки зрения защиты потребителя от ввоза низкокачественных товаров не достаточно полно урегулирован действующим комплексом таможенных мер. Это обусловлено тем, что ставки ввозных таможенных пошлин слабо дифференцированы с учетом качества мясных товаров. </w:t>
      </w:r>
    </w:p>
    <w:p w:rsidR="008136CC" w:rsidRPr="00E10501" w:rsidRDefault="008136CC" w:rsidP="008136CC">
      <w:pPr>
        <w:pStyle w:val="af4"/>
        <w:rPr>
          <w:shd w:val="clear" w:color="auto" w:fill="FFFFFF"/>
        </w:rPr>
      </w:pPr>
      <w:r w:rsidRPr="00E10501">
        <w:rPr>
          <w:shd w:val="clear" w:color="auto" w:fill="FFFFFF"/>
        </w:rPr>
        <w:t xml:space="preserve">Элементом таможенно-тарифного регулирования являются особые пошлины: </w:t>
      </w:r>
    </w:p>
    <w:p w:rsidR="008136CC" w:rsidRPr="00E10501" w:rsidRDefault="00803028" w:rsidP="00803028">
      <w:pPr>
        <w:pStyle w:val="af4"/>
        <w:numPr>
          <w:ilvl w:val="0"/>
          <w:numId w:val="12"/>
        </w:numPr>
        <w:rPr>
          <w:shd w:val="clear" w:color="auto" w:fill="FFFFFF"/>
        </w:rPr>
      </w:pPr>
      <w:r w:rsidRPr="00E10501">
        <w:rPr>
          <w:shd w:val="clear" w:color="auto" w:fill="FFFFFF"/>
        </w:rPr>
        <w:lastRenderedPageBreak/>
        <w:t>С</w:t>
      </w:r>
      <w:r w:rsidR="008136CC" w:rsidRPr="00E10501">
        <w:rPr>
          <w:shd w:val="clear" w:color="auto" w:fill="FFFFFF"/>
        </w:rPr>
        <w:t xml:space="preserve">пециальные защитные; </w:t>
      </w:r>
    </w:p>
    <w:p w:rsidR="008136CC" w:rsidRPr="00E10501" w:rsidRDefault="00803028" w:rsidP="00803028">
      <w:pPr>
        <w:pStyle w:val="af4"/>
        <w:numPr>
          <w:ilvl w:val="0"/>
          <w:numId w:val="12"/>
        </w:numPr>
        <w:rPr>
          <w:shd w:val="clear" w:color="auto" w:fill="FFFFFF"/>
        </w:rPr>
      </w:pPr>
      <w:r w:rsidRPr="00E10501">
        <w:rPr>
          <w:shd w:val="clear" w:color="auto" w:fill="FFFFFF"/>
        </w:rPr>
        <w:t>А</w:t>
      </w:r>
      <w:r w:rsidR="008136CC" w:rsidRPr="00E10501">
        <w:rPr>
          <w:shd w:val="clear" w:color="auto" w:fill="FFFFFF"/>
        </w:rPr>
        <w:t xml:space="preserve">нтидемпинговые; </w:t>
      </w:r>
    </w:p>
    <w:p w:rsidR="008136CC" w:rsidRPr="00E10501" w:rsidRDefault="00803028" w:rsidP="00803028">
      <w:pPr>
        <w:pStyle w:val="af4"/>
        <w:numPr>
          <w:ilvl w:val="0"/>
          <w:numId w:val="12"/>
        </w:numPr>
        <w:rPr>
          <w:shd w:val="clear" w:color="auto" w:fill="FFFFFF"/>
        </w:rPr>
      </w:pPr>
      <w:r w:rsidRPr="00E10501">
        <w:rPr>
          <w:shd w:val="clear" w:color="auto" w:fill="FFFFFF"/>
        </w:rPr>
        <w:t>К</w:t>
      </w:r>
      <w:r w:rsidR="008136CC" w:rsidRPr="00E10501">
        <w:rPr>
          <w:shd w:val="clear" w:color="auto" w:fill="FFFFFF"/>
        </w:rPr>
        <w:t xml:space="preserve">омпенсационные. </w:t>
      </w:r>
    </w:p>
    <w:p w:rsidR="008136CC" w:rsidRPr="00E10501" w:rsidRDefault="008136CC" w:rsidP="008136CC">
      <w:pPr>
        <w:pStyle w:val="af4"/>
        <w:rPr>
          <w:shd w:val="clear" w:color="auto" w:fill="FFFFFF"/>
        </w:rPr>
      </w:pPr>
      <w:r>
        <w:rPr>
          <w:shd w:val="clear" w:color="auto" w:fill="FFFFFF"/>
        </w:rPr>
        <w:t xml:space="preserve">Данные меры применяются к ввозимым товарам в целях защиты экономических интересов Российской Федерации и стран — участниц ЕАЭС. Они носят временный характер, так как используются как ответная мера в целях борьбы с недобросовестной конкуренцией зарубежных партнеров. </w:t>
      </w:r>
      <w:r w:rsidRPr="00E10501">
        <w:rPr>
          <w:shd w:val="clear" w:color="auto" w:fill="FFFFFF"/>
        </w:rPr>
        <w:t xml:space="preserve">Таким образом, таможенная пошлина является основным инструментом таможенно-тарифного регулирования. В зависимости от классификации таможенных пошлин повышаются или снижаются их значения, что непосредственно отражается на регулировании ВЭД. </w:t>
      </w:r>
    </w:p>
    <w:p w:rsidR="008136CC" w:rsidRDefault="008136CC" w:rsidP="008136CC">
      <w:pPr>
        <w:pStyle w:val="af4"/>
        <w:rPr>
          <w:shd w:val="clear" w:color="auto" w:fill="FFFFFF"/>
        </w:rPr>
      </w:pPr>
      <w:r w:rsidRPr="00E10501">
        <w:rPr>
          <w:shd w:val="clear" w:color="auto" w:fill="FFFFFF"/>
        </w:rPr>
        <w:t>Именно поэтому, для защиты отечественного рынка, для выполнения фискальной и других функций важно правильное выделение вида таможенной пошлины в каждом конкретном случае ее применения.</w:t>
      </w:r>
      <w:r>
        <w:rPr>
          <w:shd w:val="clear" w:color="auto" w:fill="FFFFFF"/>
        </w:rPr>
        <w:t> </w:t>
      </w:r>
    </w:p>
    <w:p w:rsidR="008136CC" w:rsidRPr="0060599F" w:rsidRDefault="008136CC" w:rsidP="008136CC">
      <w:pPr>
        <w:rPr>
          <w:shd w:val="clear" w:color="auto" w:fill="FFFFFF"/>
        </w:rPr>
      </w:pPr>
    </w:p>
    <w:p w:rsidR="00281E70" w:rsidRPr="00281E70" w:rsidRDefault="00281E70" w:rsidP="002D06B3">
      <w:pPr>
        <w:pStyle w:val="af4"/>
      </w:pPr>
    </w:p>
    <w:sectPr w:rsidR="00281E70" w:rsidRPr="00281E70" w:rsidSect="00831C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0CE2" w:rsidRDefault="008D0CE2" w:rsidP="000B6B06">
      <w:pPr>
        <w:spacing w:after="0" w:line="240" w:lineRule="auto"/>
      </w:pPr>
      <w:r>
        <w:separator/>
      </w:r>
    </w:p>
  </w:endnote>
  <w:endnote w:type="continuationSeparator" w:id="1">
    <w:p w:rsidR="008D0CE2" w:rsidRDefault="008D0CE2" w:rsidP="000B6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0CE2" w:rsidRDefault="008D0CE2" w:rsidP="000B6B06">
      <w:pPr>
        <w:spacing w:after="0" w:line="240" w:lineRule="auto"/>
      </w:pPr>
      <w:r>
        <w:separator/>
      </w:r>
    </w:p>
  </w:footnote>
  <w:footnote w:type="continuationSeparator" w:id="1">
    <w:p w:rsidR="008D0CE2" w:rsidRDefault="008D0CE2" w:rsidP="000B6B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B5A3D"/>
    <w:multiLevelType w:val="hybridMultilevel"/>
    <w:tmpl w:val="4358F2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F564AF6"/>
    <w:multiLevelType w:val="hybridMultilevel"/>
    <w:tmpl w:val="1EC27050"/>
    <w:lvl w:ilvl="0" w:tplc="66EE43EC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25E2EBD"/>
    <w:multiLevelType w:val="hybridMultilevel"/>
    <w:tmpl w:val="029EB690"/>
    <w:lvl w:ilvl="0" w:tplc="883004C0">
      <w:start w:val="1"/>
      <w:numFmt w:val="upperRoman"/>
      <w:lvlText w:val="%1."/>
      <w:lvlJc w:val="left"/>
      <w:pPr>
        <w:ind w:left="43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040" w:hanging="360"/>
      </w:pPr>
    </w:lvl>
    <w:lvl w:ilvl="2" w:tplc="0419001B" w:tentative="1">
      <w:start w:val="1"/>
      <w:numFmt w:val="lowerRoman"/>
      <w:lvlText w:val="%3."/>
      <w:lvlJc w:val="right"/>
      <w:pPr>
        <w:ind w:left="5760" w:hanging="180"/>
      </w:pPr>
    </w:lvl>
    <w:lvl w:ilvl="3" w:tplc="0419000F" w:tentative="1">
      <w:start w:val="1"/>
      <w:numFmt w:val="decimal"/>
      <w:lvlText w:val="%4."/>
      <w:lvlJc w:val="left"/>
      <w:pPr>
        <w:ind w:left="6480" w:hanging="360"/>
      </w:pPr>
    </w:lvl>
    <w:lvl w:ilvl="4" w:tplc="04190019" w:tentative="1">
      <w:start w:val="1"/>
      <w:numFmt w:val="lowerLetter"/>
      <w:lvlText w:val="%5."/>
      <w:lvlJc w:val="left"/>
      <w:pPr>
        <w:ind w:left="7200" w:hanging="360"/>
      </w:pPr>
    </w:lvl>
    <w:lvl w:ilvl="5" w:tplc="0419001B" w:tentative="1">
      <w:start w:val="1"/>
      <w:numFmt w:val="lowerRoman"/>
      <w:lvlText w:val="%6."/>
      <w:lvlJc w:val="right"/>
      <w:pPr>
        <w:ind w:left="7920" w:hanging="180"/>
      </w:pPr>
    </w:lvl>
    <w:lvl w:ilvl="6" w:tplc="0419000F" w:tentative="1">
      <w:start w:val="1"/>
      <w:numFmt w:val="decimal"/>
      <w:lvlText w:val="%7."/>
      <w:lvlJc w:val="left"/>
      <w:pPr>
        <w:ind w:left="8640" w:hanging="360"/>
      </w:pPr>
    </w:lvl>
    <w:lvl w:ilvl="7" w:tplc="04190019" w:tentative="1">
      <w:start w:val="1"/>
      <w:numFmt w:val="lowerLetter"/>
      <w:lvlText w:val="%8."/>
      <w:lvlJc w:val="left"/>
      <w:pPr>
        <w:ind w:left="9360" w:hanging="360"/>
      </w:pPr>
    </w:lvl>
    <w:lvl w:ilvl="8" w:tplc="041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3">
    <w:nsid w:val="22EC6D26"/>
    <w:multiLevelType w:val="hybridMultilevel"/>
    <w:tmpl w:val="B21C8B96"/>
    <w:lvl w:ilvl="0" w:tplc="66EE43EC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33A0007"/>
    <w:multiLevelType w:val="hybridMultilevel"/>
    <w:tmpl w:val="5DD8BC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3B3F28F3"/>
    <w:multiLevelType w:val="hybridMultilevel"/>
    <w:tmpl w:val="7E0C15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4BC57F28"/>
    <w:multiLevelType w:val="hybridMultilevel"/>
    <w:tmpl w:val="40C679C6"/>
    <w:lvl w:ilvl="0" w:tplc="9B2EDC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4BE26AE8"/>
    <w:multiLevelType w:val="hybridMultilevel"/>
    <w:tmpl w:val="99224072"/>
    <w:lvl w:ilvl="0" w:tplc="F78672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4FB478AC"/>
    <w:multiLevelType w:val="hybridMultilevel"/>
    <w:tmpl w:val="972E688E"/>
    <w:lvl w:ilvl="0" w:tplc="A4DC12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4FDA1D1E"/>
    <w:multiLevelType w:val="hybridMultilevel"/>
    <w:tmpl w:val="731C91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5A437BED"/>
    <w:multiLevelType w:val="hybridMultilevel"/>
    <w:tmpl w:val="2B32AC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5EBA5025"/>
    <w:multiLevelType w:val="hybridMultilevel"/>
    <w:tmpl w:val="FAAC2664"/>
    <w:lvl w:ilvl="0" w:tplc="EB1C41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637D73D6"/>
    <w:multiLevelType w:val="hybridMultilevel"/>
    <w:tmpl w:val="6DFCE2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74E71A7F"/>
    <w:multiLevelType w:val="hybridMultilevel"/>
    <w:tmpl w:val="649870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4"/>
  </w:num>
  <w:num w:numId="4">
    <w:abstractNumId w:val="5"/>
  </w:num>
  <w:num w:numId="5">
    <w:abstractNumId w:val="11"/>
  </w:num>
  <w:num w:numId="6">
    <w:abstractNumId w:val="6"/>
  </w:num>
  <w:num w:numId="7">
    <w:abstractNumId w:val="8"/>
  </w:num>
  <w:num w:numId="8">
    <w:abstractNumId w:val="7"/>
  </w:num>
  <w:num w:numId="9">
    <w:abstractNumId w:val="2"/>
  </w:num>
  <w:num w:numId="10">
    <w:abstractNumId w:val="3"/>
  </w:num>
  <w:num w:numId="11">
    <w:abstractNumId w:val="9"/>
  </w:num>
  <w:num w:numId="12">
    <w:abstractNumId w:val="13"/>
  </w:num>
  <w:num w:numId="13">
    <w:abstractNumId w:val="12"/>
  </w:num>
  <w:num w:numId="14">
    <w:abstractNumId w:val="1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42F63"/>
    <w:rsid w:val="00001753"/>
    <w:rsid w:val="000033B7"/>
    <w:rsid w:val="00007661"/>
    <w:rsid w:val="00007A9C"/>
    <w:rsid w:val="0001090D"/>
    <w:rsid w:val="00014261"/>
    <w:rsid w:val="00015B44"/>
    <w:rsid w:val="00033D70"/>
    <w:rsid w:val="0004360A"/>
    <w:rsid w:val="00055168"/>
    <w:rsid w:val="000642F6"/>
    <w:rsid w:val="00067640"/>
    <w:rsid w:val="00082B08"/>
    <w:rsid w:val="000A1482"/>
    <w:rsid w:val="000B28BE"/>
    <w:rsid w:val="000B6B06"/>
    <w:rsid w:val="000C0ACE"/>
    <w:rsid w:val="000C3138"/>
    <w:rsid w:val="000D2081"/>
    <w:rsid w:val="000D3B14"/>
    <w:rsid w:val="000F68BF"/>
    <w:rsid w:val="000F7D92"/>
    <w:rsid w:val="001141E2"/>
    <w:rsid w:val="00114E01"/>
    <w:rsid w:val="001274F4"/>
    <w:rsid w:val="00146E1F"/>
    <w:rsid w:val="001500AD"/>
    <w:rsid w:val="001613B7"/>
    <w:rsid w:val="0016315A"/>
    <w:rsid w:val="00163759"/>
    <w:rsid w:val="00166156"/>
    <w:rsid w:val="00166D18"/>
    <w:rsid w:val="001732B6"/>
    <w:rsid w:val="00173EE8"/>
    <w:rsid w:val="00183455"/>
    <w:rsid w:val="0019221F"/>
    <w:rsid w:val="001B1DD8"/>
    <w:rsid w:val="001B73BB"/>
    <w:rsid w:val="001C5506"/>
    <w:rsid w:val="001C567C"/>
    <w:rsid w:val="001D08D6"/>
    <w:rsid w:val="001D2B68"/>
    <w:rsid w:val="001D2D5B"/>
    <w:rsid w:val="001D72D9"/>
    <w:rsid w:val="001D75A0"/>
    <w:rsid w:val="001E0B7E"/>
    <w:rsid w:val="001E5AAA"/>
    <w:rsid w:val="001F207C"/>
    <w:rsid w:val="001F3AE3"/>
    <w:rsid w:val="00203B5F"/>
    <w:rsid w:val="00230B55"/>
    <w:rsid w:val="002348E0"/>
    <w:rsid w:val="002377FC"/>
    <w:rsid w:val="00281E70"/>
    <w:rsid w:val="00282E83"/>
    <w:rsid w:val="00293281"/>
    <w:rsid w:val="00293548"/>
    <w:rsid w:val="00295530"/>
    <w:rsid w:val="002A1FF6"/>
    <w:rsid w:val="002A21C7"/>
    <w:rsid w:val="002B3D56"/>
    <w:rsid w:val="002C21F0"/>
    <w:rsid w:val="002C2964"/>
    <w:rsid w:val="002C3DD3"/>
    <w:rsid w:val="002D06B3"/>
    <w:rsid w:val="002E7669"/>
    <w:rsid w:val="002F01A2"/>
    <w:rsid w:val="002F0B21"/>
    <w:rsid w:val="002F109A"/>
    <w:rsid w:val="002F1DBB"/>
    <w:rsid w:val="003201A7"/>
    <w:rsid w:val="00334BE8"/>
    <w:rsid w:val="00342778"/>
    <w:rsid w:val="003449EC"/>
    <w:rsid w:val="00352142"/>
    <w:rsid w:val="00360B38"/>
    <w:rsid w:val="003654D7"/>
    <w:rsid w:val="0037203C"/>
    <w:rsid w:val="003816B3"/>
    <w:rsid w:val="0038570B"/>
    <w:rsid w:val="00385CEE"/>
    <w:rsid w:val="003A21C9"/>
    <w:rsid w:val="003B2609"/>
    <w:rsid w:val="003B28E5"/>
    <w:rsid w:val="003B7E11"/>
    <w:rsid w:val="003C4674"/>
    <w:rsid w:val="003D168F"/>
    <w:rsid w:val="003D6EA3"/>
    <w:rsid w:val="003F4667"/>
    <w:rsid w:val="00404DE8"/>
    <w:rsid w:val="00431DD6"/>
    <w:rsid w:val="004358F2"/>
    <w:rsid w:val="004432F6"/>
    <w:rsid w:val="00443A5C"/>
    <w:rsid w:val="00447F40"/>
    <w:rsid w:val="004506BF"/>
    <w:rsid w:val="00461AB0"/>
    <w:rsid w:val="00481596"/>
    <w:rsid w:val="00483F3F"/>
    <w:rsid w:val="00484A41"/>
    <w:rsid w:val="00487E2E"/>
    <w:rsid w:val="00491F32"/>
    <w:rsid w:val="004B11F6"/>
    <w:rsid w:val="004C0F68"/>
    <w:rsid w:val="004C3819"/>
    <w:rsid w:val="004F0A85"/>
    <w:rsid w:val="004F262D"/>
    <w:rsid w:val="00501DFD"/>
    <w:rsid w:val="005111F3"/>
    <w:rsid w:val="005114CE"/>
    <w:rsid w:val="00512D4A"/>
    <w:rsid w:val="005136A9"/>
    <w:rsid w:val="00514679"/>
    <w:rsid w:val="00514D68"/>
    <w:rsid w:val="005251F7"/>
    <w:rsid w:val="005433D9"/>
    <w:rsid w:val="005535B8"/>
    <w:rsid w:val="00561F9A"/>
    <w:rsid w:val="005765BE"/>
    <w:rsid w:val="005808DA"/>
    <w:rsid w:val="005A3B49"/>
    <w:rsid w:val="005A49A5"/>
    <w:rsid w:val="005D40BB"/>
    <w:rsid w:val="005D54D9"/>
    <w:rsid w:val="005E1452"/>
    <w:rsid w:val="006075D2"/>
    <w:rsid w:val="00621F66"/>
    <w:rsid w:val="006344FD"/>
    <w:rsid w:val="00637193"/>
    <w:rsid w:val="00640152"/>
    <w:rsid w:val="006538AF"/>
    <w:rsid w:val="00653EC6"/>
    <w:rsid w:val="00666C75"/>
    <w:rsid w:val="00671BAD"/>
    <w:rsid w:val="00681A48"/>
    <w:rsid w:val="0069737F"/>
    <w:rsid w:val="006A2CBF"/>
    <w:rsid w:val="006B30C3"/>
    <w:rsid w:val="006F736C"/>
    <w:rsid w:val="007008C3"/>
    <w:rsid w:val="007123D0"/>
    <w:rsid w:val="0072055E"/>
    <w:rsid w:val="00732730"/>
    <w:rsid w:val="00742024"/>
    <w:rsid w:val="00747545"/>
    <w:rsid w:val="00751055"/>
    <w:rsid w:val="007603AD"/>
    <w:rsid w:val="00783746"/>
    <w:rsid w:val="00784A5A"/>
    <w:rsid w:val="007A748D"/>
    <w:rsid w:val="007D534B"/>
    <w:rsid w:val="007E73C3"/>
    <w:rsid w:val="007F4433"/>
    <w:rsid w:val="00803028"/>
    <w:rsid w:val="0080397C"/>
    <w:rsid w:val="008136CC"/>
    <w:rsid w:val="00816315"/>
    <w:rsid w:val="008226EA"/>
    <w:rsid w:val="00837E7B"/>
    <w:rsid w:val="00842F63"/>
    <w:rsid w:val="00846ECA"/>
    <w:rsid w:val="008633C7"/>
    <w:rsid w:val="008654B0"/>
    <w:rsid w:val="008721D2"/>
    <w:rsid w:val="0087456A"/>
    <w:rsid w:val="008920B8"/>
    <w:rsid w:val="008C52B9"/>
    <w:rsid w:val="008D0CE2"/>
    <w:rsid w:val="008E2F95"/>
    <w:rsid w:val="008F3F1A"/>
    <w:rsid w:val="008F77E9"/>
    <w:rsid w:val="009059AC"/>
    <w:rsid w:val="00907062"/>
    <w:rsid w:val="0091236A"/>
    <w:rsid w:val="009149BF"/>
    <w:rsid w:val="00923A27"/>
    <w:rsid w:val="00925342"/>
    <w:rsid w:val="009270A4"/>
    <w:rsid w:val="00932CC7"/>
    <w:rsid w:val="0093689A"/>
    <w:rsid w:val="00946351"/>
    <w:rsid w:val="00954FBE"/>
    <w:rsid w:val="00955AAD"/>
    <w:rsid w:val="00962F89"/>
    <w:rsid w:val="00970196"/>
    <w:rsid w:val="00996C81"/>
    <w:rsid w:val="009A1EDF"/>
    <w:rsid w:val="009B32E6"/>
    <w:rsid w:val="009E0251"/>
    <w:rsid w:val="009F3FD6"/>
    <w:rsid w:val="009F510B"/>
    <w:rsid w:val="009F7172"/>
    <w:rsid w:val="00A0237F"/>
    <w:rsid w:val="00A17F8E"/>
    <w:rsid w:val="00A20529"/>
    <w:rsid w:val="00A33A66"/>
    <w:rsid w:val="00A42AB0"/>
    <w:rsid w:val="00A52837"/>
    <w:rsid w:val="00A80A10"/>
    <w:rsid w:val="00A94C6F"/>
    <w:rsid w:val="00A965AB"/>
    <w:rsid w:val="00AC3F61"/>
    <w:rsid w:val="00AC522D"/>
    <w:rsid w:val="00AD35B7"/>
    <w:rsid w:val="00AF07B6"/>
    <w:rsid w:val="00AF2017"/>
    <w:rsid w:val="00AF3127"/>
    <w:rsid w:val="00AF4635"/>
    <w:rsid w:val="00B073D2"/>
    <w:rsid w:val="00B2283E"/>
    <w:rsid w:val="00B22DF1"/>
    <w:rsid w:val="00B2630B"/>
    <w:rsid w:val="00B4300B"/>
    <w:rsid w:val="00B64CB3"/>
    <w:rsid w:val="00B7247A"/>
    <w:rsid w:val="00B81F2C"/>
    <w:rsid w:val="00B83EAE"/>
    <w:rsid w:val="00B9197E"/>
    <w:rsid w:val="00BA3FAB"/>
    <w:rsid w:val="00BD63B1"/>
    <w:rsid w:val="00BD7DE3"/>
    <w:rsid w:val="00BE0D80"/>
    <w:rsid w:val="00BE17E8"/>
    <w:rsid w:val="00BF310C"/>
    <w:rsid w:val="00C05C9E"/>
    <w:rsid w:val="00C219C5"/>
    <w:rsid w:val="00C32B6B"/>
    <w:rsid w:val="00C33282"/>
    <w:rsid w:val="00C33C90"/>
    <w:rsid w:val="00C42EFD"/>
    <w:rsid w:val="00C44B9E"/>
    <w:rsid w:val="00C57037"/>
    <w:rsid w:val="00C746D0"/>
    <w:rsid w:val="00C811F9"/>
    <w:rsid w:val="00C83705"/>
    <w:rsid w:val="00C94146"/>
    <w:rsid w:val="00C9665E"/>
    <w:rsid w:val="00CA641D"/>
    <w:rsid w:val="00CB502F"/>
    <w:rsid w:val="00CB7D0C"/>
    <w:rsid w:val="00CD13AC"/>
    <w:rsid w:val="00CF4BEA"/>
    <w:rsid w:val="00D0405B"/>
    <w:rsid w:val="00D07E49"/>
    <w:rsid w:val="00D2149E"/>
    <w:rsid w:val="00D21EAD"/>
    <w:rsid w:val="00D236BD"/>
    <w:rsid w:val="00D37D19"/>
    <w:rsid w:val="00D41D90"/>
    <w:rsid w:val="00D45CE9"/>
    <w:rsid w:val="00D46212"/>
    <w:rsid w:val="00D51046"/>
    <w:rsid w:val="00D7022D"/>
    <w:rsid w:val="00D710A5"/>
    <w:rsid w:val="00D77246"/>
    <w:rsid w:val="00D81702"/>
    <w:rsid w:val="00D91343"/>
    <w:rsid w:val="00D93CBB"/>
    <w:rsid w:val="00D94F7F"/>
    <w:rsid w:val="00D9553A"/>
    <w:rsid w:val="00DA4026"/>
    <w:rsid w:val="00DA50E3"/>
    <w:rsid w:val="00DA5703"/>
    <w:rsid w:val="00DA59DA"/>
    <w:rsid w:val="00DB29FA"/>
    <w:rsid w:val="00DB695B"/>
    <w:rsid w:val="00DD265A"/>
    <w:rsid w:val="00DE2549"/>
    <w:rsid w:val="00DE288D"/>
    <w:rsid w:val="00E01E28"/>
    <w:rsid w:val="00E10501"/>
    <w:rsid w:val="00E40688"/>
    <w:rsid w:val="00E44533"/>
    <w:rsid w:val="00E52401"/>
    <w:rsid w:val="00E524E8"/>
    <w:rsid w:val="00E563DB"/>
    <w:rsid w:val="00E56F0C"/>
    <w:rsid w:val="00E74598"/>
    <w:rsid w:val="00E7622C"/>
    <w:rsid w:val="00E93D5E"/>
    <w:rsid w:val="00EA1822"/>
    <w:rsid w:val="00EA663B"/>
    <w:rsid w:val="00EC5898"/>
    <w:rsid w:val="00ED2055"/>
    <w:rsid w:val="00ED542B"/>
    <w:rsid w:val="00EE15DA"/>
    <w:rsid w:val="00EE64EC"/>
    <w:rsid w:val="00F05913"/>
    <w:rsid w:val="00F05D1B"/>
    <w:rsid w:val="00F07F2C"/>
    <w:rsid w:val="00F1504A"/>
    <w:rsid w:val="00F1640B"/>
    <w:rsid w:val="00F16E69"/>
    <w:rsid w:val="00F1720B"/>
    <w:rsid w:val="00F2009A"/>
    <w:rsid w:val="00F20B2B"/>
    <w:rsid w:val="00F2526A"/>
    <w:rsid w:val="00F32984"/>
    <w:rsid w:val="00F42BCC"/>
    <w:rsid w:val="00F46C12"/>
    <w:rsid w:val="00F6051C"/>
    <w:rsid w:val="00F67A52"/>
    <w:rsid w:val="00F70D4D"/>
    <w:rsid w:val="00F73102"/>
    <w:rsid w:val="00F735BF"/>
    <w:rsid w:val="00F75FAB"/>
    <w:rsid w:val="00F82BFB"/>
    <w:rsid w:val="00F83988"/>
    <w:rsid w:val="00F91940"/>
    <w:rsid w:val="00FB2336"/>
    <w:rsid w:val="00FC5409"/>
    <w:rsid w:val="00FD0662"/>
    <w:rsid w:val="00FE43D6"/>
    <w:rsid w:val="00FE440A"/>
    <w:rsid w:val="00FE51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36CC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FD06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08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4B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D2D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link w:val="a5"/>
    <w:uiPriority w:val="34"/>
    <w:qFormat/>
    <w:rsid w:val="00FD0662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7203C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37203C"/>
    <w:rPr>
      <w:rFonts w:ascii="Tahoma" w:hAnsi="Tahoma" w:cs="Tahoma"/>
      <w:sz w:val="16"/>
      <w:szCs w:val="16"/>
    </w:rPr>
  </w:style>
  <w:style w:type="paragraph" w:styleId="a8">
    <w:name w:val="caption"/>
    <w:basedOn w:val="a"/>
    <w:next w:val="a"/>
    <w:uiPriority w:val="35"/>
    <w:semiHidden/>
    <w:unhideWhenUsed/>
    <w:qFormat/>
    <w:rsid w:val="00FD0662"/>
    <w:pPr>
      <w:spacing w:line="240" w:lineRule="auto"/>
    </w:pPr>
    <w:rPr>
      <w:b/>
      <w:bCs/>
      <w:color w:val="4F81BD"/>
      <w:sz w:val="18"/>
      <w:szCs w:val="18"/>
    </w:rPr>
  </w:style>
  <w:style w:type="paragraph" w:styleId="a9">
    <w:name w:val="Normal (Web)"/>
    <w:basedOn w:val="a"/>
    <w:uiPriority w:val="99"/>
    <w:unhideWhenUsed/>
    <w:rsid w:val="0072055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a">
    <w:name w:val="header"/>
    <w:basedOn w:val="a"/>
    <w:link w:val="ab"/>
    <w:uiPriority w:val="99"/>
    <w:unhideWhenUsed/>
    <w:rsid w:val="000B6B06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uiPriority w:val="99"/>
    <w:rsid w:val="000B6B06"/>
    <w:rPr>
      <w:sz w:val="22"/>
      <w:szCs w:val="22"/>
      <w:lang w:eastAsia="en-US"/>
    </w:rPr>
  </w:style>
  <w:style w:type="paragraph" w:styleId="ac">
    <w:name w:val="footer"/>
    <w:basedOn w:val="a"/>
    <w:link w:val="ad"/>
    <w:uiPriority w:val="99"/>
    <w:unhideWhenUsed/>
    <w:rsid w:val="000B6B06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0B6B06"/>
    <w:rPr>
      <w:sz w:val="22"/>
      <w:szCs w:val="22"/>
      <w:lang w:eastAsia="en-US"/>
    </w:rPr>
  </w:style>
  <w:style w:type="paragraph" w:styleId="ae">
    <w:name w:val="footnote text"/>
    <w:basedOn w:val="a"/>
    <w:link w:val="af"/>
    <w:uiPriority w:val="99"/>
    <w:semiHidden/>
    <w:unhideWhenUsed/>
    <w:rsid w:val="00CB502F"/>
    <w:rPr>
      <w:sz w:val="20"/>
      <w:szCs w:val="20"/>
    </w:rPr>
  </w:style>
  <w:style w:type="character" w:customStyle="1" w:styleId="af">
    <w:name w:val="Текст сноски Знак"/>
    <w:link w:val="ae"/>
    <w:uiPriority w:val="99"/>
    <w:semiHidden/>
    <w:rsid w:val="00CB502F"/>
    <w:rPr>
      <w:lang w:eastAsia="en-US"/>
    </w:rPr>
  </w:style>
  <w:style w:type="character" w:styleId="af0">
    <w:name w:val="footnote reference"/>
    <w:uiPriority w:val="99"/>
    <w:semiHidden/>
    <w:unhideWhenUsed/>
    <w:rsid w:val="00CB502F"/>
    <w:rPr>
      <w:vertAlign w:val="superscript"/>
    </w:rPr>
  </w:style>
  <w:style w:type="character" w:styleId="af1">
    <w:name w:val="Strong"/>
    <w:basedOn w:val="a0"/>
    <w:uiPriority w:val="22"/>
    <w:qFormat/>
    <w:rsid w:val="00FD0662"/>
    <w:rPr>
      <w:b/>
      <w:bCs/>
    </w:rPr>
  </w:style>
  <w:style w:type="character" w:styleId="af2">
    <w:name w:val="Hyperlink"/>
    <w:basedOn w:val="a0"/>
    <w:uiPriority w:val="99"/>
    <w:unhideWhenUsed/>
    <w:rsid w:val="001500AD"/>
    <w:rPr>
      <w:color w:val="0000FF"/>
      <w:u w:val="single"/>
    </w:rPr>
  </w:style>
  <w:style w:type="character" w:customStyle="1" w:styleId="a5">
    <w:name w:val="Абзац списка Знак"/>
    <w:basedOn w:val="a0"/>
    <w:link w:val="a4"/>
    <w:uiPriority w:val="34"/>
    <w:rsid w:val="00FD0662"/>
    <w:rPr>
      <w:sz w:val="22"/>
      <w:szCs w:val="22"/>
      <w:lang w:eastAsia="en-US"/>
    </w:rPr>
  </w:style>
  <w:style w:type="character" w:styleId="af3">
    <w:name w:val="Emphasis"/>
    <w:basedOn w:val="a0"/>
    <w:uiPriority w:val="20"/>
    <w:qFormat/>
    <w:rsid w:val="00FD0662"/>
    <w:rPr>
      <w:i/>
      <w:iCs/>
    </w:rPr>
  </w:style>
  <w:style w:type="character" w:customStyle="1" w:styleId="td">
    <w:name w:val="td"/>
    <w:basedOn w:val="a0"/>
    <w:rsid w:val="00D81702"/>
  </w:style>
  <w:style w:type="character" w:customStyle="1" w:styleId="10">
    <w:name w:val="Заголовок 1 Знак"/>
    <w:basedOn w:val="a0"/>
    <w:link w:val="1"/>
    <w:uiPriority w:val="9"/>
    <w:rsid w:val="00FD0662"/>
    <w:rPr>
      <w:rFonts w:ascii="Times New Roman" w:eastAsia="Times New Roman" w:hAnsi="Times New Roman"/>
      <w:b/>
      <w:bCs/>
      <w:kern w:val="36"/>
      <w:sz w:val="48"/>
      <w:szCs w:val="48"/>
    </w:rPr>
  </w:style>
  <w:style w:type="paragraph" w:customStyle="1" w:styleId="af4">
    <w:name w:val="курсовые"/>
    <w:basedOn w:val="a"/>
    <w:link w:val="af5"/>
    <w:qFormat/>
    <w:rsid w:val="00FD0662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8"/>
    </w:rPr>
  </w:style>
  <w:style w:type="paragraph" w:styleId="af6">
    <w:name w:val="No Spacing"/>
    <w:uiPriority w:val="1"/>
    <w:qFormat/>
    <w:rsid w:val="00FD0662"/>
    <w:rPr>
      <w:sz w:val="22"/>
      <w:szCs w:val="22"/>
      <w:lang w:eastAsia="en-US"/>
    </w:rPr>
  </w:style>
  <w:style w:type="character" w:customStyle="1" w:styleId="af5">
    <w:name w:val="курсовые Знак"/>
    <w:basedOn w:val="a0"/>
    <w:link w:val="af4"/>
    <w:rsid w:val="00FD0662"/>
    <w:rPr>
      <w:rFonts w:ascii="Times New Roman" w:hAnsi="Times New Roman"/>
      <w:sz w:val="28"/>
      <w:szCs w:val="28"/>
      <w:lang w:eastAsia="en-US"/>
    </w:rPr>
  </w:style>
  <w:style w:type="paragraph" w:customStyle="1" w:styleId="11">
    <w:name w:val="Стиль1"/>
    <w:basedOn w:val="af4"/>
    <w:link w:val="12"/>
    <w:autoRedefine/>
    <w:qFormat/>
    <w:rsid w:val="00FD0662"/>
    <w:pPr>
      <w:tabs>
        <w:tab w:val="left" w:pos="567"/>
        <w:tab w:val="left" w:pos="851"/>
        <w:tab w:val="left" w:pos="993"/>
      </w:tabs>
    </w:pPr>
  </w:style>
  <w:style w:type="character" w:customStyle="1" w:styleId="12">
    <w:name w:val="Стиль1 Знак"/>
    <w:basedOn w:val="af5"/>
    <w:link w:val="11"/>
    <w:rsid w:val="00FD0662"/>
  </w:style>
  <w:style w:type="character" w:customStyle="1" w:styleId="30">
    <w:name w:val="Заголовок 3 Знак"/>
    <w:basedOn w:val="a0"/>
    <w:link w:val="3"/>
    <w:uiPriority w:val="9"/>
    <w:semiHidden/>
    <w:rsid w:val="00C44B9E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customStyle="1" w:styleId="hl">
    <w:name w:val="hl"/>
    <w:basedOn w:val="a0"/>
    <w:rsid w:val="00C44B9E"/>
  </w:style>
  <w:style w:type="character" w:customStyle="1" w:styleId="blk">
    <w:name w:val="blk"/>
    <w:basedOn w:val="a0"/>
    <w:rsid w:val="00732730"/>
  </w:style>
  <w:style w:type="character" w:styleId="af7">
    <w:name w:val="FollowedHyperlink"/>
    <w:basedOn w:val="a0"/>
    <w:uiPriority w:val="99"/>
    <w:semiHidden/>
    <w:unhideWhenUsed/>
    <w:rsid w:val="00281E70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7008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apple-converted-space">
    <w:name w:val="apple-converted-space"/>
    <w:basedOn w:val="a0"/>
    <w:rsid w:val="008136C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1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8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0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9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2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73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5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0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1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89;&#1090;&#1080;&#1083;&#1080;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96165D-ABCB-4396-A2A3-C6E7B49C8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стили1</Template>
  <TotalTime>123</TotalTime>
  <Pages>1</Pages>
  <Words>1056</Words>
  <Characters>6021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anna</cp:lastModifiedBy>
  <cp:revision>6</cp:revision>
  <cp:lastPrinted>2017-10-26T05:14:00Z</cp:lastPrinted>
  <dcterms:created xsi:type="dcterms:W3CDTF">2018-11-13T18:36:00Z</dcterms:created>
  <dcterms:modified xsi:type="dcterms:W3CDTF">2018-11-13T20:45:00Z</dcterms:modified>
</cp:coreProperties>
</file>