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D76C" w14:textId="1D9A8347" w:rsidR="0084208D" w:rsidRPr="0084208D" w:rsidRDefault="0084208D" w:rsidP="00D455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08D">
        <w:rPr>
          <w:rFonts w:ascii="Times New Roman" w:hAnsi="Times New Roman" w:cs="Times New Roman"/>
          <w:b/>
          <w:bCs/>
          <w:sz w:val="28"/>
          <w:szCs w:val="28"/>
        </w:rPr>
        <w:t>Применение глубокого обучения для устойчивого прогнозирования в энергетике при наличии внешних угроз</w:t>
      </w:r>
    </w:p>
    <w:p w14:paraId="7BD08D34" w14:textId="77777777" w:rsidR="0084208D" w:rsidRPr="0084208D" w:rsidRDefault="0084208D" w:rsidP="00D455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D039F" w14:textId="6E651328" w:rsidR="00D45560" w:rsidRPr="0084208D" w:rsidRDefault="00D45560" w:rsidP="00D45560">
      <w:pPr>
        <w:jc w:val="both"/>
        <w:rPr>
          <w:rFonts w:ascii="Times New Roman" w:hAnsi="Times New Roman" w:cs="Times New Roman"/>
          <w:sz w:val="28"/>
          <w:szCs w:val="28"/>
        </w:rPr>
      </w:pPr>
      <w:r w:rsidRPr="0084208D">
        <w:rPr>
          <w:rFonts w:ascii="Times New Roman" w:hAnsi="Times New Roman" w:cs="Times New Roman"/>
          <w:sz w:val="28"/>
          <w:szCs w:val="28"/>
        </w:rPr>
        <w:t>Введение</w:t>
      </w:r>
    </w:p>
    <w:p w14:paraId="1BD0CA13" w14:textId="77777777" w:rsidR="00D45560" w:rsidRPr="0084208D" w:rsidRDefault="00D45560" w:rsidP="00D455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ECDCE" w14:textId="52711B21" w:rsidR="00D45560" w:rsidRPr="0084208D" w:rsidRDefault="00D45560" w:rsidP="00D45560">
      <w:pPr>
        <w:jc w:val="both"/>
        <w:rPr>
          <w:rFonts w:ascii="Times New Roman" w:hAnsi="Times New Roman" w:cs="Times New Roman"/>
          <w:sz w:val="28"/>
          <w:szCs w:val="28"/>
        </w:rPr>
      </w:pPr>
      <w:r w:rsidRPr="0084208D">
        <w:rPr>
          <w:rFonts w:ascii="Times New Roman" w:hAnsi="Times New Roman" w:cs="Times New Roman"/>
          <w:sz w:val="28"/>
          <w:szCs w:val="28"/>
        </w:rPr>
        <w:t>В современном мире энергетика играет ключевую роль в поддержании функционирования всех аспектов общества, от бытовых нужд до промышленного производства. Особенно это актуально для Украины, где в зимний период наблюдается устойчивый дефицит электроэнергии. Кроме того, текущая обстановка в стране, характеризующаяся боевыми действиями, приводит к целенаправленному выведению из строя ключевых объектов энергетической инфраструктуры, что является значительной внешней угрозой для стабильности энергоснабжения.</w:t>
      </w:r>
    </w:p>
    <w:p w14:paraId="08FC3071" w14:textId="386826A0" w:rsidR="00D45560" w:rsidRPr="0084208D" w:rsidRDefault="00D45560" w:rsidP="00D45560">
      <w:pPr>
        <w:jc w:val="both"/>
        <w:rPr>
          <w:rFonts w:ascii="Times New Roman" w:hAnsi="Times New Roman" w:cs="Times New Roman"/>
          <w:sz w:val="28"/>
          <w:szCs w:val="28"/>
        </w:rPr>
      </w:pPr>
      <w:r w:rsidRPr="0084208D">
        <w:rPr>
          <w:rFonts w:ascii="Times New Roman" w:hAnsi="Times New Roman" w:cs="Times New Roman"/>
          <w:sz w:val="28"/>
          <w:szCs w:val="28"/>
        </w:rPr>
        <w:t xml:space="preserve">Эти условия делают задачу прогнозирования временных рядов в энергетике особенно сложной и важной. Точные прогнозы способствуют оптимизации работы систем и повышению их устойчивости к внешним угрозам. </w:t>
      </w:r>
      <w:r w:rsidRPr="0084208D">
        <w:rPr>
          <w:rFonts w:ascii="Times New Roman" w:hAnsi="Times New Roman" w:cs="Times New Roman"/>
          <w:sz w:val="28"/>
          <w:szCs w:val="28"/>
        </w:rPr>
        <w:t>В этом контексте</w:t>
      </w:r>
      <w:r w:rsidRPr="0084208D">
        <w:rPr>
          <w:rFonts w:ascii="Times New Roman" w:hAnsi="Times New Roman" w:cs="Times New Roman"/>
          <w:sz w:val="28"/>
          <w:szCs w:val="28"/>
        </w:rPr>
        <w:t xml:space="preserve"> "устойчивое прогнозирование" означает разработку прогностических моделей, способных поддерживать высокую точность и надежность даже в условиях нестабильности и потенциальных внешних воздействий. Это включает в себя адаптацию к внезапным изменениям в спросе на энергию, а также к возможным изменениям в энергетической инфраструктуре.</w:t>
      </w:r>
    </w:p>
    <w:p w14:paraId="66269073" w14:textId="76AA9B5D" w:rsidR="00D45560" w:rsidRPr="0084208D" w:rsidRDefault="00D45560" w:rsidP="00D45560">
      <w:pPr>
        <w:jc w:val="both"/>
        <w:rPr>
          <w:rFonts w:ascii="Times New Roman" w:hAnsi="Times New Roman" w:cs="Times New Roman"/>
          <w:sz w:val="28"/>
          <w:szCs w:val="28"/>
        </w:rPr>
      </w:pPr>
      <w:r w:rsidRPr="0084208D">
        <w:rPr>
          <w:rFonts w:ascii="Times New Roman" w:hAnsi="Times New Roman" w:cs="Times New Roman"/>
          <w:sz w:val="28"/>
          <w:szCs w:val="28"/>
        </w:rPr>
        <w:t>С развитием технологий искусственного интеллекта, в частности глубокого обучения, открываются новые возможности для улучшения прогнозирования в энергетической отрасли. Глубокое обучение, благодаря своей способности обрабатывать большие объемы данных и выявлять сложные закономерности, представляет собой мощный инструмент для анализа временных рядов. Однако применение этих методов в условиях нестабильности и наличия внешних угроз требует дополнительных исследований и адаптации существующих подходов.</w:t>
      </w:r>
    </w:p>
    <w:p w14:paraId="053B277E" w14:textId="514C5FD8" w:rsidR="009D4371" w:rsidRDefault="00D45560" w:rsidP="0084208D">
      <w:pPr>
        <w:jc w:val="both"/>
        <w:rPr>
          <w:rFonts w:ascii="Times New Roman" w:hAnsi="Times New Roman" w:cs="Times New Roman"/>
          <w:sz w:val="28"/>
          <w:szCs w:val="28"/>
        </w:rPr>
      </w:pPr>
      <w:r w:rsidRPr="0084208D">
        <w:rPr>
          <w:rFonts w:ascii="Times New Roman" w:hAnsi="Times New Roman" w:cs="Times New Roman"/>
          <w:sz w:val="28"/>
          <w:szCs w:val="28"/>
        </w:rPr>
        <w:t>Целью данной статьи является исследование потенциала применения глубокого обучения для устойчивого прогнозирования в энергетике, особенно в контексте существующих и потенциальных внешних угроз в Украине. Мы стремимся оценить, как современные методы глубокого обучения могут быть адаптированы для повышения точности и надежности прогнозов в энергетической отрасли, что в свою очередь может способствовать повышению устойчивости энергетических систем к непредвиденным событиям.</w:t>
      </w:r>
    </w:p>
    <w:p w14:paraId="3EAED6A5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  <w:r w:rsidRPr="009D4371">
        <w:rPr>
          <w:rFonts w:ascii="Times New Roman" w:hAnsi="Times New Roman" w:cs="Times New Roman"/>
          <w:sz w:val="28"/>
          <w:szCs w:val="28"/>
        </w:rPr>
        <w:lastRenderedPageBreak/>
        <w:t>Обзор Литературы</w:t>
      </w:r>
    </w:p>
    <w:p w14:paraId="546D57B3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  <w:r w:rsidRPr="009D4371">
        <w:rPr>
          <w:rFonts w:ascii="Times New Roman" w:hAnsi="Times New Roman" w:cs="Times New Roman"/>
          <w:sz w:val="28"/>
          <w:szCs w:val="28"/>
        </w:rPr>
        <w:t>Анализ существующих исследований в области прогнозирования временных рядов в энергетике</w:t>
      </w:r>
    </w:p>
    <w:p w14:paraId="01CA4D1E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</w:p>
    <w:p w14:paraId="48FD1844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  <w:r w:rsidRPr="009D4371">
        <w:rPr>
          <w:rFonts w:ascii="Times New Roman" w:hAnsi="Times New Roman" w:cs="Times New Roman"/>
          <w:sz w:val="28"/>
          <w:szCs w:val="28"/>
        </w:rPr>
        <w:t>Прогнозирование временных рядов в энергетике является ключевым элементом для обеспечения эффективности и надежности энергосистем. В работе "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Temporal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Networks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Energy-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Time Series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Forecasting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" (2020) исследуются сети TCN, которые показали лучшие результаты по сравнению с LSTM, ранее считавшимися лучшими в этой области. Это подчеркивает важность развития новых подходов и алгоритмов в прогнозировании временных рядов. Также стоит отметить исследование "Time Series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Forecasting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Energy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Consumption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>" (2022), которое представляет новое поколение алгоритмов прогнозирования временных рядов, подчеркивая их растущую точность и разнообразие применений.</w:t>
      </w:r>
    </w:p>
    <w:p w14:paraId="3098D487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  <w:r w:rsidRPr="009D4371">
        <w:rPr>
          <w:rFonts w:ascii="Times New Roman" w:hAnsi="Times New Roman" w:cs="Times New Roman"/>
          <w:sz w:val="28"/>
          <w:szCs w:val="28"/>
        </w:rPr>
        <w:t>Обзор работ, посвященных применению глубокого обучения в энергетике</w:t>
      </w:r>
    </w:p>
    <w:p w14:paraId="721E1821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</w:p>
    <w:p w14:paraId="0790A912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  <w:r w:rsidRPr="009D4371">
        <w:rPr>
          <w:rFonts w:ascii="Times New Roman" w:hAnsi="Times New Roman" w:cs="Times New Roman"/>
          <w:sz w:val="28"/>
          <w:szCs w:val="28"/>
        </w:rPr>
        <w:t xml:space="preserve">Глубокое обучение в энергетике открывает новые возможности для анализа и управления энергосистемами. В обзоре "Machine Learning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Deep Learning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Energy Systems: A Review" (2022) подробно рассматриваются методы и приложения машинного и глубокого обучения в энергетических системах, подчеркивая их практичность и новизну. Исследование "Deep Learning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Energy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: Application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Smart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Buildings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Energy Generation" (2021) демонстрирует применение глубокого обучения для моделирования и управления спросом и предложением энергии в зданиях, что является важным аспектом в контексте распределенной генерации энергии.</w:t>
      </w:r>
    </w:p>
    <w:p w14:paraId="53B2CD69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  <w:r w:rsidRPr="009D4371">
        <w:rPr>
          <w:rFonts w:ascii="Times New Roman" w:hAnsi="Times New Roman" w:cs="Times New Roman"/>
          <w:sz w:val="28"/>
          <w:szCs w:val="28"/>
        </w:rPr>
        <w:t>Исследование литературы по вопросам устойчивости энергетических систем к внешним угрозам</w:t>
      </w:r>
    </w:p>
    <w:p w14:paraId="0D7F25FD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</w:p>
    <w:p w14:paraId="61E12384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  <w:r w:rsidRPr="009D4371">
        <w:rPr>
          <w:rFonts w:ascii="Times New Roman" w:hAnsi="Times New Roman" w:cs="Times New Roman"/>
          <w:sz w:val="28"/>
          <w:szCs w:val="28"/>
        </w:rPr>
        <w:t xml:space="preserve">Устойчивость энергетических систем к внешним угрозам становится все более актуальной темой. В статье "A Framework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Assess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Resilience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of Energy Systems Based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Quantitative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Indicators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>" (2022) представлены количественные показатели для оценки устойчивости энергетических систем. Это исследование акцентирует внимание на важности создания устойчивой критической энергетической инфраструктуры. Также важно отметить работу "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Strengthening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Resilience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Energy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Infrastructure: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Methodological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71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9D4371">
        <w:rPr>
          <w:rFonts w:ascii="Times New Roman" w:hAnsi="Times New Roman" w:cs="Times New Roman"/>
          <w:sz w:val="28"/>
          <w:szCs w:val="28"/>
        </w:rPr>
        <w:t xml:space="preserve">" (2022), которая предоставляет обзор методологии укрепления </w:t>
      </w:r>
      <w:r w:rsidRPr="009D4371">
        <w:rPr>
          <w:rFonts w:ascii="Times New Roman" w:hAnsi="Times New Roman" w:cs="Times New Roman"/>
          <w:sz w:val="28"/>
          <w:szCs w:val="28"/>
        </w:rPr>
        <w:lastRenderedPageBreak/>
        <w:t>устойчивости критической энергетической инфраструктуры, подчеркивая сложность и многогранность этой задачи.</w:t>
      </w:r>
    </w:p>
    <w:p w14:paraId="151C592B" w14:textId="77777777" w:rsidR="009D4371" w:rsidRPr="009D4371" w:rsidRDefault="009D4371" w:rsidP="009D4371">
      <w:pPr>
        <w:rPr>
          <w:rFonts w:ascii="Times New Roman" w:hAnsi="Times New Roman" w:cs="Times New Roman"/>
          <w:sz w:val="28"/>
          <w:szCs w:val="28"/>
        </w:rPr>
      </w:pPr>
    </w:p>
    <w:p w14:paraId="0C4050CA" w14:textId="77777777" w:rsidR="00541733" w:rsidRDefault="009D4371" w:rsidP="009D4371">
      <w:pPr>
        <w:rPr>
          <w:rFonts w:ascii="Times New Roman" w:hAnsi="Times New Roman" w:cs="Times New Roman"/>
          <w:sz w:val="28"/>
          <w:szCs w:val="28"/>
        </w:rPr>
      </w:pPr>
      <w:r w:rsidRPr="009D4371">
        <w:rPr>
          <w:rFonts w:ascii="Times New Roman" w:hAnsi="Times New Roman" w:cs="Times New Roman"/>
          <w:sz w:val="28"/>
          <w:szCs w:val="28"/>
        </w:rPr>
        <w:t>Эти исследования в совокупности предоставляют глубокий аналитический взгляд на текущее состояние и будущие направления в области прогнозирования временных рядов, применения глубокого обучения и устойчивости энергетических систем в энергетике. Они подчеркивают важность инноваций и адаптации к изменяющимся условиям и угрозам в этой быстро развивающейся области.</w:t>
      </w:r>
    </w:p>
    <w:p w14:paraId="23D55559" w14:textId="77777777" w:rsidR="00541733" w:rsidRDefault="00541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DF4840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lastRenderedPageBreak/>
        <w:t>Цели и Гипотезы</w:t>
      </w:r>
    </w:p>
    <w:p w14:paraId="5FE389BA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>Основные Цели Исследования</w:t>
      </w:r>
    </w:p>
    <w:p w14:paraId="3727938A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0453EF5A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Изучение Применения Глубокого Обучения в Прогнозировании Временных Рядов в Энергетике: Основная цель исследования - анализировать и оценивать, как различные методы глубокого обучения могут быть применены для повышения точности и эффективности прогнозирования временных рядов в энергетической отрасли.</w:t>
      </w:r>
    </w:p>
    <w:p w14:paraId="2311F77C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035014D6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Оценка Устойчивости Прогнозных Моделей к Внешним Угрозам</w:t>
      </w:r>
      <w:proofErr w:type="gramStart"/>
      <w:r w:rsidRPr="00541733">
        <w:rPr>
          <w:rFonts w:ascii="Times New Roman" w:hAnsi="Times New Roman" w:cs="Times New Roman"/>
          <w:sz w:val="28"/>
          <w:szCs w:val="28"/>
        </w:rPr>
        <w:t>: Исследовать</w:t>
      </w:r>
      <w:proofErr w:type="gramEnd"/>
      <w:r w:rsidRPr="00541733">
        <w:rPr>
          <w:rFonts w:ascii="Times New Roman" w:hAnsi="Times New Roman" w:cs="Times New Roman"/>
          <w:sz w:val="28"/>
          <w:szCs w:val="28"/>
        </w:rPr>
        <w:t>, как модели глубокого обучения могут способствовать устойчивости энергетических систем в условиях внешних угроз, таких как природные катастрофы или техногенные события.</w:t>
      </w:r>
    </w:p>
    <w:p w14:paraId="323BFF7A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42C4CBD5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Разработка Рекомендаций по Улучшению Прогнозных Моделей</w:t>
      </w:r>
      <w:proofErr w:type="gramStart"/>
      <w:r w:rsidRPr="00541733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541733">
        <w:rPr>
          <w:rFonts w:ascii="Times New Roman" w:hAnsi="Times New Roman" w:cs="Times New Roman"/>
          <w:sz w:val="28"/>
          <w:szCs w:val="28"/>
        </w:rPr>
        <w:t xml:space="preserve"> полученных результатов предложить рекомендации по улучшению существующих моделей прогнозирования в энергетике, с особым акцентом на устойчивость и адаптивность.</w:t>
      </w:r>
    </w:p>
    <w:p w14:paraId="12CC7310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4866E7A2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>Предположения о Влиянии Глубокого Обучения на Устойчивость Прогнозирования</w:t>
      </w:r>
    </w:p>
    <w:p w14:paraId="2ED0FBE2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225BD243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Повышение Точности Прогнозов: Глубокое обучение, благодаря своей способности анализировать большие объемы данных и выявлять сложные закономерности, может значительно повысить точность прогнозов временных рядов в энергетике.</w:t>
      </w:r>
    </w:p>
    <w:p w14:paraId="379E20EB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4861A346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Адаптивность к Изменяющимся Условиям: Модели глубокого обучения могут быть более адаптивными к изменениям в энергетической среде, включая внезапные изменения в спросе и предложении энергии.</w:t>
      </w:r>
    </w:p>
    <w:p w14:paraId="64C18E57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707E9E9B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Устойчивость к Внешним Угрозам: Модели, разработанные с использованием глубокого обучения, могут быть более устойчивыми к внешним угрозам, обеспечивая надежность прогнозов даже в условиях нестабильности.</w:t>
      </w:r>
    </w:p>
    <w:p w14:paraId="44979BF1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07463B4E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>Гипотезы относительно Потенциальных Преимуществ Подходов Глубокого Обучения</w:t>
      </w:r>
    </w:p>
    <w:p w14:paraId="2C5DCF24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25E06D93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Гипотеза 1: Модели глубокого обучения могут обеспечить более высокую точность прогнозирования по сравнению с традиционными методами, благодаря их способности обрабатывать и анализировать большие и сложные наборы данных.</w:t>
      </w:r>
    </w:p>
    <w:p w14:paraId="2DD85D8C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60897FBA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Гипотеза 2: Интеграция глубокого обучения в системы прогнозирования энергетики позволит более эффективно адаптироваться к внезапным изменениям и неопределенностям, таким как изменения в потреблении энергии или внешние угрозы.</w:t>
      </w:r>
    </w:p>
    <w:p w14:paraId="15F5E16F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14D61128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 xml:space="preserve">    Гипотеза 3: Применение глубокого обучения в прогнозировании временных рядов в энергетике приведет к повышению устойчивости энергетических систем, уменьшению рисков и оптимизации управления энергоресурсами.</w:t>
      </w:r>
    </w:p>
    <w:p w14:paraId="735CD6FD" w14:textId="77777777" w:rsidR="00541733" w:rsidRPr="00541733" w:rsidRDefault="00541733" w:rsidP="00541733">
      <w:pPr>
        <w:rPr>
          <w:rFonts w:ascii="Times New Roman" w:hAnsi="Times New Roman" w:cs="Times New Roman"/>
          <w:sz w:val="28"/>
          <w:szCs w:val="28"/>
        </w:rPr>
      </w:pPr>
    </w:p>
    <w:p w14:paraId="7A05CEF0" w14:textId="4BB08F3C" w:rsidR="009D4371" w:rsidRDefault="00541733" w:rsidP="00541733">
      <w:pPr>
        <w:rPr>
          <w:rFonts w:ascii="Times New Roman" w:hAnsi="Times New Roman" w:cs="Times New Roman"/>
          <w:sz w:val="28"/>
          <w:szCs w:val="28"/>
        </w:rPr>
      </w:pPr>
      <w:r w:rsidRPr="00541733">
        <w:rPr>
          <w:rFonts w:ascii="Times New Roman" w:hAnsi="Times New Roman" w:cs="Times New Roman"/>
          <w:sz w:val="28"/>
          <w:szCs w:val="28"/>
        </w:rPr>
        <w:t>Эти цели и гипотезы направлены на изучение и улучшение применения глубокого обучения в прогнозировании временных рядов в энергетике, с особым акцентом на устойчивость и адаптивность систем к внешним угрозам.</w:t>
      </w:r>
      <w:r w:rsidR="009D4371">
        <w:rPr>
          <w:rFonts w:ascii="Times New Roman" w:hAnsi="Times New Roman" w:cs="Times New Roman"/>
          <w:sz w:val="28"/>
          <w:szCs w:val="28"/>
        </w:rPr>
        <w:br w:type="page"/>
      </w:r>
    </w:p>
    <w:p w14:paraId="25D757B4" w14:textId="77777777" w:rsidR="0084208D" w:rsidRDefault="0084208D" w:rsidP="008420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F89A3" w14:textId="77777777" w:rsidR="005B5BC4" w:rsidRPr="005B5BC4" w:rsidRDefault="005B5BC4" w:rsidP="005B5BC4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kern w:val="0"/>
          <w:sz w:val="36"/>
          <w:szCs w:val="36"/>
          <w:lang w:val="en-US"/>
        </w:rPr>
      </w:pPr>
      <w:r w:rsidRPr="005B5BC4">
        <w:rPr>
          <w:rFonts w:ascii="Times New Roman" w:hAnsi="Times New Roman" w:cs="Times New Roman"/>
          <w:sz w:val="28"/>
          <w:szCs w:val="28"/>
        </w:rPr>
        <w:t>В контексте критической инфраструктуры устойчивость представляет собой внутреннюю готовность</w:t>
      </w:r>
      <w:r w:rsidRPr="005B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5BC4">
        <w:rPr>
          <w:rFonts w:ascii="Times New Roman" w:hAnsi="Times New Roman" w:cs="Times New Roman"/>
          <w:sz w:val="28"/>
          <w:szCs w:val="28"/>
        </w:rPr>
        <w:t>подсистем</w:t>
      </w:r>
      <w:r w:rsidRPr="005B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5BC4">
        <w:rPr>
          <w:rFonts w:ascii="Times New Roman" w:hAnsi="Times New Roman" w:cs="Times New Roman"/>
          <w:sz w:val="28"/>
          <w:szCs w:val="28"/>
        </w:rPr>
        <w:t>к</w:t>
      </w:r>
      <w:r w:rsidRPr="005B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5BC4">
        <w:rPr>
          <w:rFonts w:ascii="Times New Roman" w:hAnsi="Times New Roman" w:cs="Times New Roman"/>
          <w:sz w:val="28"/>
          <w:szCs w:val="28"/>
        </w:rPr>
        <w:t>разрушительным</w:t>
      </w:r>
      <w:r w:rsidRPr="005B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5BC4">
        <w:rPr>
          <w:rFonts w:ascii="Times New Roman" w:hAnsi="Times New Roman" w:cs="Times New Roman"/>
          <w:sz w:val="28"/>
          <w:szCs w:val="28"/>
        </w:rPr>
        <w:t>событиям</w:t>
      </w:r>
      <w:r w:rsidRPr="005B5BC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B5BC4">
        <w:rPr>
          <w:rFonts w:ascii="URWPalladioL-Bold" w:hAnsi="URWPalladioL-Bold" w:cs="URWPalladioL-Bold"/>
          <w:b/>
          <w:bCs/>
          <w:kern w:val="0"/>
          <w:sz w:val="36"/>
          <w:szCs w:val="36"/>
          <w:lang w:val="en-US"/>
        </w:rPr>
        <w:t>Strengthening Resilience in the Energy Critical Infrastructure:</w:t>
      </w:r>
    </w:p>
    <w:p w14:paraId="7CB2EAB6" w14:textId="452F5676" w:rsidR="0084208D" w:rsidRDefault="005B5BC4" w:rsidP="005B5B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URWPalladioL-Bold" w:hAnsi="URWPalladioL-Bold" w:cs="URWPalladioL-Bold"/>
          <w:b/>
          <w:bCs/>
          <w:kern w:val="0"/>
          <w:sz w:val="36"/>
          <w:szCs w:val="36"/>
        </w:rPr>
        <w:t>Methodological</w:t>
      </w:r>
      <w:proofErr w:type="spellEnd"/>
      <w:r>
        <w:rPr>
          <w:rFonts w:ascii="URWPalladioL-Bold" w:hAnsi="URWPalladioL-Bold" w:cs="URWPalladioL-Bold"/>
          <w:b/>
          <w:bCs/>
          <w:kern w:val="0"/>
          <w:sz w:val="36"/>
          <w:szCs w:val="36"/>
        </w:rPr>
        <w:t xml:space="preserve"> </w:t>
      </w:r>
      <w:proofErr w:type="spellStart"/>
      <w:r>
        <w:rPr>
          <w:rFonts w:ascii="URWPalladioL-Bold" w:hAnsi="URWPalladioL-Bold" w:cs="URWPalladioL-Bold"/>
          <w:b/>
          <w:bCs/>
          <w:kern w:val="0"/>
          <w:sz w:val="36"/>
          <w:szCs w:val="36"/>
        </w:rPr>
        <w:t>Overview</w:t>
      </w:r>
      <w:proofErr w:type="spellEnd"/>
      <w:proofErr w:type="gramStart"/>
      <w:r>
        <w:rPr>
          <w:rFonts w:cs="URWPalladioL-Bold"/>
          <w:b/>
          <w:bCs/>
          <w:kern w:val="0"/>
          <w:sz w:val="36"/>
          <w:szCs w:val="36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</w:p>
    <w:p w14:paraId="16CD6091" w14:textId="77777777" w:rsidR="00317230" w:rsidRDefault="00317230" w:rsidP="005B5B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3C6777" w14:textId="77777777" w:rsidR="00317230" w:rsidRPr="00317230" w:rsidRDefault="00317230" w:rsidP="00317230">
      <w:pPr>
        <w:jc w:val="both"/>
        <w:rPr>
          <w:rFonts w:ascii="Times New Roman" w:hAnsi="Times New Roman" w:cs="Times New Roman"/>
          <w:sz w:val="28"/>
          <w:szCs w:val="28"/>
        </w:rPr>
      </w:pPr>
      <w:r w:rsidRPr="00317230">
        <w:rPr>
          <w:rFonts w:ascii="Times New Roman" w:hAnsi="Times New Roman" w:cs="Times New Roman"/>
          <w:sz w:val="28"/>
          <w:szCs w:val="28"/>
        </w:rPr>
        <w:t xml:space="preserve">Устойчивость в контексте критической инфраструктуры впервые была использована в документе 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317230">
        <w:rPr>
          <w:rFonts w:ascii="Times New Roman" w:hAnsi="Times New Roman" w:cs="Times New Roman"/>
          <w:sz w:val="28"/>
          <w:szCs w:val="28"/>
        </w:rPr>
        <w:t xml:space="preserve"> 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Infrastructure</w:t>
      </w:r>
    </w:p>
    <w:p w14:paraId="4B5A4155" w14:textId="77777777" w:rsidR="00317230" w:rsidRPr="00317230" w:rsidRDefault="00317230" w:rsidP="00317230">
      <w:pPr>
        <w:jc w:val="both"/>
        <w:rPr>
          <w:rFonts w:ascii="Times New Roman" w:hAnsi="Times New Roman" w:cs="Times New Roman"/>
          <w:sz w:val="28"/>
          <w:szCs w:val="28"/>
        </w:rPr>
      </w:pPr>
      <w:r w:rsidRPr="00317230">
        <w:rPr>
          <w:rFonts w:ascii="Times New Roman" w:hAnsi="Times New Roman" w:cs="Times New Roman"/>
          <w:sz w:val="28"/>
          <w:szCs w:val="28"/>
          <w:lang w:val="en-US"/>
        </w:rPr>
        <w:t>Resilience</w:t>
      </w:r>
      <w:r w:rsidRPr="00317230">
        <w:rPr>
          <w:rFonts w:ascii="Times New Roman" w:hAnsi="Times New Roman" w:cs="Times New Roman"/>
          <w:sz w:val="28"/>
          <w:szCs w:val="28"/>
        </w:rPr>
        <w:t xml:space="preserve"> 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317230">
        <w:rPr>
          <w:rFonts w:ascii="Times New Roman" w:hAnsi="Times New Roman" w:cs="Times New Roman"/>
          <w:sz w:val="28"/>
          <w:szCs w:val="28"/>
        </w:rPr>
        <w:t xml:space="preserve"> 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317230">
        <w:rPr>
          <w:rFonts w:ascii="Times New Roman" w:hAnsi="Times New Roman" w:cs="Times New Roman"/>
          <w:sz w:val="28"/>
          <w:szCs w:val="28"/>
        </w:rPr>
        <w:t xml:space="preserve"> 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17230">
        <w:rPr>
          <w:rFonts w:ascii="Times New Roman" w:hAnsi="Times New Roman" w:cs="Times New Roman"/>
          <w:sz w:val="28"/>
          <w:szCs w:val="28"/>
        </w:rPr>
        <w:t xml:space="preserve"> 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Recommendations</w:t>
      </w:r>
      <w:r w:rsidRPr="00317230">
        <w:rPr>
          <w:rFonts w:ascii="Times New Roman" w:hAnsi="Times New Roman" w:cs="Times New Roman"/>
          <w:sz w:val="28"/>
          <w:szCs w:val="28"/>
        </w:rPr>
        <w:t xml:space="preserve"> [7], где она определяется как способность</w:t>
      </w:r>
    </w:p>
    <w:p w14:paraId="60893284" w14:textId="77777777" w:rsidR="00317230" w:rsidRPr="00317230" w:rsidRDefault="00317230" w:rsidP="00317230">
      <w:pPr>
        <w:jc w:val="both"/>
        <w:rPr>
          <w:rFonts w:ascii="Times New Roman" w:hAnsi="Times New Roman" w:cs="Times New Roman"/>
          <w:sz w:val="28"/>
          <w:szCs w:val="28"/>
        </w:rPr>
      </w:pPr>
      <w:r w:rsidRPr="00317230">
        <w:rPr>
          <w:rFonts w:ascii="Times New Roman" w:hAnsi="Times New Roman" w:cs="Times New Roman"/>
          <w:sz w:val="28"/>
          <w:szCs w:val="28"/>
        </w:rPr>
        <w:t>предвидеть, поглощать, адаптироваться и/или быстро восстанавливаться после потенциально разрушительного события.</w:t>
      </w:r>
    </w:p>
    <w:p w14:paraId="0A63ED97" w14:textId="77777777" w:rsidR="00317230" w:rsidRPr="00317230" w:rsidRDefault="00317230" w:rsidP="00317230">
      <w:pPr>
        <w:jc w:val="both"/>
        <w:rPr>
          <w:rFonts w:ascii="Times New Roman" w:hAnsi="Times New Roman" w:cs="Times New Roman"/>
          <w:sz w:val="28"/>
          <w:szCs w:val="28"/>
        </w:rPr>
      </w:pPr>
      <w:r w:rsidRPr="00317230">
        <w:rPr>
          <w:rFonts w:ascii="Times New Roman" w:hAnsi="Times New Roman" w:cs="Times New Roman"/>
          <w:sz w:val="28"/>
          <w:szCs w:val="28"/>
        </w:rPr>
        <w:t>В контексте этого определения необходимо воспринимать устойчивость системы критической инфраструктуры как циклический процесс</w:t>
      </w:r>
    </w:p>
    <w:p w14:paraId="369E6218" w14:textId="77777777" w:rsidR="00317230" w:rsidRPr="00317230" w:rsidRDefault="00317230" w:rsidP="00317230">
      <w:pPr>
        <w:jc w:val="both"/>
        <w:rPr>
          <w:rFonts w:ascii="Times New Roman" w:hAnsi="Times New Roman" w:cs="Times New Roman"/>
          <w:sz w:val="28"/>
          <w:szCs w:val="28"/>
        </w:rPr>
      </w:pPr>
      <w:r w:rsidRPr="00317230">
        <w:rPr>
          <w:rFonts w:ascii="Times New Roman" w:hAnsi="Times New Roman" w:cs="Times New Roman"/>
          <w:sz w:val="28"/>
          <w:szCs w:val="28"/>
        </w:rPr>
        <w:t>как циклический процесс непрерывного совершенствования предотвращения, поглощения, восстановления и адаптации отдельных элементов,</w:t>
      </w:r>
    </w:p>
    <w:p w14:paraId="7525FAF2" w14:textId="77777777" w:rsidR="00317230" w:rsidRPr="00317230" w:rsidRDefault="00317230" w:rsidP="00317230">
      <w:pPr>
        <w:jc w:val="both"/>
        <w:rPr>
          <w:rFonts w:ascii="Times New Roman" w:hAnsi="Times New Roman" w:cs="Times New Roman"/>
          <w:sz w:val="28"/>
          <w:szCs w:val="28"/>
        </w:rPr>
      </w:pPr>
      <w:r w:rsidRPr="00317230">
        <w:rPr>
          <w:rFonts w:ascii="Times New Roman" w:hAnsi="Times New Roman" w:cs="Times New Roman"/>
          <w:sz w:val="28"/>
          <w:szCs w:val="28"/>
        </w:rPr>
        <w:t>восстановления и адаптации отдельных элементов критической инфраструктуры.</w:t>
      </w:r>
    </w:p>
    <w:p w14:paraId="4D191A03" w14:textId="77777777" w:rsidR="00317230" w:rsidRPr="00317230" w:rsidRDefault="00317230" w:rsidP="00317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3A0927" w14:textId="5707C7EB" w:rsidR="00317230" w:rsidRPr="00317230" w:rsidRDefault="00317230" w:rsidP="00317230">
      <w:pPr>
        <w:jc w:val="both"/>
        <w:rPr>
          <w:rFonts w:ascii="Times New Roman" w:hAnsi="Times New Roman" w:cs="Times New Roman"/>
          <w:sz w:val="28"/>
          <w:szCs w:val="28"/>
        </w:rPr>
      </w:pPr>
      <w:r w:rsidRPr="00317230">
        <w:rPr>
          <w:rFonts w:ascii="Times New Roman" w:hAnsi="Times New Roman" w:cs="Times New Roman"/>
          <w:sz w:val="28"/>
          <w:szCs w:val="28"/>
        </w:rPr>
        <w:t xml:space="preserve">Переведено с помощью 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1723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7230">
        <w:rPr>
          <w:rFonts w:ascii="Times New Roman" w:hAnsi="Times New Roman" w:cs="Times New Roman"/>
          <w:sz w:val="28"/>
          <w:szCs w:val="28"/>
          <w:lang w:val="en-US"/>
        </w:rPr>
        <w:t>DeepL</w:t>
      </w:r>
      <w:proofErr w:type="spellEnd"/>
      <w:r w:rsidRPr="00317230">
        <w:rPr>
          <w:rFonts w:ascii="Times New Roman" w:hAnsi="Times New Roman" w:cs="Times New Roman"/>
          <w:sz w:val="28"/>
          <w:szCs w:val="28"/>
        </w:rPr>
        <w:t>.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17230">
        <w:rPr>
          <w:rFonts w:ascii="Times New Roman" w:hAnsi="Times New Roman" w:cs="Times New Roman"/>
          <w:sz w:val="28"/>
          <w:szCs w:val="28"/>
        </w:rPr>
        <w:t>/</w:t>
      </w:r>
      <w:r w:rsidRPr="00317230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317230">
        <w:rPr>
          <w:rFonts w:ascii="Times New Roman" w:hAnsi="Times New Roman" w:cs="Times New Roman"/>
          <w:sz w:val="28"/>
          <w:szCs w:val="28"/>
        </w:rPr>
        <w:t xml:space="preserve"> (бесплатная версия)</w:t>
      </w:r>
    </w:p>
    <w:sectPr w:rsidR="00317230" w:rsidRPr="0031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60"/>
    <w:rsid w:val="000814EA"/>
    <w:rsid w:val="00317230"/>
    <w:rsid w:val="004318DE"/>
    <w:rsid w:val="00541733"/>
    <w:rsid w:val="005B5BC4"/>
    <w:rsid w:val="0084208D"/>
    <w:rsid w:val="009D4371"/>
    <w:rsid w:val="00BB727F"/>
    <w:rsid w:val="00C622D9"/>
    <w:rsid w:val="00D4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0709"/>
  <w15:chartTrackingRefBased/>
  <w15:docId w15:val="{AADE29E0-67FF-470C-98AC-1CF5CB6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Bozhko</dc:creator>
  <cp:keywords/>
  <dc:description/>
  <cp:lastModifiedBy>Aleksandr Bozhko</cp:lastModifiedBy>
  <cp:revision>2</cp:revision>
  <dcterms:created xsi:type="dcterms:W3CDTF">2024-01-02T08:41:00Z</dcterms:created>
  <dcterms:modified xsi:type="dcterms:W3CDTF">2024-01-02T13:38:00Z</dcterms:modified>
</cp:coreProperties>
</file>