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>: Jessica Braithwaite (Chair), Daniel Arnon, Susanna Campbell, Kirssa Ryckman</w:t>
      </w:r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>, Dukhong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“Who Keeps the Peace? Reconceptualizing Peacebuilding Through Networks of Influence and Support.” With Jessica Maves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0F87B5C3" w14:textId="6676F8F6" w:rsidR="00E92D92" w:rsidRDefault="00E92D92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</w:t>
      </w:r>
      <w:r>
        <w:rPr>
          <w:rFonts w:ascii="Garamond" w:hAnsi="Garamond"/>
        </w:rPr>
        <w:t xml:space="preserve"> </w:t>
      </w:r>
      <w:r w:rsidRPr="00E92D92">
        <w:rPr>
          <w:rFonts w:ascii="Garamond" w:hAnsi="Garamond"/>
        </w:rPr>
        <w:t>Charles E., Jr. Starns Fellowship</w:t>
      </w:r>
      <w:r>
        <w:rPr>
          <w:rFonts w:ascii="Garamond" w:hAnsi="Garamond"/>
        </w:rPr>
        <w:t xml:space="preserve"> ($3,500), 2023.</w:t>
      </w:r>
    </w:p>
    <w:p w14:paraId="4A6B0ADA" w14:textId="42E2BD5F" w:rsidR="0023242D" w:rsidRDefault="0023242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</w:t>
      </w:r>
      <w:r w:rsidR="001D111C">
        <w:rPr>
          <w:rFonts w:ascii="Garamond" w:hAnsi="Garamond"/>
        </w:rPr>
        <w:t xml:space="preserve"> summer participant ($3,080),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>Office of Undergraduate Research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6BB39BB4" w14:textId="3F45A7E4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lastRenderedPageBreak/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4326" w14:textId="77777777" w:rsidR="00E62064" w:rsidRDefault="00E62064" w:rsidP="00FC340D">
      <w:r>
        <w:separator/>
      </w:r>
    </w:p>
  </w:endnote>
  <w:endnote w:type="continuationSeparator" w:id="0">
    <w:p w14:paraId="31E3EAEF" w14:textId="77777777" w:rsidR="00E62064" w:rsidRDefault="00E62064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D963" w14:textId="77777777" w:rsidR="00E62064" w:rsidRDefault="00E62064" w:rsidP="00FC340D">
      <w:r>
        <w:separator/>
      </w:r>
    </w:p>
  </w:footnote>
  <w:footnote w:type="continuationSeparator" w:id="0">
    <w:p w14:paraId="2F0D261E" w14:textId="77777777" w:rsidR="00E62064" w:rsidRDefault="00E62064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1CBB668D" w:rsidR="000B0299" w:rsidRPr="004461AE" w:rsidRDefault="00325B94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May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25B94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E48A3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62064"/>
    <w:rsid w:val="00E71948"/>
    <w:rsid w:val="00E846E9"/>
    <w:rsid w:val="00E911A2"/>
    <w:rsid w:val="00E92D9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12</cp:revision>
  <cp:lastPrinted>2020-01-31T17:29:00Z</cp:lastPrinted>
  <dcterms:created xsi:type="dcterms:W3CDTF">2023-02-28T22:08:00Z</dcterms:created>
  <dcterms:modified xsi:type="dcterms:W3CDTF">2023-05-15T20:01:00Z</dcterms:modified>
</cp:coreProperties>
</file>