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732F9" w14:textId="7E113439" w:rsidR="00F532E5" w:rsidRPr="00F532E5" w:rsidRDefault="00F532E5" w:rsidP="0012788D">
      <w:pPr>
        <w:spacing w:line="480" w:lineRule="auto"/>
        <w:jc w:val="center"/>
        <w:rPr>
          <w:b/>
          <w:sz w:val="28"/>
          <w:szCs w:val="28"/>
        </w:rPr>
      </w:pPr>
      <w:proofErr w:type="gramStart"/>
      <w:r w:rsidRPr="00F532E5">
        <w:rPr>
          <w:b/>
          <w:sz w:val="28"/>
          <w:szCs w:val="28"/>
        </w:rPr>
        <w:t>SUPPLEMENTARY  INFORMATION</w:t>
      </w:r>
      <w:proofErr w:type="gramEnd"/>
    </w:p>
    <w:p w14:paraId="00000001" w14:textId="44DD901C" w:rsidR="00AD7503" w:rsidRDefault="00F532E5" w:rsidP="0012788D">
      <w:pPr>
        <w:spacing w:line="480" w:lineRule="auto"/>
        <w:jc w:val="center"/>
        <w:rPr>
          <w:b/>
        </w:rPr>
      </w:pPr>
      <w:r>
        <w:rPr>
          <w:b/>
        </w:rPr>
        <w:t>Unhealthy Brood Odor Assay</w:t>
      </w:r>
      <w:r>
        <w:rPr>
          <w:b/>
        </w:rPr>
        <w:t>: On Detecting Change</w:t>
      </w:r>
      <w:r w:rsidR="003E230D">
        <w:rPr>
          <w:b/>
        </w:rPr>
        <w:t xml:space="preserve"> P</w:t>
      </w:r>
      <w:r>
        <w:rPr>
          <w:b/>
        </w:rPr>
        <w:t>oints in Pathogen</w:t>
      </w:r>
      <w:r w:rsidR="003E230D">
        <w:rPr>
          <w:b/>
        </w:rPr>
        <w:t xml:space="preserve"> Load Data</w:t>
      </w:r>
    </w:p>
    <w:p w14:paraId="7367F447" w14:textId="77777777" w:rsidR="003E230D" w:rsidRDefault="003E230D" w:rsidP="0012788D">
      <w:pPr>
        <w:spacing w:line="480" w:lineRule="auto"/>
        <w:jc w:val="center"/>
        <w:rPr>
          <w:b/>
        </w:rPr>
      </w:pPr>
    </w:p>
    <w:p w14:paraId="00000002" w14:textId="77777777" w:rsidR="00AD7503" w:rsidRDefault="00000000" w:rsidP="0012788D">
      <w:pPr>
        <w:spacing w:line="480" w:lineRule="auto"/>
        <w:jc w:val="center"/>
      </w:pPr>
      <w:r>
        <w:t xml:space="preserve">Samantha A. Alger, M. Sydney Miller, P. Alexander Burnham, </w:t>
      </w:r>
      <w:proofErr w:type="spellStart"/>
      <w:r>
        <w:t>Esmaeil</w:t>
      </w:r>
      <w:proofErr w:type="spellEnd"/>
      <w:r>
        <w:t xml:space="preserve"> Amiri, Corinne Jordan, Kaira Wagoner</w:t>
      </w:r>
    </w:p>
    <w:p w14:paraId="5EFA22AB" w14:textId="77777777" w:rsidR="003E230D" w:rsidRDefault="003E230D" w:rsidP="0012788D">
      <w:pPr>
        <w:spacing w:line="480" w:lineRule="auto"/>
        <w:jc w:val="center"/>
      </w:pPr>
    </w:p>
    <w:p w14:paraId="00000003" w14:textId="3FBF2493" w:rsidR="00AD7503" w:rsidRDefault="00F532E5" w:rsidP="0012788D">
      <w:pPr>
        <w:spacing w:line="480" w:lineRule="auto"/>
        <w:jc w:val="center"/>
        <w:rPr>
          <w:i/>
        </w:rPr>
      </w:pPr>
      <w:r>
        <w:rPr>
          <w:i/>
        </w:rPr>
        <w:t>September</w:t>
      </w:r>
      <w:r w:rsidR="00000000">
        <w:rPr>
          <w:i/>
        </w:rPr>
        <w:t xml:space="preserve"> </w:t>
      </w:r>
      <w:r>
        <w:rPr>
          <w:i/>
        </w:rPr>
        <w:t>25</w:t>
      </w:r>
      <w:r w:rsidR="00000000">
        <w:rPr>
          <w:i/>
        </w:rPr>
        <w:t>, 2024</w:t>
      </w:r>
    </w:p>
    <w:p w14:paraId="6EACD410" w14:textId="77777777" w:rsidR="00F532E5" w:rsidRDefault="00F532E5" w:rsidP="0012788D">
      <w:pPr>
        <w:spacing w:line="480" w:lineRule="auto"/>
        <w:jc w:val="center"/>
        <w:rPr>
          <w:i/>
        </w:rPr>
      </w:pPr>
    </w:p>
    <w:p w14:paraId="4B3E3F61" w14:textId="05F2F8F5" w:rsidR="00F532E5" w:rsidRPr="00F532E5" w:rsidRDefault="00F532E5" w:rsidP="0012788D">
      <w:pPr>
        <w:spacing w:line="480" w:lineRule="auto"/>
        <w:rPr>
          <w:b/>
          <w:bCs/>
          <w:iCs/>
          <w:sz w:val="28"/>
          <w:szCs w:val="28"/>
        </w:rPr>
      </w:pPr>
      <w:r w:rsidRPr="00F532E5">
        <w:rPr>
          <w:b/>
          <w:bCs/>
          <w:iCs/>
          <w:sz w:val="28"/>
          <w:szCs w:val="28"/>
        </w:rPr>
        <w:t>SUMMARY</w:t>
      </w:r>
    </w:p>
    <w:p w14:paraId="0A6B3922" w14:textId="55C06A26" w:rsidR="003E230D" w:rsidRDefault="003E230D" w:rsidP="0012788D">
      <w:pPr>
        <w:spacing w:line="480" w:lineRule="auto"/>
        <w:rPr>
          <w:iCs/>
        </w:rPr>
      </w:pPr>
      <w:r>
        <w:rPr>
          <w:iCs/>
        </w:rPr>
        <w:t xml:space="preserve">While our main analyses and the intention in this work was to determine if pathogen loads significantly decrease in colonies as </w:t>
      </w:r>
      <w:proofErr w:type="spellStart"/>
      <w:r>
        <w:rPr>
          <w:iCs/>
        </w:rPr>
        <w:t>UBeeO</w:t>
      </w:r>
      <w:proofErr w:type="spellEnd"/>
      <w:r>
        <w:rPr>
          <w:iCs/>
        </w:rPr>
        <w:t xml:space="preserve"> score increases, the question of threshold values remains an important secondary question. </w:t>
      </w:r>
      <w:r>
        <w:rPr>
          <w:iCs/>
        </w:rPr>
        <w:t xml:space="preserve">These </w:t>
      </w:r>
      <w:r>
        <w:rPr>
          <w:iCs/>
        </w:rPr>
        <w:t>thresholds</w:t>
      </w:r>
      <w:r>
        <w:rPr>
          <w:iCs/>
        </w:rPr>
        <w:t xml:space="preserve"> have biological relevance as they could serve as reference points for colony identification when selecting for resistance to a given pathogen or pathogens. In her previous findings, Kaira Wagoner, through a combination of statistical inference and biological reasoning, identified 60% at the significance threshold for the </w:t>
      </w:r>
      <w:r w:rsidRPr="003E230D">
        <w:rPr>
          <w:i/>
        </w:rPr>
        <w:t>V</w:t>
      </w:r>
      <w:r w:rsidRPr="003E230D">
        <w:rPr>
          <w:i/>
        </w:rPr>
        <w:t>arroa</w:t>
      </w:r>
      <w:r>
        <w:rPr>
          <w:iCs/>
        </w:rPr>
        <w:t xml:space="preserve"> mite (Wagoner et al., 2021).</w:t>
      </w:r>
      <w:r>
        <w:rPr>
          <w:iCs/>
        </w:rPr>
        <w:t xml:space="preserve"> </w:t>
      </w:r>
      <w:r>
        <w:rPr>
          <w:iCs/>
        </w:rPr>
        <w:t>Here, we aim to identify thresholds for the remaining significant pathogens identified in this work and using novel methods described below, conduct a reanalysis the</w:t>
      </w:r>
      <w:r w:rsidRPr="003E230D">
        <w:rPr>
          <w:i/>
        </w:rPr>
        <w:t xml:space="preserve"> Varroa</w:t>
      </w:r>
      <w:r>
        <w:rPr>
          <w:iCs/>
        </w:rPr>
        <w:t xml:space="preserve"> count data from Wagoner et al., 2021.</w:t>
      </w:r>
      <w:r>
        <w:rPr>
          <w:iCs/>
        </w:rPr>
        <w:t xml:space="preserve"> We ask two main questions: </w:t>
      </w:r>
      <w:r w:rsidRPr="003E230D">
        <w:rPr>
          <w:b/>
          <w:bCs/>
          <w:iCs/>
        </w:rPr>
        <w:t>(1)</w:t>
      </w:r>
      <w:r>
        <w:rPr>
          <w:iCs/>
        </w:rPr>
        <w:t xml:space="preserve"> What are the </w:t>
      </w:r>
      <w:proofErr w:type="spellStart"/>
      <w:r>
        <w:rPr>
          <w:iCs/>
        </w:rPr>
        <w:t>UBeeO</w:t>
      </w:r>
      <w:proofErr w:type="spellEnd"/>
      <w:r>
        <w:rPr>
          <w:iCs/>
        </w:rPr>
        <w:t xml:space="preserve"> values for each pathogen above which pathogen loads are lower? </w:t>
      </w:r>
      <w:r w:rsidRPr="003E230D">
        <w:rPr>
          <w:b/>
          <w:bCs/>
          <w:iCs/>
        </w:rPr>
        <w:t>(2)</w:t>
      </w:r>
      <w:r>
        <w:rPr>
          <w:iCs/>
        </w:rPr>
        <w:t xml:space="preserve"> If these cutoffs do exist, do they vary by pathogen? In this supplementary document we aim to answer these questions while leaving our explanation of our findings and integration with the main results of this paper to the discussion section of the primary document. </w:t>
      </w:r>
    </w:p>
    <w:p w14:paraId="71D00C56" w14:textId="77777777" w:rsidR="003E230D" w:rsidRPr="003E230D" w:rsidRDefault="003E230D" w:rsidP="0012788D">
      <w:pPr>
        <w:spacing w:line="480" w:lineRule="auto"/>
        <w:rPr>
          <w:iCs/>
        </w:rPr>
      </w:pPr>
    </w:p>
    <w:p w14:paraId="75369A1D" w14:textId="16ECE76F" w:rsidR="00F532E5" w:rsidRPr="00F532E5" w:rsidRDefault="00F532E5" w:rsidP="0012788D">
      <w:pPr>
        <w:spacing w:line="480" w:lineRule="auto"/>
        <w:rPr>
          <w:b/>
          <w:bCs/>
          <w:iCs/>
          <w:sz w:val="28"/>
          <w:szCs w:val="28"/>
        </w:rPr>
      </w:pPr>
      <w:r w:rsidRPr="00F532E5">
        <w:rPr>
          <w:b/>
          <w:bCs/>
          <w:iCs/>
          <w:sz w:val="28"/>
          <w:szCs w:val="28"/>
        </w:rPr>
        <w:lastRenderedPageBreak/>
        <w:t>METHODS</w:t>
      </w:r>
    </w:p>
    <w:p w14:paraId="48A51FA1" w14:textId="6E8B24A8" w:rsidR="00521CB9" w:rsidRDefault="003E230D" w:rsidP="00436E75">
      <w:pPr>
        <w:spacing w:line="480" w:lineRule="auto"/>
      </w:pPr>
      <w:proofErr w:type="gramStart"/>
      <w:r w:rsidRPr="003E230D">
        <w:t>In order</w:t>
      </w:r>
      <w:r>
        <w:t xml:space="preserve"> to</w:t>
      </w:r>
      <w:proofErr w:type="gramEnd"/>
      <w:r>
        <w:t xml:space="preserve"> determine </w:t>
      </w:r>
      <w:proofErr w:type="spellStart"/>
      <w:r>
        <w:t>UBeeO</w:t>
      </w:r>
      <w:proofErr w:type="spellEnd"/>
      <w:r>
        <w:t xml:space="preserve"> thresholds or cutoff points for each significant pathogen, we used change point analysis implemented in the MCP</w:t>
      </w:r>
      <w:r w:rsidR="00436E75">
        <w:t xml:space="preserve"> </w:t>
      </w:r>
      <w:r w:rsidR="00436E75">
        <w:t>(Multiple Change Point)</w:t>
      </w:r>
      <w:r>
        <w:t xml:space="preserve"> package in R (</w:t>
      </w:r>
      <w:proofErr w:type="spellStart"/>
      <w:r w:rsidR="00436E75">
        <w:t>Lindeløv</w:t>
      </w:r>
      <w:proofErr w:type="spellEnd"/>
      <w:r w:rsidR="00436E75">
        <w:t>, 2020</w:t>
      </w:r>
      <w:r w:rsidR="00436E75">
        <w:t>; R Core Team, 2024</w:t>
      </w:r>
      <w:r>
        <w:t xml:space="preserve">).  </w:t>
      </w:r>
      <w:r w:rsidR="00521CB9">
        <w:t>This methodology, traditionally used for identifying changes of regime in time-series data is ideally suited for determining thresholds where the processes underlying a dataset have changed resulting in a differential response of the dependent variable.</w:t>
      </w:r>
    </w:p>
    <w:p w14:paraId="412040B1" w14:textId="77777777" w:rsidR="00436E75" w:rsidRPr="00436E75" w:rsidRDefault="00436E75" w:rsidP="00436E75">
      <w:pPr>
        <w:spacing w:line="480" w:lineRule="auto"/>
      </w:pPr>
    </w:p>
    <w:p w14:paraId="38ECBE01" w14:textId="2DE2A44B" w:rsidR="00E8381C" w:rsidRDefault="00521CB9" w:rsidP="0012788D">
      <w:pPr>
        <w:spacing w:line="480" w:lineRule="auto"/>
      </w:pPr>
      <w:r w:rsidRPr="00521CB9">
        <w:rPr>
          <w:b/>
          <w:bCs/>
          <w:i/>
        </w:rPr>
        <w:t>The MCP Package:</w:t>
      </w:r>
      <w:r w:rsidR="00436E75">
        <w:rPr>
          <w:b/>
          <w:bCs/>
          <w:i/>
        </w:rPr>
        <w:t xml:space="preserve"> </w:t>
      </w:r>
      <w:r w:rsidR="00436E75">
        <w:t xml:space="preserve">The MCP package is a Bayesian tool designed to detect and model change points in time series or other ordered data sequences. Change points refer to locations in the data where statistical properties, such as mean or trend, </w:t>
      </w:r>
      <w:r w:rsidR="00436E75">
        <w:t xml:space="preserve">have </w:t>
      </w:r>
      <w:r w:rsidR="00436E75">
        <w:t>shift</w:t>
      </w:r>
      <w:r w:rsidR="00436E75">
        <w:t>ed</w:t>
      </w:r>
      <w:r w:rsidR="00436E75">
        <w:t xml:space="preserve"> significantly. MCP allows users to specify models for different data segments, where each segment is characterized by its own set of statistical parameters (e.g., mean, slope).</w:t>
      </w:r>
      <w:r w:rsidR="00436E75">
        <w:t xml:space="preserve"> These segments can fit together in any number of user-specified ways.</w:t>
      </w:r>
      <w:r w:rsidR="00436E75">
        <w:t xml:space="preserve"> </w:t>
      </w:r>
      <w:r w:rsidR="00436E75">
        <w:t>Joined slope indicates a hinge relationship where the slope has changed at some point along the x-axis. The underlying model might also describe a series of disjointed slopes or plateaus indicative of a shelf-like structure.</w:t>
      </w:r>
      <w:r w:rsidR="00436E75">
        <w:t xml:space="preserve"> MCP </w:t>
      </w:r>
      <w:r w:rsidR="00436E75">
        <w:t>uses</w:t>
      </w:r>
      <w:r w:rsidR="00436E75">
        <w:t xml:space="preserve"> Bayesian inference, which enables the estimation of change point locations by considering prior knowledge about the data. Through Markov Chain Monte Carlo (MCMC) sampling, the package generates posterior distributions for both the change points and the parameters of the segments. This probabilistic framework accounts for uncertainty and variability, making the identification of change points more robust (</w:t>
      </w:r>
      <w:proofErr w:type="spellStart"/>
      <w:r w:rsidR="00436E75">
        <w:t>Lindeløv</w:t>
      </w:r>
      <w:proofErr w:type="spellEnd"/>
      <w:r w:rsidR="00436E75">
        <w:t>, 2020).</w:t>
      </w:r>
    </w:p>
    <w:p w14:paraId="042150D6" w14:textId="77777777" w:rsidR="00E8381C" w:rsidRDefault="00E8381C" w:rsidP="0012788D">
      <w:pPr>
        <w:spacing w:line="480" w:lineRule="auto"/>
      </w:pPr>
    </w:p>
    <w:p w14:paraId="2458C0D2" w14:textId="77777777" w:rsidR="00E8381C" w:rsidRDefault="00E8381C" w:rsidP="0012788D">
      <w:pPr>
        <w:spacing w:line="480" w:lineRule="auto"/>
      </w:pPr>
    </w:p>
    <w:p w14:paraId="6A08B2AB" w14:textId="77777777" w:rsidR="00E8381C" w:rsidRPr="00E8381C" w:rsidRDefault="00E8381C" w:rsidP="0012788D">
      <w:pPr>
        <w:spacing w:line="480" w:lineRule="auto"/>
      </w:pPr>
    </w:p>
    <w:p w14:paraId="685AA7F1" w14:textId="03BDB972" w:rsidR="00521CB9" w:rsidRDefault="00521CB9" w:rsidP="0012788D">
      <w:pPr>
        <w:spacing w:line="480" w:lineRule="auto"/>
        <w:rPr>
          <w:b/>
          <w:bCs/>
          <w:i/>
        </w:rPr>
      </w:pPr>
      <w:r w:rsidRPr="00521CB9">
        <w:rPr>
          <w:b/>
          <w:bCs/>
          <w:i/>
        </w:rPr>
        <w:lastRenderedPageBreak/>
        <w:t>Our Implementation:</w:t>
      </w:r>
    </w:p>
    <w:p w14:paraId="254BD0C1" w14:textId="56C900B3" w:rsidR="00E8381C" w:rsidRPr="00E8381C" w:rsidRDefault="00E8381C" w:rsidP="0012788D">
      <w:pPr>
        <w:spacing w:line="480" w:lineRule="auto"/>
        <w:rPr>
          <w:iCs/>
        </w:rPr>
      </w:pPr>
      <w:r>
        <w:rPr>
          <w:iCs/>
        </w:rPr>
        <w:t xml:space="preserve">We identified change points for seven pathogens. </w:t>
      </w:r>
      <w:r w:rsidRPr="00E8381C">
        <w:rPr>
          <w:i/>
        </w:rPr>
        <w:t>Varroa</w:t>
      </w:r>
      <w:r>
        <w:rPr>
          <w:iCs/>
        </w:rPr>
        <w:t xml:space="preserve">, </w:t>
      </w:r>
      <w:proofErr w:type="spellStart"/>
      <w:r w:rsidRPr="00E8381C">
        <w:rPr>
          <w:i/>
        </w:rPr>
        <w:t>Vairimorpha</w:t>
      </w:r>
      <w:proofErr w:type="spellEnd"/>
      <w:r>
        <w:rPr>
          <w:iCs/>
        </w:rPr>
        <w:t xml:space="preserve">, Chalkbrood, DWV.A (Deformed Wing Virus-A), DWV.B </w:t>
      </w:r>
      <w:r>
        <w:rPr>
          <w:iCs/>
        </w:rPr>
        <w:t>(Deformed Wing Virus-</w:t>
      </w:r>
      <w:r>
        <w:rPr>
          <w:iCs/>
        </w:rPr>
        <w:t>B</w:t>
      </w:r>
      <w:r>
        <w:rPr>
          <w:iCs/>
        </w:rPr>
        <w:t>)</w:t>
      </w:r>
      <w:r>
        <w:rPr>
          <w:iCs/>
        </w:rPr>
        <w:t>, IAPV (Israeli Acute Paralyses Virus), and LSV (Lake S</w:t>
      </w:r>
      <w:r w:rsidRPr="00E8381C">
        <w:rPr>
          <w:iCs/>
        </w:rPr>
        <w:t>inai</w:t>
      </w:r>
      <w:r>
        <w:rPr>
          <w:iCs/>
        </w:rPr>
        <w:t xml:space="preserve"> Virus). For all data, missing data were removed from the analysis. For </w:t>
      </w:r>
      <w:proofErr w:type="spellStart"/>
      <w:r w:rsidRPr="00E8381C">
        <w:rPr>
          <w:i/>
        </w:rPr>
        <w:t>Vairimorpha</w:t>
      </w:r>
      <w:proofErr w:type="spellEnd"/>
      <w:r w:rsidRPr="00E8381C">
        <w:rPr>
          <w:iCs/>
        </w:rPr>
        <w:t xml:space="preserve">, </w:t>
      </w:r>
      <w:r>
        <w:rPr>
          <w:iCs/>
        </w:rPr>
        <w:t>and</w:t>
      </w:r>
      <w:r>
        <w:rPr>
          <w:iCs/>
        </w:rPr>
        <w:t xml:space="preserve"> Chalkbrood</w:t>
      </w:r>
      <w:r>
        <w:rPr>
          <w:iCs/>
        </w:rPr>
        <w:t xml:space="preserve">, and the viruses, which were all integer count data, we fit a Poisson model. </w:t>
      </w:r>
      <w:r w:rsidRPr="00E8381C">
        <w:rPr>
          <w:i/>
        </w:rPr>
        <w:t>Varroa</w:t>
      </w:r>
      <w:r>
        <w:rPr>
          <w:iCs/>
        </w:rPr>
        <w:t xml:space="preserve"> count was an average of multiple counts and as such, was not of data type integer. However, since Varroa load is </w:t>
      </w:r>
      <w:proofErr w:type="spellStart"/>
      <w:r>
        <w:rPr>
          <w:iCs/>
        </w:rPr>
        <w:t>naturaly</w:t>
      </w:r>
      <w:proofErr w:type="spellEnd"/>
      <w:r>
        <w:rPr>
          <w:iCs/>
        </w:rPr>
        <w:t xml:space="preserve"> count data, these data were rounded </w:t>
      </w:r>
      <w:proofErr w:type="gramStart"/>
      <w:r>
        <w:rPr>
          <w:iCs/>
        </w:rPr>
        <w:t>and also</w:t>
      </w:r>
      <w:proofErr w:type="gramEnd"/>
      <w:r>
        <w:rPr>
          <w:iCs/>
        </w:rPr>
        <w:t xml:space="preserve"> fit with a Poisson distribution. For all seven pathogens, raw scatter plots of pathogen load by </w:t>
      </w:r>
      <w:proofErr w:type="spellStart"/>
      <w:r>
        <w:rPr>
          <w:iCs/>
        </w:rPr>
        <w:t>UBeeO</w:t>
      </w:r>
      <w:proofErr w:type="spellEnd"/>
      <w:r>
        <w:rPr>
          <w:iCs/>
        </w:rPr>
        <w:t xml:space="preserve"> score indicated an underlying shelf or two plateau structure. As such, the MCP algorithm was passed a two-segment model: </w:t>
      </w:r>
    </w:p>
    <w:p w14:paraId="7008C4D5" w14:textId="10ED7A67" w:rsidR="00E8381C" w:rsidRPr="006167CA" w:rsidRDefault="00E8381C" w:rsidP="00E8381C">
      <w:pPr>
        <w:pStyle w:val="PlainText"/>
        <w:ind w:left="2880"/>
        <w:rPr>
          <w:rFonts w:ascii="Courier New" w:hAnsi="Courier New" w:cs="Courier New"/>
        </w:rPr>
      </w:pPr>
      <w:proofErr w:type="spellStart"/>
      <w:r>
        <w:rPr>
          <w:rFonts w:ascii="Courier New" w:hAnsi="Courier New" w:cs="Courier New"/>
        </w:rPr>
        <w:t>Shelf_</w:t>
      </w:r>
      <w:r w:rsidRPr="006167CA">
        <w:rPr>
          <w:rFonts w:ascii="Courier New" w:hAnsi="Courier New" w:cs="Courier New"/>
        </w:rPr>
        <w:t>model</w:t>
      </w:r>
      <w:proofErr w:type="spellEnd"/>
      <w:r w:rsidRPr="006167CA">
        <w:rPr>
          <w:rFonts w:ascii="Courier New" w:hAnsi="Courier New" w:cs="Courier New"/>
        </w:rPr>
        <w:t xml:space="preserve"> = </w:t>
      </w:r>
      <w:proofErr w:type="gramStart"/>
      <w:r w:rsidRPr="006167CA">
        <w:rPr>
          <w:rFonts w:ascii="Courier New" w:hAnsi="Courier New" w:cs="Courier New"/>
        </w:rPr>
        <w:t>list(</w:t>
      </w:r>
      <w:proofErr w:type="gramEnd"/>
    </w:p>
    <w:p w14:paraId="1B740AE7" w14:textId="77777777" w:rsidR="00E8381C" w:rsidRPr="006167CA" w:rsidRDefault="00E8381C" w:rsidP="00E8381C">
      <w:pPr>
        <w:pStyle w:val="PlainText"/>
        <w:ind w:left="2880"/>
        <w:rPr>
          <w:rFonts w:ascii="Courier New" w:hAnsi="Courier New" w:cs="Courier New"/>
        </w:rPr>
      </w:pPr>
      <w:r w:rsidRPr="006167CA">
        <w:rPr>
          <w:rFonts w:ascii="Courier New" w:hAnsi="Courier New" w:cs="Courier New"/>
        </w:rPr>
        <w:t xml:space="preserve">  </w:t>
      </w:r>
      <w:r>
        <w:rPr>
          <w:rFonts w:ascii="Courier New" w:hAnsi="Courier New" w:cs="Courier New"/>
        </w:rPr>
        <w:t xml:space="preserve">load </w:t>
      </w:r>
      <w:r w:rsidRPr="006167CA">
        <w:rPr>
          <w:rFonts w:ascii="Courier New" w:hAnsi="Courier New" w:cs="Courier New"/>
        </w:rPr>
        <w:t xml:space="preserve">~ </w:t>
      </w:r>
      <w:proofErr w:type="gramStart"/>
      <w:r w:rsidRPr="006167CA">
        <w:rPr>
          <w:rFonts w:ascii="Courier New" w:hAnsi="Courier New" w:cs="Courier New"/>
        </w:rPr>
        <w:t>1,  #</w:t>
      </w:r>
      <w:proofErr w:type="gramEnd"/>
      <w:r w:rsidRPr="006167CA">
        <w:rPr>
          <w:rFonts w:ascii="Courier New" w:hAnsi="Courier New" w:cs="Courier New"/>
        </w:rPr>
        <w:t xml:space="preserve"> plateau (int_1)</w:t>
      </w:r>
    </w:p>
    <w:p w14:paraId="4DD30C92" w14:textId="77777777" w:rsidR="00E8381C" w:rsidRPr="006167CA" w:rsidRDefault="00E8381C" w:rsidP="00E8381C">
      <w:pPr>
        <w:pStyle w:val="PlainText"/>
        <w:ind w:left="2880"/>
        <w:rPr>
          <w:rFonts w:ascii="Courier New" w:hAnsi="Courier New" w:cs="Courier New"/>
        </w:rPr>
      </w:pPr>
      <w:r w:rsidRPr="006167CA">
        <w:rPr>
          <w:rFonts w:ascii="Courier New" w:hAnsi="Courier New" w:cs="Courier New"/>
        </w:rPr>
        <w:t xml:space="preserve">  ~ 1     # plateau (int_2)</w:t>
      </w:r>
    </w:p>
    <w:p w14:paraId="34960FE9" w14:textId="77777777" w:rsidR="00E8381C" w:rsidRPr="006167CA" w:rsidRDefault="00E8381C" w:rsidP="00E8381C">
      <w:pPr>
        <w:pStyle w:val="PlainText"/>
        <w:ind w:left="2880"/>
        <w:rPr>
          <w:rFonts w:ascii="Courier New" w:hAnsi="Courier New" w:cs="Courier New"/>
        </w:rPr>
      </w:pPr>
      <w:r w:rsidRPr="006167CA">
        <w:rPr>
          <w:rFonts w:ascii="Courier New" w:hAnsi="Courier New" w:cs="Courier New"/>
        </w:rPr>
        <w:t>)</w:t>
      </w:r>
    </w:p>
    <w:p w14:paraId="0301098B" w14:textId="77777777" w:rsidR="00E8381C" w:rsidRDefault="00E8381C" w:rsidP="0012788D">
      <w:pPr>
        <w:spacing w:line="480" w:lineRule="auto"/>
        <w:rPr>
          <w:iCs/>
        </w:rPr>
      </w:pPr>
    </w:p>
    <w:p w14:paraId="46E0E162" w14:textId="007AA760" w:rsidR="00E8381C" w:rsidRPr="00E8381C" w:rsidRDefault="00E8381C" w:rsidP="0012788D">
      <w:pPr>
        <w:spacing w:line="480" w:lineRule="auto"/>
        <w:rPr>
          <w:iCs/>
          <w:vertAlign w:val="subscript"/>
        </w:rPr>
      </w:pPr>
      <w:r>
        <w:rPr>
          <w:iCs/>
        </w:rPr>
        <w:t>All models were run for 100,000 iterations. The change point estimate, upper and lower error boundaries, and scatter plot with posterior distributions and test segments were recorded. Additionally, for the virus loads, a second set of change points were determined. It is often the case that, due to the large range in orders of magnitude encountered in virus loads data, a log transformation might be conducted for analysis or visualization purposes. All virus data were log</w:t>
      </w:r>
      <w:proofErr w:type="gramStart"/>
      <w:r>
        <w:rPr>
          <w:iCs/>
          <w:vertAlign w:val="subscript"/>
        </w:rPr>
        <w:t xml:space="preserve">10  </w:t>
      </w:r>
      <w:r w:rsidRPr="00E8381C">
        <w:rPr>
          <w:iCs/>
        </w:rPr>
        <w:t>+</w:t>
      </w:r>
      <w:proofErr w:type="gramEnd"/>
      <w:r>
        <w:rPr>
          <w:iCs/>
        </w:rPr>
        <w:t xml:space="preserve"> </w:t>
      </w:r>
      <w:r w:rsidRPr="00E8381C">
        <w:rPr>
          <w:iCs/>
        </w:rPr>
        <w:t>1</w:t>
      </w:r>
      <w:r>
        <w:rPr>
          <w:iCs/>
        </w:rPr>
        <w:t xml:space="preserve"> transformed. As these transformed data were relatively normally distributed, a Gaussian distribution was fit. The data, when plot against </w:t>
      </w:r>
      <w:proofErr w:type="spellStart"/>
      <w:r>
        <w:rPr>
          <w:iCs/>
        </w:rPr>
        <w:t>UBeeO</w:t>
      </w:r>
      <w:proofErr w:type="spellEnd"/>
      <w:r>
        <w:rPr>
          <w:iCs/>
        </w:rPr>
        <w:t xml:space="preserve"> score seemed to exhibit less of a shelf-cutoff structure and seemed more linear in nature. A joined slope was used in this case:</w:t>
      </w:r>
    </w:p>
    <w:p w14:paraId="4F55033A" w14:textId="5D164789" w:rsidR="00E8381C" w:rsidRPr="006167CA" w:rsidRDefault="00E8381C" w:rsidP="00E8381C">
      <w:pPr>
        <w:pStyle w:val="PlainText"/>
        <w:ind w:left="2880"/>
        <w:rPr>
          <w:rFonts w:ascii="Courier New" w:hAnsi="Courier New" w:cs="Courier New"/>
        </w:rPr>
      </w:pPr>
      <w:proofErr w:type="spellStart"/>
      <w:r>
        <w:rPr>
          <w:rFonts w:ascii="Courier New" w:hAnsi="Courier New" w:cs="Courier New"/>
        </w:rPr>
        <w:t>slope_model</w:t>
      </w:r>
      <w:proofErr w:type="spellEnd"/>
      <w:r w:rsidRPr="006167CA">
        <w:rPr>
          <w:rFonts w:ascii="Courier New" w:hAnsi="Courier New" w:cs="Courier New"/>
        </w:rPr>
        <w:t xml:space="preserve"> = </w:t>
      </w:r>
      <w:proofErr w:type="gramStart"/>
      <w:r w:rsidRPr="006167CA">
        <w:rPr>
          <w:rFonts w:ascii="Courier New" w:hAnsi="Courier New" w:cs="Courier New"/>
        </w:rPr>
        <w:t>list(</w:t>
      </w:r>
      <w:proofErr w:type="gramEnd"/>
    </w:p>
    <w:p w14:paraId="0B69A8F5" w14:textId="0968EBEC" w:rsidR="00E8381C" w:rsidRPr="006167CA" w:rsidRDefault="00E8381C" w:rsidP="00E8381C">
      <w:pPr>
        <w:pStyle w:val="PlainText"/>
        <w:ind w:left="2880"/>
        <w:rPr>
          <w:rFonts w:ascii="Courier New" w:hAnsi="Courier New" w:cs="Courier New"/>
        </w:rPr>
      </w:pPr>
      <w:r w:rsidRPr="006167CA">
        <w:rPr>
          <w:rFonts w:ascii="Courier New" w:hAnsi="Courier New" w:cs="Courier New"/>
        </w:rPr>
        <w:t xml:space="preserve">  load ~ 1 + </w:t>
      </w:r>
      <w:proofErr w:type="spellStart"/>
      <w:r w:rsidRPr="006167CA">
        <w:rPr>
          <w:rFonts w:ascii="Courier New" w:hAnsi="Courier New" w:cs="Courier New"/>
        </w:rPr>
        <w:t>UBO</w:t>
      </w:r>
      <w:r>
        <w:rPr>
          <w:rFonts w:ascii="Courier New" w:hAnsi="Courier New" w:cs="Courier New"/>
        </w:rPr>
        <w:t>_Score</w:t>
      </w:r>
      <w:proofErr w:type="spellEnd"/>
      <w:r w:rsidRPr="006167CA">
        <w:rPr>
          <w:rFonts w:ascii="Courier New" w:hAnsi="Courier New" w:cs="Courier New"/>
        </w:rPr>
        <w:t>, # intercept + slope</w:t>
      </w:r>
    </w:p>
    <w:p w14:paraId="6F836D28" w14:textId="18505089" w:rsidR="00E8381C" w:rsidRPr="006167CA" w:rsidRDefault="00E8381C" w:rsidP="00E8381C">
      <w:pPr>
        <w:pStyle w:val="PlainText"/>
        <w:ind w:left="2880"/>
        <w:rPr>
          <w:rFonts w:ascii="Courier New" w:hAnsi="Courier New" w:cs="Courier New"/>
        </w:rPr>
      </w:pPr>
      <w:r w:rsidRPr="006167CA">
        <w:rPr>
          <w:rFonts w:ascii="Courier New" w:hAnsi="Courier New" w:cs="Courier New"/>
        </w:rPr>
        <w:t xml:space="preserve">  1 ~ 0 + </w:t>
      </w:r>
      <w:proofErr w:type="spellStart"/>
      <w:r w:rsidRPr="006167CA">
        <w:rPr>
          <w:rFonts w:ascii="Courier New" w:hAnsi="Courier New" w:cs="Courier New"/>
        </w:rPr>
        <w:t>UBO</w:t>
      </w:r>
      <w:r>
        <w:rPr>
          <w:rFonts w:ascii="Courier New" w:hAnsi="Courier New" w:cs="Courier New"/>
        </w:rPr>
        <w:t>_</w:t>
      </w:r>
      <w:proofErr w:type="gramStart"/>
      <w:r>
        <w:rPr>
          <w:rFonts w:ascii="Courier New" w:hAnsi="Courier New" w:cs="Courier New"/>
        </w:rPr>
        <w:t>Score</w:t>
      </w:r>
      <w:proofErr w:type="spellEnd"/>
      <w:r w:rsidRPr="006167CA">
        <w:rPr>
          <w:rFonts w:ascii="Courier New" w:hAnsi="Courier New" w:cs="Courier New"/>
        </w:rPr>
        <w:t xml:space="preserve">  #</w:t>
      </w:r>
      <w:proofErr w:type="gramEnd"/>
      <w:r w:rsidRPr="006167CA">
        <w:rPr>
          <w:rFonts w:ascii="Courier New" w:hAnsi="Courier New" w:cs="Courier New"/>
        </w:rPr>
        <w:t xml:space="preserve"> joined slope</w:t>
      </w:r>
    </w:p>
    <w:p w14:paraId="1FFF938A" w14:textId="77777777" w:rsidR="00E8381C" w:rsidRPr="006167CA" w:rsidRDefault="00E8381C" w:rsidP="00E8381C">
      <w:pPr>
        <w:pStyle w:val="PlainText"/>
        <w:ind w:left="2880"/>
        <w:rPr>
          <w:rFonts w:ascii="Courier New" w:hAnsi="Courier New" w:cs="Courier New"/>
        </w:rPr>
      </w:pPr>
      <w:r w:rsidRPr="006167CA">
        <w:rPr>
          <w:rFonts w:ascii="Courier New" w:hAnsi="Courier New" w:cs="Courier New"/>
        </w:rPr>
        <w:t>)</w:t>
      </w:r>
    </w:p>
    <w:p w14:paraId="49C0B474" w14:textId="77777777" w:rsidR="00E8381C" w:rsidRDefault="00E8381C" w:rsidP="0012788D">
      <w:pPr>
        <w:spacing w:line="480" w:lineRule="auto"/>
        <w:rPr>
          <w:iCs/>
        </w:rPr>
      </w:pPr>
      <w:r>
        <w:rPr>
          <w:iCs/>
        </w:rPr>
        <w:lastRenderedPageBreak/>
        <w:t>As previously, a</w:t>
      </w:r>
      <w:r>
        <w:rPr>
          <w:iCs/>
        </w:rPr>
        <w:t xml:space="preserve">ll models were run for 100,000 iterations. The change point estimate, upper and lower error boundaries, and scatter plot with posterior distributions and test segments were recorded. </w:t>
      </w:r>
    </w:p>
    <w:p w14:paraId="18F9E8EA" w14:textId="77777777" w:rsidR="00E8381C" w:rsidRDefault="00E8381C" w:rsidP="0012788D">
      <w:pPr>
        <w:spacing w:line="480" w:lineRule="auto"/>
        <w:rPr>
          <w:iCs/>
        </w:rPr>
      </w:pPr>
    </w:p>
    <w:p w14:paraId="5F285DA4" w14:textId="39FF7A0C" w:rsidR="00F532E5" w:rsidRPr="00F532E5" w:rsidRDefault="00F532E5" w:rsidP="0012788D">
      <w:pPr>
        <w:spacing w:line="480" w:lineRule="auto"/>
        <w:rPr>
          <w:b/>
          <w:bCs/>
          <w:iCs/>
          <w:sz w:val="28"/>
          <w:szCs w:val="28"/>
        </w:rPr>
      </w:pPr>
      <w:r w:rsidRPr="00F532E5">
        <w:rPr>
          <w:b/>
          <w:bCs/>
          <w:iCs/>
          <w:sz w:val="28"/>
          <w:szCs w:val="28"/>
        </w:rPr>
        <w:t>RESULTS</w:t>
      </w:r>
    </w:p>
    <w:p w14:paraId="3287D99D" w14:textId="4DA69154" w:rsidR="00F532E5" w:rsidRDefault="0012788D" w:rsidP="0012788D">
      <w:pPr>
        <w:spacing w:line="480" w:lineRule="auto"/>
        <w:rPr>
          <w:iCs/>
        </w:rPr>
      </w:pPr>
      <w:r>
        <w:rPr>
          <w:iCs/>
        </w:rPr>
        <w:t>The</w:t>
      </w:r>
      <w:r w:rsidR="003E230D">
        <w:rPr>
          <w:iCs/>
        </w:rPr>
        <w:t xml:space="preserve"> change points indicating the threshold where </w:t>
      </w:r>
      <w:proofErr w:type="spellStart"/>
      <w:r w:rsidR="003E230D">
        <w:rPr>
          <w:iCs/>
        </w:rPr>
        <w:t>UBeeO</w:t>
      </w:r>
      <w:proofErr w:type="spellEnd"/>
      <w:r w:rsidR="003E230D">
        <w:rPr>
          <w:iCs/>
        </w:rPr>
        <w:t xml:space="preserve"> score begins to significantly decrease disease loads are shown below (Table S1). </w:t>
      </w:r>
      <w:r w:rsidR="00E8381C">
        <w:rPr>
          <w:iCs/>
        </w:rPr>
        <w:t>Models u</w:t>
      </w:r>
      <w:r w:rsidR="003E230D">
        <w:rPr>
          <w:iCs/>
        </w:rPr>
        <w:t>sing a Poisson distribution as well as leveraging a two-plateau model structure most closely detected the apparent change in regime (Figures S1-S4). The log</w:t>
      </w:r>
      <w:r w:rsidR="003E230D" w:rsidRPr="003E230D">
        <w:rPr>
          <w:iCs/>
          <w:vertAlign w:val="subscript"/>
        </w:rPr>
        <w:t>10</w:t>
      </w:r>
      <w:r w:rsidR="003E230D">
        <w:rPr>
          <w:iCs/>
        </w:rPr>
        <w:t xml:space="preserve"> transformed virus loads fit with a joined slope model and a Gaussian </w:t>
      </w:r>
      <w:r w:rsidR="00E8381C">
        <w:rPr>
          <w:iCs/>
        </w:rPr>
        <w:t>distribution</w:t>
      </w:r>
      <w:r w:rsidR="003E230D">
        <w:rPr>
          <w:iCs/>
        </w:rPr>
        <w:t xml:space="preserve"> had a much larger range </w:t>
      </w:r>
      <w:r w:rsidR="00E8381C">
        <w:rPr>
          <w:iCs/>
        </w:rPr>
        <w:t xml:space="preserve">of error </w:t>
      </w:r>
      <w:r w:rsidR="003E230D">
        <w:rPr>
          <w:iCs/>
        </w:rPr>
        <w:t>(Figure S5).</w:t>
      </w:r>
      <w:r w:rsidR="00E8381C">
        <w:rPr>
          <w:iCs/>
        </w:rPr>
        <w:t xml:space="preserve"> Change points varied by pathogen ranging from 4.9 to 69% </w:t>
      </w:r>
      <w:proofErr w:type="spellStart"/>
      <w:r w:rsidR="00E8381C">
        <w:rPr>
          <w:iCs/>
        </w:rPr>
        <w:t>UBeeO</w:t>
      </w:r>
      <w:proofErr w:type="spellEnd"/>
      <w:r w:rsidR="00E8381C">
        <w:rPr>
          <w:iCs/>
        </w:rPr>
        <w:t xml:space="preserve"> scores (Table S1).</w:t>
      </w:r>
    </w:p>
    <w:p w14:paraId="0CF32605" w14:textId="77777777" w:rsidR="003E230D" w:rsidRDefault="003E230D" w:rsidP="0012788D">
      <w:pPr>
        <w:spacing w:line="480" w:lineRule="auto"/>
        <w:rPr>
          <w:iCs/>
        </w:rPr>
      </w:pPr>
    </w:p>
    <w:p w14:paraId="31033C7E" w14:textId="77777777" w:rsidR="00E8381C" w:rsidRDefault="00E8381C" w:rsidP="0012788D">
      <w:pPr>
        <w:spacing w:line="480" w:lineRule="auto"/>
        <w:rPr>
          <w:iCs/>
        </w:rPr>
      </w:pPr>
    </w:p>
    <w:p w14:paraId="39B41871" w14:textId="77777777" w:rsidR="00E8381C" w:rsidRDefault="00E8381C" w:rsidP="0012788D">
      <w:pPr>
        <w:spacing w:line="480" w:lineRule="auto"/>
        <w:rPr>
          <w:iCs/>
        </w:rPr>
      </w:pPr>
    </w:p>
    <w:p w14:paraId="2952B7D3" w14:textId="77777777" w:rsidR="00E8381C" w:rsidRDefault="00E8381C" w:rsidP="0012788D">
      <w:pPr>
        <w:spacing w:line="480" w:lineRule="auto"/>
        <w:rPr>
          <w:iCs/>
        </w:rPr>
      </w:pPr>
    </w:p>
    <w:p w14:paraId="3E9FA75E" w14:textId="77777777" w:rsidR="00E8381C" w:rsidRDefault="00E8381C" w:rsidP="0012788D">
      <w:pPr>
        <w:spacing w:line="480" w:lineRule="auto"/>
        <w:rPr>
          <w:iCs/>
        </w:rPr>
      </w:pPr>
    </w:p>
    <w:p w14:paraId="5C1AA7FC" w14:textId="77777777" w:rsidR="00E8381C" w:rsidRDefault="00E8381C" w:rsidP="0012788D">
      <w:pPr>
        <w:spacing w:line="480" w:lineRule="auto"/>
        <w:rPr>
          <w:iCs/>
        </w:rPr>
      </w:pPr>
    </w:p>
    <w:p w14:paraId="7734DD84" w14:textId="77777777" w:rsidR="00E8381C" w:rsidRDefault="00E8381C" w:rsidP="0012788D">
      <w:pPr>
        <w:spacing w:line="480" w:lineRule="auto"/>
        <w:rPr>
          <w:iCs/>
        </w:rPr>
      </w:pPr>
    </w:p>
    <w:p w14:paraId="3B2BDE6F" w14:textId="77777777" w:rsidR="00E8381C" w:rsidRDefault="00E8381C" w:rsidP="0012788D">
      <w:pPr>
        <w:spacing w:line="480" w:lineRule="auto"/>
        <w:rPr>
          <w:iCs/>
        </w:rPr>
      </w:pPr>
    </w:p>
    <w:p w14:paraId="29E5E93E" w14:textId="77777777" w:rsidR="00E8381C" w:rsidRDefault="00E8381C" w:rsidP="0012788D">
      <w:pPr>
        <w:spacing w:line="480" w:lineRule="auto"/>
        <w:rPr>
          <w:iCs/>
        </w:rPr>
      </w:pPr>
    </w:p>
    <w:p w14:paraId="665FC955" w14:textId="77777777" w:rsidR="00E8381C" w:rsidRDefault="00E8381C" w:rsidP="0012788D">
      <w:pPr>
        <w:spacing w:line="480" w:lineRule="auto"/>
        <w:rPr>
          <w:iCs/>
        </w:rPr>
      </w:pPr>
    </w:p>
    <w:p w14:paraId="50C8DE3F" w14:textId="77777777" w:rsidR="00E8381C" w:rsidRDefault="00E8381C" w:rsidP="0012788D">
      <w:pPr>
        <w:spacing w:line="480" w:lineRule="auto"/>
        <w:rPr>
          <w:iCs/>
        </w:rPr>
      </w:pPr>
    </w:p>
    <w:p w14:paraId="682EAE0A" w14:textId="77777777" w:rsidR="00E8381C" w:rsidRDefault="00E8381C" w:rsidP="0012788D">
      <w:pPr>
        <w:spacing w:line="480" w:lineRule="auto"/>
        <w:rPr>
          <w:iCs/>
        </w:rPr>
      </w:pPr>
    </w:p>
    <w:p w14:paraId="3509BA1A" w14:textId="77777777" w:rsidR="00E8381C" w:rsidRDefault="00E8381C" w:rsidP="0012788D">
      <w:pPr>
        <w:spacing w:line="480" w:lineRule="auto"/>
        <w:rPr>
          <w:iCs/>
        </w:rPr>
      </w:pPr>
    </w:p>
    <w:p w14:paraId="02EC7448" w14:textId="77F378A8" w:rsidR="003E230D" w:rsidRDefault="003E230D" w:rsidP="003E230D">
      <w:pPr>
        <w:spacing w:line="480" w:lineRule="auto"/>
      </w:pPr>
      <w:r>
        <w:rPr>
          <w:b/>
        </w:rPr>
        <w:t xml:space="preserve">Table S1: </w:t>
      </w:r>
      <w:r>
        <w:rPr>
          <w:b/>
        </w:rPr>
        <w:tab/>
      </w:r>
      <w:r>
        <w:t xml:space="preserve">The change point estimates for the seven pathogens that significantly decreased with increasing </w:t>
      </w:r>
      <w:proofErr w:type="spellStart"/>
      <w:r>
        <w:t>UBeeO</w:t>
      </w:r>
      <w:proofErr w:type="spellEnd"/>
      <w:r>
        <w:t xml:space="preserve"> scores in our study and others (Wagoner et al., 2021). Lower and upper describe the uncertainty around each estimate. The model structure indicates the assumed underlying data structure, either a change in slope (joined slope) or a shelf cutoff (two plateau). Count data were modeled on a Poisson distribution and log transformed virus load data were modeled using a </w:t>
      </w:r>
      <w:r w:rsidR="00521CB9">
        <w:t>Gaussian</w:t>
      </w:r>
      <w:r>
        <w:t xml:space="preserve"> distribution.</w:t>
      </w:r>
    </w:p>
    <w:tbl>
      <w:tblPr>
        <w:tblStyle w:val="a"/>
        <w:tblW w:w="9360" w:type="dxa"/>
        <w:tblLayout w:type="fixed"/>
        <w:tblLook w:val="04A0" w:firstRow="1" w:lastRow="0" w:firstColumn="1" w:lastColumn="0" w:noHBand="0" w:noVBand="1"/>
      </w:tblPr>
      <w:tblGrid>
        <w:gridCol w:w="1650"/>
        <w:gridCol w:w="1740"/>
        <w:gridCol w:w="945"/>
        <w:gridCol w:w="975"/>
        <w:gridCol w:w="2145"/>
        <w:gridCol w:w="1905"/>
      </w:tblGrid>
      <w:tr w:rsidR="003E230D" w14:paraId="6374E3BE" w14:textId="77777777" w:rsidTr="00F10DAC">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650" w:type="dxa"/>
            <w:tcBorders>
              <w:top w:val="single" w:sz="8" w:space="0" w:color="000000"/>
              <w:bottom w:val="single" w:sz="18" w:space="0" w:color="000000"/>
            </w:tcBorders>
          </w:tcPr>
          <w:p w14:paraId="44359232" w14:textId="77777777" w:rsidR="003E230D" w:rsidRDefault="003E230D" w:rsidP="00F10DAC">
            <w:pPr>
              <w:jc w:val="center"/>
              <w:rPr>
                <w:b/>
              </w:rPr>
            </w:pPr>
            <w:r>
              <w:rPr>
                <w:b/>
              </w:rPr>
              <w:t>Pathogen</w:t>
            </w:r>
          </w:p>
        </w:tc>
        <w:tc>
          <w:tcPr>
            <w:tcW w:w="1740" w:type="dxa"/>
            <w:tcBorders>
              <w:top w:val="single" w:sz="8" w:space="0" w:color="000000"/>
              <w:bottom w:val="single" w:sz="18" w:space="0" w:color="000000"/>
            </w:tcBorders>
          </w:tcPr>
          <w:p w14:paraId="5636702A" w14:textId="77777777" w:rsidR="003E230D" w:rsidRDefault="003E230D" w:rsidP="00F10DAC">
            <w:pPr>
              <w:jc w:val="center"/>
              <w:cnfStyle w:val="100000000000" w:firstRow="1" w:lastRow="0" w:firstColumn="0" w:lastColumn="0" w:oddVBand="0" w:evenVBand="0" w:oddHBand="0" w:evenHBand="0" w:firstRowFirstColumn="0" w:firstRowLastColumn="0" w:lastRowFirstColumn="0" w:lastRowLastColumn="0"/>
              <w:rPr>
                <w:b/>
              </w:rPr>
            </w:pPr>
            <w:r>
              <w:rPr>
                <w:b/>
              </w:rPr>
              <w:t>change point</w:t>
            </w:r>
          </w:p>
        </w:tc>
        <w:tc>
          <w:tcPr>
            <w:tcW w:w="945" w:type="dxa"/>
            <w:tcBorders>
              <w:top w:val="single" w:sz="8" w:space="0" w:color="000000"/>
              <w:bottom w:val="single" w:sz="18" w:space="0" w:color="000000"/>
            </w:tcBorders>
          </w:tcPr>
          <w:p w14:paraId="0179F09A" w14:textId="77777777" w:rsidR="003E230D" w:rsidRDefault="003E230D" w:rsidP="00F10DAC">
            <w:pPr>
              <w:jc w:val="center"/>
              <w:cnfStyle w:val="100000000000" w:firstRow="1" w:lastRow="0" w:firstColumn="0" w:lastColumn="0" w:oddVBand="0" w:evenVBand="0" w:oddHBand="0" w:evenHBand="0" w:firstRowFirstColumn="0" w:firstRowLastColumn="0" w:lastRowFirstColumn="0" w:lastRowLastColumn="0"/>
              <w:rPr>
                <w:b/>
              </w:rPr>
            </w:pPr>
            <w:r>
              <w:rPr>
                <w:b/>
              </w:rPr>
              <w:t>Lower</w:t>
            </w:r>
          </w:p>
        </w:tc>
        <w:tc>
          <w:tcPr>
            <w:tcW w:w="975" w:type="dxa"/>
            <w:tcBorders>
              <w:top w:val="single" w:sz="8" w:space="0" w:color="000000"/>
              <w:bottom w:val="single" w:sz="18" w:space="0" w:color="000000"/>
            </w:tcBorders>
          </w:tcPr>
          <w:p w14:paraId="3E0FE24B" w14:textId="77777777" w:rsidR="003E230D" w:rsidRDefault="003E230D" w:rsidP="00F10DAC">
            <w:pPr>
              <w:jc w:val="center"/>
              <w:cnfStyle w:val="100000000000" w:firstRow="1" w:lastRow="0" w:firstColumn="0" w:lastColumn="0" w:oddVBand="0" w:evenVBand="0" w:oddHBand="0" w:evenHBand="0" w:firstRowFirstColumn="0" w:firstRowLastColumn="0" w:lastRowFirstColumn="0" w:lastRowLastColumn="0"/>
              <w:rPr>
                <w:b/>
              </w:rPr>
            </w:pPr>
            <w:r>
              <w:rPr>
                <w:b/>
              </w:rPr>
              <w:t>Upper</w:t>
            </w:r>
          </w:p>
        </w:tc>
        <w:tc>
          <w:tcPr>
            <w:tcW w:w="2145" w:type="dxa"/>
            <w:tcBorders>
              <w:top w:val="single" w:sz="8" w:space="0" w:color="000000"/>
              <w:bottom w:val="single" w:sz="18" w:space="0" w:color="000000"/>
            </w:tcBorders>
          </w:tcPr>
          <w:p w14:paraId="02692062" w14:textId="77777777" w:rsidR="003E230D" w:rsidRDefault="003E230D" w:rsidP="00F10DAC">
            <w:pPr>
              <w:jc w:val="center"/>
              <w:cnfStyle w:val="100000000000" w:firstRow="1" w:lastRow="0" w:firstColumn="0" w:lastColumn="0" w:oddVBand="0" w:evenVBand="0" w:oddHBand="0" w:evenHBand="0" w:firstRowFirstColumn="0" w:firstRowLastColumn="0" w:lastRowFirstColumn="0" w:lastRowLastColumn="0"/>
              <w:rPr>
                <w:b/>
              </w:rPr>
            </w:pPr>
            <w:r>
              <w:rPr>
                <w:b/>
              </w:rPr>
              <w:t>Model Structure</w:t>
            </w:r>
          </w:p>
        </w:tc>
        <w:tc>
          <w:tcPr>
            <w:tcW w:w="1905" w:type="dxa"/>
            <w:tcBorders>
              <w:top w:val="single" w:sz="8" w:space="0" w:color="000000"/>
              <w:bottom w:val="single" w:sz="18" w:space="0" w:color="000000"/>
            </w:tcBorders>
          </w:tcPr>
          <w:p w14:paraId="160BF2F8" w14:textId="77777777" w:rsidR="003E230D" w:rsidRDefault="003E230D" w:rsidP="00F10DAC">
            <w:pPr>
              <w:jc w:val="center"/>
              <w:cnfStyle w:val="100000000000" w:firstRow="1" w:lastRow="0" w:firstColumn="0" w:lastColumn="0" w:oddVBand="0" w:evenVBand="0" w:oddHBand="0" w:evenHBand="0" w:firstRowFirstColumn="0" w:firstRowLastColumn="0" w:lastRowFirstColumn="0" w:lastRowLastColumn="0"/>
              <w:rPr>
                <w:b/>
              </w:rPr>
            </w:pPr>
            <w:r>
              <w:rPr>
                <w:b/>
              </w:rPr>
              <w:t>Distribution</w:t>
            </w:r>
          </w:p>
        </w:tc>
      </w:tr>
      <w:tr w:rsidR="003E230D" w14:paraId="1005E4C3" w14:textId="77777777" w:rsidTr="00F10DA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50" w:type="dxa"/>
            <w:tcBorders>
              <w:top w:val="single" w:sz="8" w:space="0" w:color="000000"/>
            </w:tcBorders>
          </w:tcPr>
          <w:p w14:paraId="1651E417" w14:textId="77777777" w:rsidR="003E230D" w:rsidRDefault="003E230D" w:rsidP="00F10DAC">
            <w:pPr>
              <w:jc w:val="center"/>
            </w:pPr>
            <w:proofErr w:type="spellStart"/>
            <w:r>
              <w:t>Vairimorpha</w:t>
            </w:r>
            <w:proofErr w:type="spellEnd"/>
          </w:p>
        </w:tc>
        <w:tc>
          <w:tcPr>
            <w:tcW w:w="1740" w:type="dxa"/>
            <w:tcBorders>
              <w:top w:val="single" w:sz="8" w:space="0" w:color="000000"/>
            </w:tcBorders>
          </w:tcPr>
          <w:p w14:paraId="5EA807B1"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69</w:t>
            </w:r>
          </w:p>
        </w:tc>
        <w:tc>
          <w:tcPr>
            <w:tcW w:w="945" w:type="dxa"/>
            <w:tcBorders>
              <w:top w:val="single" w:sz="8" w:space="0" w:color="000000"/>
            </w:tcBorders>
          </w:tcPr>
          <w:p w14:paraId="6F3BFA1F"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63</w:t>
            </w:r>
          </w:p>
        </w:tc>
        <w:tc>
          <w:tcPr>
            <w:tcW w:w="975" w:type="dxa"/>
            <w:tcBorders>
              <w:top w:val="single" w:sz="8" w:space="0" w:color="000000"/>
            </w:tcBorders>
          </w:tcPr>
          <w:p w14:paraId="6AF77BE2"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74</w:t>
            </w:r>
          </w:p>
        </w:tc>
        <w:tc>
          <w:tcPr>
            <w:tcW w:w="2145" w:type="dxa"/>
            <w:tcBorders>
              <w:top w:val="single" w:sz="8" w:space="0" w:color="000000"/>
            </w:tcBorders>
          </w:tcPr>
          <w:p w14:paraId="33587A46"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Two Plateau</w:t>
            </w:r>
          </w:p>
        </w:tc>
        <w:tc>
          <w:tcPr>
            <w:tcW w:w="1905" w:type="dxa"/>
            <w:tcBorders>
              <w:top w:val="single" w:sz="8" w:space="0" w:color="000000"/>
            </w:tcBorders>
          </w:tcPr>
          <w:p w14:paraId="64579BEE"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Poisson</w:t>
            </w:r>
          </w:p>
        </w:tc>
      </w:tr>
      <w:tr w:rsidR="003E230D" w14:paraId="4363A8CE" w14:textId="77777777" w:rsidTr="00F10DAC">
        <w:trPr>
          <w:trHeight w:val="320"/>
        </w:trPr>
        <w:tc>
          <w:tcPr>
            <w:cnfStyle w:val="001000000000" w:firstRow="0" w:lastRow="0" w:firstColumn="1" w:lastColumn="0" w:oddVBand="0" w:evenVBand="0" w:oddHBand="0" w:evenHBand="0" w:firstRowFirstColumn="0" w:firstRowLastColumn="0" w:lastRowFirstColumn="0" w:lastRowLastColumn="0"/>
            <w:tcW w:w="1650" w:type="dxa"/>
          </w:tcPr>
          <w:p w14:paraId="4D25C483" w14:textId="77777777" w:rsidR="003E230D" w:rsidRDefault="003E230D" w:rsidP="00F10DAC">
            <w:pPr>
              <w:jc w:val="center"/>
            </w:pPr>
            <w:r>
              <w:t>Chalk Brood</w:t>
            </w:r>
          </w:p>
        </w:tc>
        <w:tc>
          <w:tcPr>
            <w:tcW w:w="1740" w:type="dxa"/>
          </w:tcPr>
          <w:p w14:paraId="3CF0ADDB"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13</w:t>
            </w:r>
          </w:p>
        </w:tc>
        <w:tc>
          <w:tcPr>
            <w:tcW w:w="945" w:type="dxa"/>
          </w:tcPr>
          <w:p w14:paraId="784A8358"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13</w:t>
            </w:r>
          </w:p>
        </w:tc>
        <w:tc>
          <w:tcPr>
            <w:tcW w:w="975" w:type="dxa"/>
          </w:tcPr>
          <w:p w14:paraId="5D9DD089"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14</w:t>
            </w:r>
          </w:p>
        </w:tc>
        <w:tc>
          <w:tcPr>
            <w:tcW w:w="2145" w:type="dxa"/>
          </w:tcPr>
          <w:p w14:paraId="0A56047E"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Two Plateau</w:t>
            </w:r>
          </w:p>
        </w:tc>
        <w:tc>
          <w:tcPr>
            <w:tcW w:w="1905" w:type="dxa"/>
          </w:tcPr>
          <w:p w14:paraId="20F71EC1"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Poisson</w:t>
            </w:r>
          </w:p>
        </w:tc>
      </w:tr>
      <w:tr w:rsidR="003E230D" w14:paraId="609B411D" w14:textId="77777777" w:rsidTr="00F10DA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50" w:type="dxa"/>
          </w:tcPr>
          <w:p w14:paraId="614FC6BE" w14:textId="77777777" w:rsidR="003E230D" w:rsidRDefault="003E230D" w:rsidP="00F10DAC">
            <w:pPr>
              <w:jc w:val="center"/>
            </w:pPr>
            <w:r>
              <w:t>Varroa*</w:t>
            </w:r>
          </w:p>
        </w:tc>
        <w:tc>
          <w:tcPr>
            <w:tcW w:w="1740" w:type="dxa"/>
          </w:tcPr>
          <w:p w14:paraId="4C88540B"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52.84</w:t>
            </w:r>
          </w:p>
        </w:tc>
        <w:tc>
          <w:tcPr>
            <w:tcW w:w="945" w:type="dxa"/>
          </w:tcPr>
          <w:p w14:paraId="250D0EDA"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51.60</w:t>
            </w:r>
          </w:p>
        </w:tc>
        <w:tc>
          <w:tcPr>
            <w:tcW w:w="975" w:type="dxa"/>
          </w:tcPr>
          <w:p w14:paraId="00FF8768"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57</w:t>
            </w:r>
          </w:p>
        </w:tc>
        <w:tc>
          <w:tcPr>
            <w:tcW w:w="2145" w:type="dxa"/>
          </w:tcPr>
          <w:p w14:paraId="65FA5BD3"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Two Plateau</w:t>
            </w:r>
          </w:p>
        </w:tc>
        <w:tc>
          <w:tcPr>
            <w:tcW w:w="1905" w:type="dxa"/>
          </w:tcPr>
          <w:p w14:paraId="50A18C96"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Poisson</w:t>
            </w:r>
          </w:p>
        </w:tc>
      </w:tr>
      <w:tr w:rsidR="003E230D" w14:paraId="1FCCAE28" w14:textId="77777777" w:rsidTr="00F10DAC">
        <w:trPr>
          <w:trHeight w:val="320"/>
        </w:trPr>
        <w:tc>
          <w:tcPr>
            <w:cnfStyle w:val="001000000000" w:firstRow="0" w:lastRow="0" w:firstColumn="1" w:lastColumn="0" w:oddVBand="0" w:evenVBand="0" w:oddHBand="0" w:evenHBand="0" w:firstRowFirstColumn="0" w:firstRowLastColumn="0" w:lastRowFirstColumn="0" w:lastRowLastColumn="0"/>
            <w:tcW w:w="1650" w:type="dxa"/>
          </w:tcPr>
          <w:p w14:paraId="3F1DE195" w14:textId="77777777" w:rsidR="003E230D" w:rsidRDefault="003E230D" w:rsidP="00F10DAC">
            <w:pPr>
              <w:jc w:val="center"/>
            </w:pPr>
            <w:r>
              <w:t>DWV.A</w:t>
            </w:r>
          </w:p>
        </w:tc>
        <w:tc>
          <w:tcPr>
            <w:tcW w:w="1740" w:type="dxa"/>
          </w:tcPr>
          <w:p w14:paraId="7863E81E"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36.2</w:t>
            </w:r>
          </w:p>
        </w:tc>
        <w:tc>
          <w:tcPr>
            <w:tcW w:w="945" w:type="dxa"/>
          </w:tcPr>
          <w:p w14:paraId="2BCCC2AE"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32.7</w:t>
            </w:r>
          </w:p>
        </w:tc>
        <w:tc>
          <w:tcPr>
            <w:tcW w:w="975" w:type="dxa"/>
          </w:tcPr>
          <w:p w14:paraId="695569BF"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39.9</w:t>
            </w:r>
          </w:p>
        </w:tc>
        <w:tc>
          <w:tcPr>
            <w:tcW w:w="2145" w:type="dxa"/>
          </w:tcPr>
          <w:p w14:paraId="0CC6AABE"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Two Plateau</w:t>
            </w:r>
          </w:p>
        </w:tc>
        <w:tc>
          <w:tcPr>
            <w:tcW w:w="1905" w:type="dxa"/>
          </w:tcPr>
          <w:p w14:paraId="3C90F325"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Poisson</w:t>
            </w:r>
          </w:p>
        </w:tc>
      </w:tr>
      <w:tr w:rsidR="003E230D" w14:paraId="1F6C8165" w14:textId="77777777" w:rsidTr="00F10DA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50" w:type="dxa"/>
          </w:tcPr>
          <w:p w14:paraId="0A41F499" w14:textId="77777777" w:rsidR="003E230D" w:rsidRDefault="003E230D" w:rsidP="00F10DAC">
            <w:pPr>
              <w:jc w:val="center"/>
            </w:pPr>
            <w:r>
              <w:t>DWV.B</w:t>
            </w:r>
          </w:p>
        </w:tc>
        <w:tc>
          <w:tcPr>
            <w:tcW w:w="1740" w:type="dxa"/>
          </w:tcPr>
          <w:p w14:paraId="1F5150AD"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4.9</w:t>
            </w:r>
          </w:p>
        </w:tc>
        <w:tc>
          <w:tcPr>
            <w:tcW w:w="945" w:type="dxa"/>
          </w:tcPr>
          <w:p w14:paraId="0D90AE14"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0.19</w:t>
            </w:r>
          </w:p>
        </w:tc>
        <w:tc>
          <w:tcPr>
            <w:tcW w:w="975" w:type="dxa"/>
          </w:tcPr>
          <w:p w14:paraId="0272F5B5"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9.5</w:t>
            </w:r>
          </w:p>
        </w:tc>
        <w:tc>
          <w:tcPr>
            <w:tcW w:w="2145" w:type="dxa"/>
          </w:tcPr>
          <w:p w14:paraId="0F48DC53"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Two Plateau</w:t>
            </w:r>
          </w:p>
        </w:tc>
        <w:tc>
          <w:tcPr>
            <w:tcW w:w="1905" w:type="dxa"/>
          </w:tcPr>
          <w:p w14:paraId="79391F23"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Poisson</w:t>
            </w:r>
          </w:p>
        </w:tc>
      </w:tr>
      <w:tr w:rsidR="003E230D" w14:paraId="75038017" w14:textId="77777777" w:rsidTr="00F10DAC">
        <w:trPr>
          <w:trHeight w:val="320"/>
        </w:trPr>
        <w:tc>
          <w:tcPr>
            <w:cnfStyle w:val="001000000000" w:firstRow="0" w:lastRow="0" w:firstColumn="1" w:lastColumn="0" w:oddVBand="0" w:evenVBand="0" w:oddHBand="0" w:evenHBand="0" w:firstRowFirstColumn="0" w:firstRowLastColumn="0" w:lastRowFirstColumn="0" w:lastRowLastColumn="0"/>
            <w:tcW w:w="1650" w:type="dxa"/>
          </w:tcPr>
          <w:p w14:paraId="20ACC6F3" w14:textId="77777777" w:rsidR="003E230D" w:rsidRDefault="003E230D" w:rsidP="00F10DAC">
            <w:pPr>
              <w:jc w:val="center"/>
            </w:pPr>
            <w:r>
              <w:t>IAPV</w:t>
            </w:r>
          </w:p>
        </w:tc>
        <w:tc>
          <w:tcPr>
            <w:tcW w:w="1740" w:type="dxa"/>
          </w:tcPr>
          <w:p w14:paraId="1F592827"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19</w:t>
            </w:r>
          </w:p>
        </w:tc>
        <w:tc>
          <w:tcPr>
            <w:tcW w:w="945" w:type="dxa"/>
          </w:tcPr>
          <w:p w14:paraId="3A662BC5"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11</w:t>
            </w:r>
          </w:p>
        </w:tc>
        <w:tc>
          <w:tcPr>
            <w:tcW w:w="975" w:type="dxa"/>
          </w:tcPr>
          <w:p w14:paraId="7CAA08F8"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26</w:t>
            </w:r>
          </w:p>
        </w:tc>
        <w:tc>
          <w:tcPr>
            <w:tcW w:w="2145" w:type="dxa"/>
          </w:tcPr>
          <w:p w14:paraId="2226FB38"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Two Plateau</w:t>
            </w:r>
          </w:p>
        </w:tc>
        <w:tc>
          <w:tcPr>
            <w:tcW w:w="1905" w:type="dxa"/>
          </w:tcPr>
          <w:p w14:paraId="4C806730"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Poisson</w:t>
            </w:r>
          </w:p>
        </w:tc>
      </w:tr>
      <w:tr w:rsidR="003E230D" w14:paraId="38A48A10" w14:textId="77777777" w:rsidTr="00F10DA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50" w:type="dxa"/>
          </w:tcPr>
          <w:p w14:paraId="2255E286" w14:textId="77777777" w:rsidR="003E230D" w:rsidRDefault="003E230D" w:rsidP="00F10DAC">
            <w:pPr>
              <w:jc w:val="center"/>
            </w:pPr>
            <w:r>
              <w:t>LSV</w:t>
            </w:r>
          </w:p>
        </w:tc>
        <w:tc>
          <w:tcPr>
            <w:tcW w:w="1740" w:type="dxa"/>
          </w:tcPr>
          <w:p w14:paraId="53E0055F"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40</w:t>
            </w:r>
          </w:p>
        </w:tc>
        <w:tc>
          <w:tcPr>
            <w:tcW w:w="945" w:type="dxa"/>
          </w:tcPr>
          <w:p w14:paraId="543AED6B"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40</w:t>
            </w:r>
          </w:p>
        </w:tc>
        <w:tc>
          <w:tcPr>
            <w:tcW w:w="975" w:type="dxa"/>
          </w:tcPr>
          <w:p w14:paraId="73B30EE4"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40</w:t>
            </w:r>
          </w:p>
        </w:tc>
        <w:tc>
          <w:tcPr>
            <w:tcW w:w="2145" w:type="dxa"/>
          </w:tcPr>
          <w:p w14:paraId="374F25AF"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Two Plateau</w:t>
            </w:r>
          </w:p>
        </w:tc>
        <w:tc>
          <w:tcPr>
            <w:tcW w:w="1905" w:type="dxa"/>
          </w:tcPr>
          <w:p w14:paraId="726570C7"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Poisson</w:t>
            </w:r>
          </w:p>
        </w:tc>
      </w:tr>
      <w:tr w:rsidR="003E230D" w14:paraId="77634C0E" w14:textId="77777777" w:rsidTr="00F10DAC">
        <w:trPr>
          <w:trHeight w:val="320"/>
        </w:trPr>
        <w:tc>
          <w:tcPr>
            <w:cnfStyle w:val="001000000000" w:firstRow="0" w:lastRow="0" w:firstColumn="1" w:lastColumn="0" w:oddVBand="0" w:evenVBand="0" w:oddHBand="0" w:evenHBand="0" w:firstRowFirstColumn="0" w:firstRowLastColumn="0" w:lastRowFirstColumn="0" w:lastRowLastColumn="0"/>
            <w:tcW w:w="1650" w:type="dxa"/>
          </w:tcPr>
          <w:p w14:paraId="1B5166C0" w14:textId="77777777" w:rsidR="003E230D" w:rsidRDefault="003E230D" w:rsidP="00F10DAC">
            <w:pPr>
              <w:jc w:val="center"/>
            </w:pPr>
            <w:r>
              <w:t>DWV.A</w:t>
            </w:r>
          </w:p>
        </w:tc>
        <w:tc>
          <w:tcPr>
            <w:tcW w:w="1740" w:type="dxa"/>
          </w:tcPr>
          <w:p w14:paraId="1CDF8C8C"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56.443</w:t>
            </w:r>
          </w:p>
        </w:tc>
        <w:tc>
          <w:tcPr>
            <w:tcW w:w="945" w:type="dxa"/>
          </w:tcPr>
          <w:p w14:paraId="471FA48F"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8.106</w:t>
            </w:r>
          </w:p>
        </w:tc>
        <w:tc>
          <w:tcPr>
            <w:tcW w:w="975" w:type="dxa"/>
          </w:tcPr>
          <w:p w14:paraId="23F8E9A7"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99.908</w:t>
            </w:r>
          </w:p>
        </w:tc>
        <w:tc>
          <w:tcPr>
            <w:tcW w:w="2145" w:type="dxa"/>
          </w:tcPr>
          <w:p w14:paraId="1F286E22"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Joined Slope</w:t>
            </w:r>
          </w:p>
        </w:tc>
        <w:tc>
          <w:tcPr>
            <w:tcW w:w="1905" w:type="dxa"/>
          </w:tcPr>
          <w:p w14:paraId="6D15C63F"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Gaussian log</w:t>
            </w:r>
            <w:r>
              <w:rPr>
                <w:rFonts w:ascii="Calibri" w:eastAsia="Calibri" w:hAnsi="Calibri" w:cs="Calibri"/>
                <w:vertAlign w:val="subscript"/>
              </w:rPr>
              <w:t>10</w:t>
            </w:r>
            <w:r>
              <w:rPr>
                <w:rFonts w:ascii="Calibri" w:eastAsia="Calibri" w:hAnsi="Calibri" w:cs="Calibri"/>
              </w:rPr>
              <w:t>(x)</w:t>
            </w:r>
          </w:p>
        </w:tc>
      </w:tr>
      <w:tr w:rsidR="003E230D" w14:paraId="53DC83E2" w14:textId="77777777" w:rsidTr="00F10DA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50" w:type="dxa"/>
          </w:tcPr>
          <w:p w14:paraId="3769A7F4" w14:textId="77777777" w:rsidR="003E230D" w:rsidRDefault="003E230D" w:rsidP="00F10DAC">
            <w:pPr>
              <w:jc w:val="center"/>
            </w:pPr>
            <w:r>
              <w:t>DWV.B</w:t>
            </w:r>
          </w:p>
        </w:tc>
        <w:tc>
          <w:tcPr>
            <w:tcW w:w="1740" w:type="dxa"/>
          </w:tcPr>
          <w:p w14:paraId="6B5D00A6"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55.012</w:t>
            </w:r>
          </w:p>
        </w:tc>
        <w:tc>
          <w:tcPr>
            <w:tcW w:w="945" w:type="dxa"/>
          </w:tcPr>
          <w:p w14:paraId="69EEC54E"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3.501</w:t>
            </w:r>
          </w:p>
        </w:tc>
        <w:tc>
          <w:tcPr>
            <w:tcW w:w="975" w:type="dxa"/>
          </w:tcPr>
          <w:p w14:paraId="08143BD9"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100</w:t>
            </w:r>
          </w:p>
        </w:tc>
        <w:tc>
          <w:tcPr>
            <w:tcW w:w="2145" w:type="dxa"/>
          </w:tcPr>
          <w:p w14:paraId="0B48A6A3"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Joined Slope</w:t>
            </w:r>
          </w:p>
        </w:tc>
        <w:tc>
          <w:tcPr>
            <w:tcW w:w="1905" w:type="dxa"/>
          </w:tcPr>
          <w:p w14:paraId="7D2D7488"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Gaussian log</w:t>
            </w:r>
            <w:r>
              <w:rPr>
                <w:rFonts w:ascii="Calibri" w:eastAsia="Calibri" w:hAnsi="Calibri" w:cs="Calibri"/>
                <w:vertAlign w:val="subscript"/>
              </w:rPr>
              <w:t>10</w:t>
            </w:r>
            <w:r>
              <w:rPr>
                <w:rFonts w:ascii="Calibri" w:eastAsia="Calibri" w:hAnsi="Calibri" w:cs="Calibri"/>
              </w:rPr>
              <w:t>(x)</w:t>
            </w:r>
          </w:p>
        </w:tc>
      </w:tr>
      <w:tr w:rsidR="003E230D" w14:paraId="53D9BDF8" w14:textId="77777777" w:rsidTr="00F10DAC">
        <w:trPr>
          <w:trHeight w:val="320"/>
        </w:trPr>
        <w:tc>
          <w:tcPr>
            <w:cnfStyle w:val="001000000000" w:firstRow="0" w:lastRow="0" w:firstColumn="1" w:lastColumn="0" w:oddVBand="0" w:evenVBand="0" w:oddHBand="0" w:evenHBand="0" w:firstRowFirstColumn="0" w:firstRowLastColumn="0" w:lastRowFirstColumn="0" w:lastRowLastColumn="0"/>
            <w:tcW w:w="1650" w:type="dxa"/>
          </w:tcPr>
          <w:p w14:paraId="4DBC6651" w14:textId="77777777" w:rsidR="003E230D" w:rsidRDefault="003E230D" w:rsidP="00F10DAC">
            <w:pPr>
              <w:jc w:val="center"/>
            </w:pPr>
            <w:r>
              <w:t>IAPV</w:t>
            </w:r>
          </w:p>
        </w:tc>
        <w:tc>
          <w:tcPr>
            <w:tcW w:w="1740" w:type="dxa"/>
          </w:tcPr>
          <w:p w14:paraId="4FAE1CDF"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53.976</w:t>
            </w:r>
          </w:p>
        </w:tc>
        <w:tc>
          <w:tcPr>
            <w:tcW w:w="945" w:type="dxa"/>
          </w:tcPr>
          <w:p w14:paraId="659682FB"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2.303</w:t>
            </w:r>
          </w:p>
        </w:tc>
        <w:tc>
          <w:tcPr>
            <w:tcW w:w="975" w:type="dxa"/>
          </w:tcPr>
          <w:p w14:paraId="5A2BCD92"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97.015</w:t>
            </w:r>
          </w:p>
        </w:tc>
        <w:tc>
          <w:tcPr>
            <w:tcW w:w="2145" w:type="dxa"/>
          </w:tcPr>
          <w:p w14:paraId="5D7A3394"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Joined Slope</w:t>
            </w:r>
          </w:p>
        </w:tc>
        <w:tc>
          <w:tcPr>
            <w:tcW w:w="1905" w:type="dxa"/>
          </w:tcPr>
          <w:p w14:paraId="341990EE" w14:textId="77777777" w:rsidR="003E230D" w:rsidRDefault="003E230D" w:rsidP="00F10DA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Gaussian log</w:t>
            </w:r>
            <w:r>
              <w:rPr>
                <w:rFonts w:ascii="Calibri" w:eastAsia="Calibri" w:hAnsi="Calibri" w:cs="Calibri"/>
                <w:vertAlign w:val="subscript"/>
              </w:rPr>
              <w:t>10</w:t>
            </w:r>
            <w:r>
              <w:rPr>
                <w:rFonts w:ascii="Calibri" w:eastAsia="Calibri" w:hAnsi="Calibri" w:cs="Calibri"/>
              </w:rPr>
              <w:t>(x)</w:t>
            </w:r>
          </w:p>
        </w:tc>
      </w:tr>
      <w:tr w:rsidR="003E230D" w14:paraId="0E930FA4" w14:textId="77777777" w:rsidTr="00F10DA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650" w:type="dxa"/>
            <w:tcBorders>
              <w:bottom w:val="single" w:sz="8" w:space="0" w:color="000000"/>
            </w:tcBorders>
          </w:tcPr>
          <w:p w14:paraId="6359C62F" w14:textId="77777777" w:rsidR="003E230D" w:rsidRDefault="003E230D" w:rsidP="00F10DAC">
            <w:pPr>
              <w:jc w:val="center"/>
            </w:pPr>
            <w:r>
              <w:t>LSV</w:t>
            </w:r>
          </w:p>
        </w:tc>
        <w:tc>
          <w:tcPr>
            <w:tcW w:w="1740" w:type="dxa"/>
            <w:tcBorders>
              <w:bottom w:val="single" w:sz="8" w:space="0" w:color="000000"/>
            </w:tcBorders>
          </w:tcPr>
          <w:p w14:paraId="0614D2EB"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38.697</w:t>
            </w:r>
          </w:p>
        </w:tc>
        <w:tc>
          <w:tcPr>
            <w:tcW w:w="945" w:type="dxa"/>
            <w:tcBorders>
              <w:bottom w:val="single" w:sz="8" w:space="0" w:color="000000"/>
            </w:tcBorders>
          </w:tcPr>
          <w:p w14:paraId="67EC2CAD"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0.017</w:t>
            </w:r>
          </w:p>
        </w:tc>
        <w:tc>
          <w:tcPr>
            <w:tcW w:w="975" w:type="dxa"/>
            <w:tcBorders>
              <w:bottom w:val="single" w:sz="8" w:space="0" w:color="000000"/>
            </w:tcBorders>
          </w:tcPr>
          <w:p w14:paraId="6A7AE899"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93.938</w:t>
            </w:r>
          </w:p>
        </w:tc>
        <w:tc>
          <w:tcPr>
            <w:tcW w:w="2145" w:type="dxa"/>
            <w:tcBorders>
              <w:bottom w:val="single" w:sz="8" w:space="0" w:color="000000"/>
            </w:tcBorders>
          </w:tcPr>
          <w:p w14:paraId="083A2A2D"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Joined Slope</w:t>
            </w:r>
          </w:p>
        </w:tc>
        <w:tc>
          <w:tcPr>
            <w:tcW w:w="1905" w:type="dxa"/>
            <w:tcBorders>
              <w:bottom w:val="single" w:sz="8" w:space="0" w:color="000000"/>
            </w:tcBorders>
          </w:tcPr>
          <w:p w14:paraId="3A70A5BD" w14:textId="77777777" w:rsidR="003E230D" w:rsidRDefault="003E230D" w:rsidP="00F10DAC">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Gaussian log</w:t>
            </w:r>
            <w:r>
              <w:rPr>
                <w:rFonts w:ascii="Calibri" w:eastAsia="Calibri" w:hAnsi="Calibri" w:cs="Calibri"/>
                <w:vertAlign w:val="subscript"/>
              </w:rPr>
              <w:t>10</w:t>
            </w:r>
            <w:r>
              <w:rPr>
                <w:rFonts w:ascii="Calibri" w:eastAsia="Calibri" w:hAnsi="Calibri" w:cs="Calibri"/>
              </w:rPr>
              <w:t>(x)</w:t>
            </w:r>
          </w:p>
        </w:tc>
      </w:tr>
    </w:tbl>
    <w:p w14:paraId="3ACBC119" w14:textId="77777777" w:rsidR="003E230D" w:rsidRDefault="003E230D" w:rsidP="003E230D">
      <w:pPr>
        <w:spacing w:line="480" w:lineRule="auto"/>
        <w:rPr>
          <w:i/>
          <w:sz w:val="20"/>
          <w:szCs w:val="20"/>
        </w:rPr>
      </w:pPr>
      <w:r>
        <w:rPr>
          <w:i/>
          <w:sz w:val="20"/>
          <w:szCs w:val="20"/>
        </w:rPr>
        <w:t>* The varroa dataset used to derive these values was taken from Wagoner et. al., 2021.</w:t>
      </w:r>
    </w:p>
    <w:p w14:paraId="12960B18" w14:textId="77777777" w:rsidR="003E230D" w:rsidRDefault="003E230D" w:rsidP="0012788D">
      <w:pPr>
        <w:spacing w:line="480" w:lineRule="auto"/>
        <w:rPr>
          <w:iCs/>
        </w:rPr>
      </w:pPr>
    </w:p>
    <w:p w14:paraId="60B333AF" w14:textId="5537868D" w:rsidR="0012788D" w:rsidRDefault="003E230D" w:rsidP="0012788D">
      <w:pPr>
        <w:spacing w:line="480" w:lineRule="auto"/>
        <w:rPr>
          <w:iCs/>
        </w:rPr>
      </w:pPr>
      <w:r>
        <w:rPr>
          <w:iCs/>
          <w:noProof/>
        </w:rPr>
        <w:lastRenderedPageBreak/>
        <w:drawing>
          <wp:inline distT="0" distB="0" distL="0" distR="0" wp14:anchorId="4E31C2FC" wp14:editId="368E6F12">
            <wp:extent cx="5943600" cy="3838575"/>
            <wp:effectExtent l="0" t="0" r="0" b="0"/>
            <wp:docPr id="705997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97619" name="Picture 705997619"/>
                    <pic:cNvPicPr/>
                  </pic:nvPicPr>
                  <pic:blipFill>
                    <a:blip r:embed="rId5"/>
                    <a:stretch>
                      <a:fillRect/>
                    </a:stretch>
                  </pic:blipFill>
                  <pic:spPr>
                    <a:xfrm>
                      <a:off x="0" y="0"/>
                      <a:ext cx="5943600" cy="3838575"/>
                    </a:xfrm>
                    <a:prstGeom prst="rect">
                      <a:avLst/>
                    </a:prstGeom>
                  </pic:spPr>
                </pic:pic>
              </a:graphicData>
            </a:graphic>
          </wp:inline>
        </w:drawing>
      </w:r>
    </w:p>
    <w:p w14:paraId="43815166" w14:textId="2DA88CA3" w:rsidR="0012788D" w:rsidRDefault="0012788D" w:rsidP="0012788D">
      <w:pPr>
        <w:spacing w:line="480" w:lineRule="auto"/>
        <w:rPr>
          <w:iCs/>
        </w:rPr>
      </w:pPr>
      <w:r w:rsidRPr="003E230D">
        <w:rPr>
          <w:b/>
          <w:bCs/>
          <w:iCs/>
        </w:rPr>
        <w:t>Figure S1:</w:t>
      </w:r>
      <w:r w:rsidR="003E230D">
        <w:rPr>
          <w:iCs/>
        </w:rPr>
        <w:tab/>
      </w:r>
      <w:r w:rsidR="00E8381C">
        <w:rPr>
          <w:iCs/>
        </w:rPr>
        <w:t xml:space="preserve">Change point estimates for </w:t>
      </w:r>
      <w:r w:rsidR="00E8381C">
        <w:rPr>
          <w:iCs/>
        </w:rPr>
        <w:t>Chalkbrood</w:t>
      </w:r>
      <w:r w:rsidR="00E8381C">
        <w:rPr>
          <w:iCs/>
        </w:rPr>
        <w:t xml:space="preserve"> load (</w:t>
      </w:r>
      <w:r w:rsidR="00E8381C">
        <w:rPr>
          <w:iCs/>
        </w:rPr>
        <w:t>cells</w:t>
      </w:r>
      <w:r w:rsidR="00E8381C">
        <w:rPr>
          <w:iCs/>
        </w:rPr>
        <w:t xml:space="preserve"> per </w:t>
      </w:r>
      <w:r w:rsidR="00E8381C">
        <w:rPr>
          <w:iCs/>
        </w:rPr>
        <w:t>colony</w:t>
      </w:r>
      <w:r w:rsidR="00E8381C">
        <w:rPr>
          <w:iCs/>
        </w:rPr>
        <w:t xml:space="preserve">) plotted by </w:t>
      </w:r>
      <w:proofErr w:type="spellStart"/>
      <w:r w:rsidR="00E8381C">
        <w:rPr>
          <w:iCs/>
        </w:rPr>
        <w:t>UBeeO</w:t>
      </w:r>
      <w:proofErr w:type="spellEnd"/>
      <w:r w:rsidR="00E8381C">
        <w:rPr>
          <w:iCs/>
        </w:rPr>
        <w:t xml:space="preserve"> score utilizing a </w:t>
      </w:r>
      <w:proofErr w:type="gramStart"/>
      <w:r w:rsidR="00E8381C">
        <w:rPr>
          <w:iCs/>
        </w:rPr>
        <w:t>two plateau</w:t>
      </w:r>
      <w:proofErr w:type="gramEnd"/>
      <w:r w:rsidR="00E8381C">
        <w:rPr>
          <w:iCs/>
        </w:rPr>
        <w:t xml:space="preserve"> model and an underlying Poisson distribution. </w:t>
      </w:r>
      <w:r w:rsidR="00E8381C">
        <w:rPr>
          <w:iCs/>
        </w:rPr>
        <w:t>Grey segments represent test segments drawn from the model’s posterior distribution. The blue curve represents the posterior distribution itself.</w:t>
      </w:r>
    </w:p>
    <w:p w14:paraId="461BE7AB" w14:textId="77777777" w:rsidR="0012788D" w:rsidRDefault="0012788D" w:rsidP="0012788D">
      <w:pPr>
        <w:spacing w:line="480" w:lineRule="auto"/>
        <w:rPr>
          <w:iCs/>
        </w:rPr>
      </w:pPr>
    </w:p>
    <w:p w14:paraId="10BC2351" w14:textId="5E382F92" w:rsidR="003E230D" w:rsidRDefault="003E230D" w:rsidP="0012788D">
      <w:pPr>
        <w:spacing w:line="480" w:lineRule="auto"/>
        <w:rPr>
          <w:iCs/>
        </w:rPr>
      </w:pPr>
      <w:r>
        <w:rPr>
          <w:iCs/>
          <w:noProof/>
        </w:rPr>
        <w:lastRenderedPageBreak/>
        <w:drawing>
          <wp:inline distT="0" distB="0" distL="0" distR="0" wp14:anchorId="2C85CD21" wp14:editId="5919E6F7">
            <wp:extent cx="5943600" cy="3838575"/>
            <wp:effectExtent l="0" t="0" r="0" b="0"/>
            <wp:docPr id="1994668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68886" name="Picture 1994668886"/>
                    <pic:cNvPicPr/>
                  </pic:nvPicPr>
                  <pic:blipFill>
                    <a:blip r:embed="rId6"/>
                    <a:stretch>
                      <a:fillRect/>
                    </a:stretch>
                  </pic:blipFill>
                  <pic:spPr>
                    <a:xfrm>
                      <a:off x="0" y="0"/>
                      <a:ext cx="5943600" cy="3838575"/>
                    </a:xfrm>
                    <a:prstGeom prst="rect">
                      <a:avLst/>
                    </a:prstGeom>
                  </pic:spPr>
                </pic:pic>
              </a:graphicData>
            </a:graphic>
          </wp:inline>
        </w:drawing>
      </w:r>
    </w:p>
    <w:p w14:paraId="3D4C17A6" w14:textId="62EFC5DF" w:rsidR="0012788D" w:rsidRDefault="0012788D" w:rsidP="0012788D">
      <w:pPr>
        <w:spacing w:line="480" w:lineRule="auto"/>
        <w:rPr>
          <w:iCs/>
        </w:rPr>
      </w:pPr>
      <w:r w:rsidRPr="003E230D">
        <w:rPr>
          <w:b/>
          <w:bCs/>
          <w:iCs/>
        </w:rPr>
        <w:t>Figure S</w:t>
      </w:r>
      <w:r w:rsidRPr="003E230D">
        <w:rPr>
          <w:b/>
          <w:bCs/>
          <w:iCs/>
        </w:rPr>
        <w:t>2</w:t>
      </w:r>
      <w:r w:rsidRPr="003E230D">
        <w:rPr>
          <w:b/>
          <w:bCs/>
          <w:iCs/>
        </w:rPr>
        <w:t>:</w:t>
      </w:r>
      <w:r w:rsidR="003E230D">
        <w:rPr>
          <w:iCs/>
        </w:rPr>
        <w:tab/>
      </w:r>
      <w:r w:rsidR="00E8381C">
        <w:rPr>
          <w:iCs/>
        </w:rPr>
        <w:t xml:space="preserve">Change point estimates for </w:t>
      </w:r>
      <w:proofErr w:type="spellStart"/>
      <w:r w:rsidR="00E8381C" w:rsidRPr="00E8381C">
        <w:rPr>
          <w:i/>
        </w:rPr>
        <w:t>Va</w:t>
      </w:r>
      <w:r w:rsidR="00E8381C" w:rsidRPr="00E8381C">
        <w:rPr>
          <w:i/>
        </w:rPr>
        <w:t>irimorpha</w:t>
      </w:r>
      <w:proofErr w:type="spellEnd"/>
      <w:r w:rsidR="00E8381C" w:rsidRPr="00E8381C">
        <w:rPr>
          <w:i/>
        </w:rPr>
        <w:t xml:space="preserve"> </w:t>
      </w:r>
      <w:r w:rsidR="00E8381C">
        <w:rPr>
          <w:iCs/>
        </w:rPr>
        <w:t>load (</w:t>
      </w:r>
      <w:r w:rsidR="00E8381C">
        <w:rPr>
          <w:iCs/>
        </w:rPr>
        <w:t>spores</w:t>
      </w:r>
      <w:r w:rsidR="00E8381C">
        <w:rPr>
          <w:iCs/>
        </w:rPr>
        <w:t xml:space="preserve"> per </w:t>
      </w:r>
      <w:r w:rsidR="00E8381C">
        <w:rPr>
          <w:iCs/>
        </w:rPr>
        <w:t>bee</w:t>
      </w:r>
      <w:r w:rsidR="00E8381C">
        <w:rPr>
          <w:iCs/>
        </w:rPr>
        <w:t xml:space="preserve">) plotted by </w:t>
      </w:r>
      <w:proofErr w:type="spellStart"/>
      <w:r w:rsidR="00E8381C">
        <w:rPr>
          <w:iCs/>
        </w:rPr>
        <w:t>UBeeO</w:t>
      </w:r>
      <w:proofErr w:type="spellEnd"/>
      <w:r w:rsidR="00E8381C">
        <w:rPr>
          <w:iCs/>
        </w:rPr>
        <w:t xml:space="preserve"> score utilizing a </w:t>
      </w:r>
      <w:proofErr w:type="gramStart"/>
      <w:r w:rsidR="00E8381C">
        <w:rPr>
          <w:iCs/>
        </w:rPr>
        <w:t>two plateau</w:t>
      </w:r>
      <w:proofErr w:type="gramEnd"/>
      <w:r w:rsidR="00E8381C">
        <w:rPr>
          <w:iCs/>
        </w:rPr>
        <w:t xml:space="preserve"> model and an underlying Poisson distribution. Grey segments represent test segments drawn from the model’s posterior distribution. The blue curve represents the posterior distribution itself.</w:t>
      </w:r>
    </w:p>
    <w:p w14:paraId="55354BEF" w14:textId="77777777" w:rsidR="0012788D" w:rsidRDefault="0012788D" w:rsidP="0012788D">
      <w:pPr>
        <w:spacing w:line="480" w:lineRule="auto"/>
        <w:rPr>
          <w:iCs/>
        </w:rPr>
      </w:pPr>
    </w:p>
    <w:p w14:paraId="69669E4A" w14:textId="455E8D07" w:rsidR="003E230D" w:rsidRDefault="003E230D" w:rsidP="0012788D">
      <w:pPr>
        <w:spacing w:line="480" w:lineRule="auto"/>
        <w:rPr>
          <w:iCs/>
        </w:rPr>
      </w:pPr>
      <w:r>
        <w:rPr>
          <w:iCs/>
          <w:noProof/>
        </w:rPr>
        <w:lastRenderedPageBreak/>
        <w:drawing>
          <wp:inline distT="0" distB="0" distL="0" distR="0" wp14:anchorId="57551B56" wp14:editId="4F087DA4">
            <wp:extent cx="5943600" cy="4154805"/>
            <wp:effectExtent l="0" t="0" r="0" b="0"/>
            <wp:docPr id="7877409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40994" name="Picture 787740994"/>
                    <pic:cNvPicPr/>
                  </pic:nvPicPr>
                  <pic:blipFill>
                    <a:blip r:embed="rId7"/>
                    <a:stretch>
                      <a:fillRect/>
                    </a:stretch>
                  </pic:blipFill>
                  <pic:spPr>
                    <a:xfrm>
                      <a:off x="0" y="0"/>
                      <a:ext cx="5943600" cy="4154805"/>
                    </a:xfrm>
                    <a:prstGeom prst="rect">
                      <a:avLst/>
                    </a:prstGeom>
                  </pic:spPr>
                </pic:pic>
              </a:graphicData>
            </a:graphic>
          </wp:inline>
        </w:drawing>
      </w:r>
    </w:p>
    <w:p w14:paraId="159D636A" w14:textId="1996502D" w:rsidR="0012788D" w:rsidRDefault="0012788D" w:rsidP="0012788D">
      <w:pPr>
        <w:spacing w:line="480" w:lineRule="auto"/>
        <w:rPr>
          <w:iCs/>
        </w:rPr>
      </w:pPr>
      <w:r w:rsidRPr="003E230D">
        <w:rPr>
          <w:b/>
          <w:bCs/>
          <w:iCs/>
        </w:rPr>
        <w:t>Figure S</w:t>
      </w:r>
      <w:r w:rsidRPr="003E230D">
        <w:rPr>
          <w:b/>
          <w:bCs/>
          <w:iCs/>
        </w:rPr>
        <w:t>3</w:t>
      </w:r>
      <w:r w:rsidRPr="003E230D">
        <w:rPr>
          <w:b/>
          <w:bCs/>
          <w:iCs/>
        </w:rPr>
        <w:t>:</w:t>
      </w:r>
      <w:r w:rsidR="003E230D">
        <w:rPr>
          <w:iCs/>
        </w:rPr>
        <w:tab/>
      </w:r>
      <w:r w:rsidR="00E8381C">
        <w:rPr>
          <w:iCs/>
        </w:rPr>
        <w:t>Change point estimates for Varroa</w:t>
      </w:r>
      <w:r w:rsidR="00E8381C">
        <w:rPr>
          <w:iCs/>
        </w:rPr>
        <w:t xml:space="preserve"> load (</w:t>
      </w:r>
      <w:r w:rsidR="00E8381C">
        <w:rPr>
          <w:iCs/>
        </w:rPr>
        <w:t>mites</w:t>
      </w:r>
      <w:r w:rsidR="00E8381C">
        <w:rPr>
          <w:iCs/>
        </w:rPr>
        <w:t xml:space="preserve"> per </w:t>
      </w:r>
      <w:r w:rsidR="00E8381C">
        <w:rPr>
          <w:iCs/>
        </w:rPr>
        <w:t>100 bees</w:t>
      </w:r>
      <w:r w:rsidR="00E8381C">
        <w:rPr>
          <w:iCs/>
        </w:rPr>
        <w:t xml:space="preserve">) plotted by </w:t>
      </w:r>
      <w:proofErr w:type="spellStart"/>
      <w:r w:rsidR="00E8381C">
        <w:rPr>
          <w:iCs/>
        </w:rPr>
        <w:t>UBeeO</w:t>
      </w:r>
      <w:proofErr w:type="spellEnd"/>
      <w:r w:rsidR="00E8381C">
        <w:rPr>
          <w:iCs/>
        </w:rPr>
        <w:t xml:space="preserve"> score</w:t>
      </w:r>
      <w:r w:rsidR="00E8381C">
        <w:rPr>
          <w:iCs/>
        </w:rPr>
        <w:t xml:space="preserve"> utilizing a </w:t>
      </w:r>
      <w:proofErr w:type="gramStart"/>
      <w:r w:rsidR="00E8381C">
        <w:rPr>
          <w:iCs/>
        </w:rPr>
        <w:t>two plateau</w:t>
      </w:r>
      <w:proofErr w:type="gramEnd"/>
      <w:r w:rsidR="00E8381C">
        <w:rPr>
          <w:iCs/>
        </w:rPr>
        <w:t xml:space="preserve"> model and an underlying Poisson distribution</w:t>
      </w:r>
      <w:r w:rsidR="00E8381C">
        <w:rPr>
          <w:iCs/>
        </w:rPr>
        <w:t>. Grey segments represent test segments drawn from the model’s posterior distribution. The blue curve represents the posterior distribution itself.</w:t>
      </w:r>
    </w:p>
    <w:p w14:paraId="09298859" w14:textId="77777777" w:rsidR="0012788D" w:rsidRDefault="0012788D" w:rsidP="0012788D">
      <w:pPr>
        <w:spacing w:line="480" w:lineRule="auto"/>
        <w:rPr>
          <w:iCs/>
        </w:rPr>
      </w:pPr>
    </w:p>
    <w:p w14:paraId="3AEADD69" w14:textId="6F6F3C90" w:rsidR="003E230D" w:rsidRDefault="003E230D" w:rsidP="0012788D">
      <w:pPr>
        <w:spacing w:line="480" w:lineRule="auto"/>
        <w:rPr>
          <w:iCs/>
        </w:rPr>
      </w:pPr>
      <w:r>
        <w:rPr>
          <w:iCs/>
          <w:noProof/>
        </w:rPr>
        <w:lastRenderedPageBreak/>
        <w:drawing>
          <wp:inline distT="0" distB="0" distL="0" distR="0" wp14:anchorId="197340E6" wp14:editId="341B7281">
            <wp:extent cx="5943600" cy="4414520"/>
            <wp:effectExtent l="0" t="0" r="0" b="0"/>
            <wp:docPr id="3116899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89918" name="Picture 311689918"/>
                    <pic:cNvPicPr/>
                  </pic:nvPicPr>
                  <pic:blipFill>
                    <a:blip r:embed="rId8"/>
                    <a:stretch>
                      <a:fillRect/>
                    </a:stretch>
                  </pic:blipFill>
                  <pic:spPr>
                    <a:xfrm>
                      <a:off x="0" y="0"/>
                      <a:ext cx="5943600" cy="4414520"/>
                    </a:xfrm>
                    <a:prstGeom prst="rect">
                      <a:avLst/>
                    </a:prstGeom>
                  </pic:spPr>
                </pic:pic>
              </a:graphicData>
            </a:graphic>
          </wp:inline>
        </w:drawing>
      </w:r>
    </w:p>
    <w:p w14:paraId="0EFEE962" w14:textId="528E2D93" w:rsidR="003E230D" w:rsidRDefault="0012788D" w:rsidP="0012788D">
      <w:pPr>
        <w:spacing w:line="480" w:lineRule="auto"/>
        <w:rPr>
          <w:iCs/>
        </w:rPr>
      </w:pPr>
      <w:r w:rsidRPr="003E230D">
        <w:rPr>
          <w:b/>
          <w:bCs/>
          <w:iCs/>
        </w:rPr>
        <w:t>Figure S</w:t>
      </w:r>
      <w:r w:rsidRPr="003E230D">
        <w:rPr>
          <w:b/>
          <w:bCs/>
          <w:iCs/>
        </w:rPr>
        <w:t>4</w:t>
      </w:r>
      <w:r w:rsidRPr="003E230D">
        <w:rPr>
          <w:b/>
          <w:bCs/>
          <w:iCs/>
        </w:rPr>
        <w:t>:</w:t>
      </w:r>
      <w:r w:rsidR="003E230D">
        <w:rPr>
          <w:iCs/>
        </w:rPr>
        <w:tab/>
      </w:r>
      <w:r w:rsidR="00E8381C">
        <w:rPr>
          <w:iCs/>
        </w:rPr>
        <w:t xml:space="preserve">Change point estimates for </w:t>
      </w:r>
      <w:r w:rsidR="00E8381C">
        <w:rPr>
          <w:iCs/>
        </w:rPr>
        <w:t>virus load</w:t>
      </w:r>
      <w:r w:rsidR="00E8381C">
        <w:rPr>
          <w:iCs/>
        </w:rPr>
        <w:t xml:space="preserve"> plotted by </w:t>
      </w:r>
      <w:proofErr w:type="spellStart"/>
      <w:r w:rsidR="00E8381C">
        <w:rPr>
          <w:iCs/>
        </w:rPr>
        <w:t>UBeeO</w:t>
      </w:r>
      <w:proofErr w:type="spellEnd"/>
      <w:r w:rsidR="00E8381C">
        <w:rPr>
          <w:iCs/>
        </w:rPr>
        <w:t xml:space="preserve"> score</w:t>
      </w:r>
      <w:r w:rsidR="00E8381C">
        <w:rPr>
          <w:iCs/>
        </w:rPr>
        <w:t>.</w:t>
      </w:r>
      <w:r w:rsidR="00E8381C">
        <w:rPr>
          <w:iCs/>
        </w:rPr>
        <w:t xml:space="preserve"> </w:t>
      </w:r>
      <w:r w:rsidR="00E8381C">
        <w:rPr>
          <w:iCs/>
        </w:rPr>
        <w:t>Results represent</w:t>
      </w:r>
      <w:r w:rsidR="00E8381C">
        <w:rPr>
          <w:iCs/>
        </w:rPr>
        <w:t xml:space="preserve"> a </w:t>
      </w:r>
      <w:proofErr w:type="gramStart"/>
      <w:r w:rsidR="00E8381C">
        <w:rPr>
          <w:iCs/>
        </w:rPr>
        <w:t>two plateau</w:t>
      </w:r>
      <w:proofErr w:type="gramEnd"/>
      <w:r w:rsidR="00E8381C">
        <w:rPr>
          <w:iCs/>
        </w:rPr>
        <w:t xml:space="preserve"> model </w:t>
      </w:r>
      <w:r w:rsidR="00E8381C">
        <w:rPr>
          <w:iCs/>
        </w:rPr>
        <w:t>using</w:t>
      </w:r>
      <w:r w:rsidR="00E8381C">
        <w:rPr>
          <w:iCs/>
        </w:rPr>
        <w:t xml:space="preserve"> an underlying Poisson distribution</w:t>
      </w:r>
      <w:r w:rsidR="00E8381C">
        <w:rPr>
          <w:iCs/>
        </w:rPr>
        <w:t xml:space="preserve"> for </w:t>
      </w:r>
      <w:r w:rsidR="00E8381C" w:rsidRPr="00E8381C">
        <w:rPr>
          <w:b/>
          <w:bCs/>
          <w:iCs/>
        </w:rPr>
        <w:t>(A)</w:t>
      </w:r>
      <w:r w:rsidR="00E8381C">
        <w:rPr>
          <w:iCs/>
        </w:rPr>
        <w:t xml:space="preserve"> DWV.A, </w:t>
      </w:r>
      <w:r w:rsidR="00E8381C" w:rsidRPr="00E8381C">
        <w:rPr>
          <w:b/>
          <w:bCs/>
          <w:iCs/>
        </w:rPr>
        <w:t>(B)</w:t>
      </w:r>
      <w:r w:rsidR="00E8381C">
        <w:rPr>
          <w:iCs/>
        </w:rPr>
        <w:t xml:space="preserve"> DWV.B, </w:t>
      </w:r>
      <w:r w:rsidR="00E8381C" w:rsidRPr="00E8381C">
        <w:rPr>
          <w:b/>
          <w:bCs/>
          <w:iCs/>
        </w:rPr>
        <w:t>(C)</w:t>
      </w:r>
      <w:r w:rsidR="00E8381C">
        <w:rPr>
          <w:iCs/>
        </w:rPr>
        <w:t xml:space="preserve"> IAPV, and </w:t>
      </w:r>
      <w:r w:rsidR="00E8381C" w:rsidRPr="00E8381C">
        <w:rPr>
          <w:b/>
          <w:bCs/>
          <w:iCs/>
        </w:rPr>
        <w:t>(D)</w:t>
      </w:r>
      <w:r w:rsidR="00E8381C">
        <w:rPr>
          <w:iCs/>
        </w:rPr>
        <w:t xml:space="preserve"> LSV</w:t>
      </w:r>
      <w:r w:rsidR="00E8381C">
        <w:rPr>
          <w:iCs/>
        </w:rPr>
        <w:t>. Grey segments represent test segments drawn from the model’s posterior distribution. The blue curve represents the posterior distribution itself.</w:t>
      </w:r>
    </w:p>
    <w:p w14:paraId="00E0E529" w14:textId="48C248F6" w:rsidR="003E230D" w:rsidRDefault="003E230D" w:rsidP="0012788D">
      <w:pPr>
        <w:spacing w:line="480" w:lineRule="auto"/>
        <w:rPr>
          <w:iCs/>
        </w:rPr>
      </w:pPr>
      <w:r>
        <w:rPr>
          <w:iCs/>
          <w:noProof/>
        </w:rPr>
        <w:lastRenderedPageBreak/>
        <w:drawing>
          <wp:inline distT="0" distB="0" distL="0" distR="0" wp14:anchorId="6075D038" wp14:editId="2FEC5715">
            <wp:extent cx="5943600" cy="4414520"/>
            <wp:effectExtent l="0" t="0" r="0" b="0"/>
            <wp:docPr id="18237400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40048" name="Picture 1823740048"/>
                    <pic:cNvPicPr/>
                  </pic:nvPicPr>
                  <pic:blipFill>
                    <a:blip r:embed="rId9"/>
                    <a:stretch>
                      <a:fillRect/>
                    </a:stretch>
                  </pic:blipFill>
                  <pic:spPr>
                    <a:xfrm>
                      <a:off x="0" y="0"/>
                      <a:ext cx="5943600" cy="4414520"/>
                    </a:xfrm>
                    <a:prstGeom prst="rect">
                      <a:avLst/>
                    </a:prstGeom>
                  </pic:spPr>
                </pic:pic>
              </a:graphicData>
            </a:graphic>
          </wp:inline>
        </w:drawing>
      </w:r>
    </w:p>
    <w:p w14:paraId="7CA44D3D" w14:textId="2BC737AC" w:rsidR="00E8381C" w:rsidRDefault="003E230D" w:rsidP="00E8381C">
      <w:pPr>
        <w:spacing w:line="480" w:lineRule="auto"/>
        <w:rPr>
          <w:iCs/>
        </w:rPr>
      </w:pPr>
      <w:r w:rsidRPr="003E230D">
        <w:rPr>
          <w:b/>
          <w:bCs/>
          <w:iCs/>
        </w:rPr>
        <w:t>Figure S</w:t>
      </w:r>
      <w:r>
        <w:rPr>
          <w:b/>
          <w:bCs/>
          <w:iCs/>
        </w:rPr>
        <w:t>5</w:t>
      </w:r>
      <w:r w:rsidRPr="003E230D">
        <w:rPr>
          <w:b/>
          <w:bCs/>
          <w:iCs/>
        </w:rPr>
        <w:t>:</w:t>
      </w:r>
      <w:r>
        <w:rPr>
          <w:iCs/>
        </w:rPr>
        <w:tab/>
      </w:r>
      <w:r w:rsidR="00E8381C">
        <w:rPr>
          <w:iCs/>
        </w:rPr>
        <w:t xml:space="preserve">Change point estimates for virus load plotted by </w:t>
      </w:r>
      <w:proofErr w:type="spellStart"/>
      <w:r w:rsidR="00E8381C">
        <w:rPr>
          <w:iCs/>
        </w:rPr>
        <w:t>UBeeO</w:t>
      </w:r>
      <w:proofErr w:type="spellEnd"/>
      <w:r w:rsidR="00E8381C">
        <w:rPr>
          <w:iCs/>
        </w:rPr>
        <w:t xml:space="preserve"> score. Results represent a </w:t>
      </w:r>
      <w:r w:rsidR="00E8381C">
        <w:rPr>
          <w:iCs/>
        </w:rPr>
        <w:t>joined slope</w:t>
      </w:r>
      <w:r w:rsidR="00E8381C">
        <w:rPr>
          <w:iCs/>
        </w:rPr>
        <w:t xml:space="preserve"> model using an underlying </w:t>
      </w:r>
      <w:proofErr w:type="spellStart"/>
      <w:r w:rsidR="00E8381C">
        <w:rPr>
          <w:iCs/>
        </w:rPr>
        <w:t>Guassian</w:t>
      </w:r>
      <w:proofErr w:type="spellEnd"/>
      <w:r w:rsidR="00E8381C">
        <w:rPr>
          <w:iCs/>
        </w:rPr>
        <w:t xml:space="preserve"> distribution </w:t>
      </w:r>
      <w:r w:rsidR="00E8381C">
        <w:rPr>
          <w:iCs/>
        </w:rPr>
        <w:t xml:space="preserve">on log-transformed data </w:t>
      </w:r>
      <w:r w:rsidR="00E8381C">
        <w:rPr>
          <w:iCs/>
        </w:rPr>
        <w:t xml:space="preserve">for </w:t>
      </w:r>
      <w:r w:rsidR="00E8381C" w:rsidRPr="00E8381C">
        <w:rPr>
          <w:b/>
          <w:bCs/>
          <w:iCs/>
        </w:rPr>
        <w:t>(A)</w:t>
      </w:r>
      <w:r w:rsidR="00E8381C">
        <w:rPr>
          <w:iCs/>
        </w:rPr>
        <w:t xml:space="preserve"> DWV.A, </w:t>
      </w:r>
      <w:r w:rsidR="00E8381C" w:rsidRPr="00E8381C">
        <w:rPr>
          <w:b/>
          <w:bCs/>
          <w:iCs/>
        </w:rPr>
        <w:t>(B)</w:t>
      </w:r>
      <w:r w:rsidR="00E8381C">
        <w:rPr>
          <w:iCs/>
        </w:rPr>
        <w:t xml:space="preserve"> DWV.B, </w:t>
      </w:r>
      <w:r w:rsidR="00E8381C" w:rsidRPr="00E8381C">
        <w:rPr>
          <w:b/>
          <w:bCs/>
          <w:iCs/>
        </w:rPr>
        <w:t>(C)</w:t>
      </w:r>
      <w:r w:rsidR="00E8381C">
        <w:rPr>
          <w:iCs/>
        </w:rPr>
        <w:t xml:space="preserve"> IAPV, and </w:t>
      </w:r>
      <w:r w:rsidR="00E8381C" w:rsidRPr="00E8381C">
        <w:rPr>
          <w:b/>
          <w:bCs/>
          <w:iCs/>
        </w:rPr>
        <w:t>(D)</w:t>
      </w:r>
      <w:r w:rsidR="00E8381C">
        <w:rPr>
          <w:iCs/>
        </w:rPr>
        <w:t xml:space="preserve"> LSV. Grey segments represent test segments drawn from the model’s posterior distribution. The blue curve represents the posterior distribution itself.</w:t>
      </w:r>
    </w:p>
    <w:p w14:paraId="172F64C8" w14:textId="46341C17" w:rsidR="003E230D" w:rsidRDefault="003E230D" w:rsidP="003E230D">
      <w:pPr>
        <w:spacing w:line="480" w:lineRule="auto"/>
        <w:rPr>
          <w:iCs/>
        </w:rPr>
      </w:pPr>
    </w:p>
    <w:p w14:paraId="6AFC16EC" w14:textId="77777777" w:rsidR="0012788D" w:rsidRDefault="0012788D" w:rsidP="0012788D">
      <w:pPr>
        <w:spacing w:line="480" w:lineRule="auto"/>
        <w:rPr>
          <w:iCs/>
        </w:rPr>
      </w:pPr>
    </w:p>
    <w:p w14:paraId="628B6877" w14:textId="77777777" w:rsidR="0012788D" w:rsidRDefault="0012788D" w:rsidP="0012788D">
      <w:pPr>
        <w:spacing w:line="480" w:lineRule="auto"/>
        <w:rPr>
          <w:iCs/>
        </w:rPr>
      </w:pPr>
    </w:p>
    <w:p w14:paraId="69A6B046" w14:textId="77777777" w:rsidR="0012788D" w:rsidRDefault="0012788D" w:rsidP="0012788D">
      <w:pPr>
        <w:spacing w:line="480" w:lineRule="auto"/>
        <w:rPr>
          <w:iCs/>
        </w:rPr>
      </w:pPr>
    </w:p>
    <w:p w14:paraId="05418A8D" w14:textId="77777777" w:rsidR="0012788D" w:rsidRDefault="0012788D" w:rsidP="0012788D">
      <w:pPr>
        <w:spacing w:line="480" w:lineRule="auto"/>
        <w:rPr>
          <w:iCs/>
        </w:rPr>
      </w:pPr>
    </w:p>
    <w:p w14:paraId="6892443B" w14:textId="77777777" w:rsidR="0012788D" w:rsidRDefault="0012788D" w:rsidP="0012788D">
      <w:pPr>
        <w:spacing w:line="480" w:lineRule="auto"/>
        <w:rPr>
          <w:iCs/>
        </w:rPr>
      </w:pPr>
    </w:p>
    <w:p w14:paraId="7D342EE7" w14:textId="77777777" w:rsidR="0012788D" w:rsidRDefault="0012788D" w:rsidP="0012788D">
      <w:pPr>
        <w:spacing w:line="480" w:lineRule="auto"/>
        <w:rPr>
          <w:iCs/>
        </w:rPr>
      </w:pPr>
    </w:p>
    <w:p w14:paraId="304BF0A3" w14:textId="77777777" w:rsidR="0012788D" w:rsidRPr="0012788D" w:rsidRDefault="0012788D" w:rsidP="0012788D">
      <w:pPr>
        <w:spacing w:line="480" w:lineRule="auto"/>
        <w:rPr>
          <w:iCs/>
        </w:rPr>
      </w:pPr>
    </w:p>
    <w:p w14:paraId="7A251E3A" w14:textId="77777777" w:rsidR="00F532E5" w:rsidRDefault="00F532E5" w:rsidP="0012788D">
      <w:pPr>
        <w:spacing w:line="480" w:lineRule="auto"/>
        <w:jc w:val="center"/>
        <w:rPr>
          <w:i/>
          <w:sz w:val="36"/>
          <w:szCs w:val="36"/>
        </w:rPr>
      </w:pPr>
    </w:p>
    <w:p w14:paraId="0000004D" w14:textId="77777777" w:rsidR="00AD7503" w:rsidRDefault="00AD7503" w:rsidP="0012788D">
      <w:pPr>
        <w:spacing w:line="480" w:lineRule="auto"/>
      </w:pPr>
    </w:p>
    <w:p w14:paraId="278243D1" w14:textId="664388CE" w:rsidR="00F532E5" w:rsidRPr="00F532E5" w:rsidRDefault="00F532E5" w:rsidP="0012788D">
      <w:pPr>
        <w:spacing w:line="480" w:lineRule="auto"/>
        <w:rPr>
          <w:b/>
          <w:bCs/>
          <w:iCs/>
          <w:sz w:val="28"/>
          <w:szCs w:val="28"/>
        </w:rPr>
      </w:pPr>
      <w:r w:rsidRPr="00F532E5">
        <w:rPr>
          <w:b/>
          <w:bCs/>
          <w:iCs/>
          <w:sz w:val="28"/>
          <w:szCs w:val="28"/>
        </w:rPr>
        <w:t>R</w:t>
      </w:r>
      <w:r>
        <w:rPr>
          <w:b/>
          <w:bCs/>
          <w:iCs/>
          <w:sz w:val="28"/>
          <w:szCs w:val="28"/>
        </w:rPr>
        <w:t>EFERENCES</w:t>
      </w:r>
    </w:p>
    <w:p w14:paraId="7B07A44B" w14:textId="0EDD9C32" w:rsidR="00E8381C" w:rsidRPr="00E8381C" w:rsidRDefault="00E8381C" w:rsidP="00436E75">
      <w:pPr>
        <w:ind w:left="720" w:hanging="720"/>
        <w:rPr>
          <w:color w:val="000000" w:themeColor="text1"/>
        </w:rPr>
      </w:pPr>
      <w:r w:rsidRPr="00E8381C">
        <w:rPr>
          <w:color w:val="000000" w:themeColor="text1"/>
          <w:shd w:val="clear" w:color="auto" w:fill="FFFFFF"/>
        </w:rPr>
        <w:t>K</w:t>
      </w:r>
      <w:r>
        <w:rPr>
          <w:color w:val="000000" w:themeColor="text1"/>
          <w:shd w:val="clear" w:color="auto" w:fill="FFFFFF"/>
        </w:rPr>
        <w:t>.</w:t>
      </w:r>
      <w:r w:rsidRPr="00E8381C">
        <w:rPr>
          <w:color w:val="000000" w:themeColor="text1"/>
          <w:shd w:val="clear" w:color="auto" w:fill="FFFFFF"/>
        </w:rPr>
        <w:t xml:space="preserve"> Wagoner, J</w:t>
      </w:r>
      <w:r>
        <w:rPr>
          <w:color w:val="000000" w:themeColor="text1"/>
          <w:shd w:val="clear" w:color="auto" w:fill="FFFFFF"/>
        </w:rPr>
        <w:t>.</w:t>
      </w:r>
      <w:r w:rsidRPr="00E8381C">
        <w:rPr>
          <w:color w:val="000000" w:themeColor="text1"/>
          <w:shd w:val="clear" w:color="auto" w:fill="FFFFFF"/>
        </w:rPr>
        <w:t xml:space="preserve"> G</w:t>
      </w:r>
      <w:r>
        <w:rPr>
          <w:color w:val="000000" w:themeColor="text1"/>
          <w:shd w:val="clear" w:color="auto" w:fill="FFFFFF"/>
        </w:rPr>
        <w:t>.</w:t>
      </w:r>
      <w:r w:rsidRPr="00E8381C">
        <w:rPr>
          <w:color w:val="000000" w:themeColor="text1"/>
          <w:shd w:val="clear" w:color="auto" w:fill="FFFFFF"/>
        </w:rPr>
        <w:t xml:space="preserve"> Millar, J</w:t>
      </w:r>
      <w:r>
        <w:rPr>
          <w:color w:val="000000" w:themeColor="text1"/>
          <w:shd w:val="clear" w:color="auto" w:fill="FFFFFF"/>
        </w:rPr>
        <w:t xml:space="preserve">. </w:t>
      </w:r>
      <w:r w:rsidRPr="00E8381C">
        <w:rPr>
          <w:color w:val="000000" w:themeColor="text1"/>
          <w:shd w:val="clear" w:color="auto" w:fill="FFFFFF"/>
        </w:rPr>
        <w:t>Keller, J</w:t>
      </w:r>
      <w:r>
        <w:rPr>
          <w:color w:val="000000" w:themeColor="text1"/>
          <w:shd w:val="clear" w:color="auto" w:fill="FFFFFF"/>
        </w:rPr>
        <w:t>.</w:t>
      </w:r>
      <w:r w:rsidRPr="00E8381C">
        <w:rPr>
          <w:color w:val="000000" w:themeColor="text1"/>
          <w:shd w:val="clear" w:color="auto" w:fill="FFFFFF"/>
        </w:rPr>
        <w:t xml:space="preserve"> Bello, P</w:t>
      </w:r>
      <w:r>
        <w:rPr>
          <w:color w:val="000000" w:themeColor="text1"/>
          <w:shd w:val="clear" w:color="auto" w:fill="FFFFFF"/>
        </w:rPr>
        <w:t>.</w:t>
      </w:r>
      <w:r w:rsidRPr="00E8381C">
        <w:rPr>
          <w:color w:val="000000" w:themeColor="text1"/>
          <w:shd w:val="clear" w:color="auto" w:fill="FFFFFF"/>
        </w:rPr>
        <w:t xml:space="preserve"> </w:t>
      </w:r>
      <w:proofErr w:type="spellStart"/>
      <w:r w:rsidRPr="00E8381C">
        <w:rPr>
          <w:color w:val="000000" w:themeColor="text1"/>
          <w:shd w:val="clear" w:color="auto" w:fill="FFFFFF"/>
        </w:rPr>
        <w:t>Waiker</w:t>
      </w:r>
      <w:proofErr w:type="spellEnd"/>
      <w:r w:rsidRPr="00E8381C">
        <w:rPr>
          <w:color w:val="000000" w:themeColor="text1"/>
          <w:shd w:val="clear" w:color="auto" w:fill="FFFFFF"/>
        </w:rPr>
        <w:t>, C</w:t>
      </w:r>
      <w:r>
        <w:rPr>
          <w:color w:val="000000" w:themeColor="text1"/>
          <w:shd w:val="clear" w:color="auto" w:fill="FFFFFF"/>
        </w:rPr>
        <w:t>.</w:t>
      </w:r>
      <w:r w:rsidRPr="00E8381C">
        <w:rPr>
          <w:color w:val="000000" w:themeColor="text1"/>
          <w:shd w:val="clear" w:color="auto" w:fill="FFFFFF"/>
        </w:rPr>
        <w:t xml:space="preserve"> </w:t>
      </w:r>
      <w:proofErr w:type="spellStart"/>
      <w:r w:rsidRPr="00E8381C">
        <w:rPr>
          <w:color w:val="000000" w:themeColor="text1"/>
          <w:shd w:val="clear" w:color="auto" w:fill="FFFFFF"/>
        </w:rPr>
        <w:t>Schal</w:t>
      </w:r>
      <w:proofErr w:type="spellEnd"/>
      <w:r w:rsidRPr="00E8381C">
        <w:rPr>
          <w:color w:val="000000" w:themeColor="text1"/>
          <w:shd w:val="clear" w:color="auto" w:fill="FFFFFF"/>
        </w:rPr>
        <w:t>, M</w:t>
      </w:r>
      <w:r>
        <w:rPr>
          <w:color w:val="000000" w:themeColor="text1"/>
          <w:shd w:val="clear" w:color="auto" w:fill="FFFFFF"/>
        </w:rPr>
        <w:t>.</w:t>
      </w:r>
      <w:r w:rsidRPr="00E8381C">
        <w:rPr>
          <w:color w:val="000000" w:themeColor="text1"/>
          <w:shd w:val="clear" w:color="auto" w:fill="FFFFFF"/>
        </w:rPr>
        <w:t xml:space="preserve"> Spivak, O</w:t>
      </w:r>
      <w:r>
        <w:rPr>
          <w:color w:val="000000" w:themeColor="text1"/>
          <w:shd w:val="clear" w:color="auto" w:fill="FFFFFF"/>
        </w:rPr>
        <w:t>.</w:t>
      </w:r>
      <w:r w:rsidRPr="00E8381C">
        <w:rPr>
          <w:color w:val="000000" w:themeColor="text1"/>
          <w:shd w:val="clear" w:color="auto" w:fill="FFFFFF"/>
        </w:rPr>
        <w:t xml:space="preserve"> </w:t>
      </w:r>
      <w:proofErr w:type="spellStart"/>
      <w:r w:rsidRPr="00E8381C">
        <w:rPr>
          <w:color w:val="000000" w:themeColor="text1"/>
          <w:shd w:val="clear" w:color="auto" w:fill="FFFFFF"/>
        </w:rPr>
        <w:t>Rueppell</w:t>
      </w:r>
      <w:proofErr w:type="spellEnd"/>
      <w:r w:rsidRPr="00E8381C">
        <w:rPr>
          <w:color w:val="000000" w:themeColor="text1"/>
          <w:shd w:val="clear" w:color="auto" w:fill="FFFFFF"/>
        </w:rPr>
        <w:t xml:space="preserve">, Hygiene-Eliciting Brood </w:t>
      </w:r>
      <w:proofErr w:type="spellStart"/>
      <w:r w:rsidRPr="00E8381C">
        <w:rPr>
          <w:color w:val="000000" w:themeColor="text1"/>
          <w:shd w:val="clear" w:color="auto" w:fill="FFFFFF"/>
        </w:rPr>
        <w:t>Semiochemicals</w:t>
      </w:r>
      <w:proofErr w:type="spellEnd"/>
      <w:r w:rsidRPr="00E8381C">
        <w:rPr>
          <w:color w:val="000000" w:themeColor="text1"/>
          <w:shd w:val="clear" w:color="auto" w:fill="FFFFFF"/>
        </w:rPr>
        <w:t xml:space="preserve"> as a Tool for Assaying Honey Bee (Hymenoptera: Apidae) Colony Resistance to </w:t>
      </w:r>
      <w:r w:rsidRPr="00E8381C">
        <w:rPr>
          <w:i/>
          <w:iCs/>
          <w:color w:val="000000" w:themeColor="text1"/>
          <w:bdr w:val="none" w:sz="0" w:space="0" w:color="auto" w:frame="1"/>
          <w:shd w:val="clear" w:color="auto" w:fill="FFFFFF"/>
        </w:rPr>
        <w:t>Varroa</w:t>
      </w:r>
      <w:r w:rsidRPr="00E8381C">
        <w:rPr>
          <w:color w:val="000000" w:themeColor="text1"/>
          <w:shd w:val="clear" w:color="auto" w:fill="FFFFFF"/>
        </w:rPr>
        <w:t> (</w:t>
      </w:r>
      <w:proofErr w:type="spellStart"/>
      <w:r w:rsidRPr="00E8381C">
        <w:rPr>
          <w:color w:val="000000" w:themeColor="text1"/>
          <w:shd w:val="clear" w:color="auto" w:fill="FFFFFF"/>
        </w:rPr>
        <w:t>Mesostigmata</w:t>
      </w:r>
      <w:proofErr w:type="spellEnd"/>
      <w:r w:rsidRPr="00E8381C">
        <w:rPr>
          <w:color w:val="000000" w:themeColor="text1"/>
          <w:shd w:val="clear" w:color="auto" w:fill="FFFFFF"/>
        </w:rPr>
        <w:t xml:space="preserve">: </w:t>
      </w:r>
      <w:proofErr w:type="spellStart"/>
      <w:r w:rsidRPr="00E8381C">
        <w:rPr>
          <w:color w:val="000000" w:themeColor="text1"/>
          <w:shd w:val="clear" w:color="auto" w:fill="FFFFFF"/>
        </w:rPr>
        <w:t>Varroidae</w:t>
      </w:r>
      <w:proofErr w:type="spellEnd"/>
      <w:r w:rsidRPr="00E8381C">
        <w:rPr>
          <w:color w:val="000000" w:themeColor="text1"/>
          <w:shd w:val="clear" w:color="auto" w:fill="FFFFFF"/>
        </w:rPr>
        <w:t>), </w:t>
      </w:r>
      <w:r w:rsidRPr="00E8381C">
        <w:rPr>
          <w:i/>
          <w:iCs/>
          <w:color w:val="000000" w:themeColor="text1"/>
          <w:bdr w:val="none" w:sz="0" w:space="0" w:color="auto" w:frame="1"/>
          <w:shd w:val="clear" w:color="auto" w:fill="FFFFFF"/>
        </w:rPr>
        <w:t>Journal of Insect Science</w:t>
      </w:r>
      <w:r w:rsidRPr="00E8381C">
        <w:rPr>
          <w:color w:val="000000" w:themeColor="text1"/>
          <w:shd w:val="clear" w:color="auto" w:fill="FFFFFF"/>
        </w:rPr>
        <w:t>, Volume 21, Issue 6, November 2021, 4, </w:t>
      </w:r>
      <w:hyperlink r:id="rId10" w:history="1">
        <w:r w:rsidRPr="00E8381C">
          <w:rPr>
            <w:color w:val="000000" w:themeColor="text1"/>
            <w:u w:val="single"/>
            <w:bdr w:val="none" w:sz="0" w:space="0" w:color="auto" w:frame="1"/>
            <w:shd w:val="clear" w:color="auto" w:fill="FFFFFF"/>
          </w:rPr>
          <w:t>https://doi.org/10.1093/jisesa/ieab064</w:t>
        </w:r>
      </w:hyperlink>
    </w:p>
    <w:p w14:paraId="19B66F61" w14:textId="49E89778" w:rsidR="00F532E5" w:rsidRPr="00E8381C" w:rsidRDefault="00436E75" w:rsidP="00436E75">
      <w:pPr>
        <w:ind w:left="720" w:hanging="720"/>
        <w:rPr>
          <w:color w:val="000000" w:themeColor="text1"/>
        </w:rPr>
      </w:pPr>
      <w:proofErr w:type="spellStart"/>
      <w:r w:rsidRPr="00E8381C">
        <w:rPr>
          <w:color w:val="000000" w:themeColor="text1"/>
        </w:rPr>
        <w:t>Lindeløv</w:t>
      </w:r>
      <w:proofErr w:type="spellEnd"/>
      <w:r w:rsidRPr="00E8381C">
        <w:rPr>
          <w:color w:val="000000" w:themeColor="text1"/>
        </w:rPr>
        <w:t xml:space="preserve">, J. K. (2020). </w:t>
      </w:r>
      <w:proofErr w:type="spellStart"/>
      <w:r w:rsidRPr="00E8381C">
        <w:rPr>
          <w:color w:val="000000" w:themeColor="text1"/>
        </w:rPr>
        <w:t>mcp</w:t>
      </w:r>
      <w:proofErr w:type="spellEnd"/>
      <w:r w:rsidRPr="00E8381C">
        <w:rPr>
          <w:color w:val="000000" w:themeColor="text1"/>
        </w:rPr>
        <w:t xml:space="preserve">: An R Package for Fitting Bayesian Regression Models with Multiple Change Points. </w:t>
      </w:r>
      <w:r w:rsidRPr="00E8381C">
        <w:rPr>
          <w:rStyle w:val="Emphasis"/>
          <w:color w:val="000000" w:themeColor="text1"/>
        </w:rPr>
        <w:t xml:space="preserve">Journal of </w:t>
      </w:r>
      <w:proofErr w:type="gramStart"/>
      <w:r w:rsidRPr="00E8381C">
        <w:rPr>
          <w:rStyle w:val="Emphasis"/>
          <w:color w:val="000000" w:themeColor="text1"/>
        </w:rPr>
        <w:t>Open Source</w:t>
      </w:r>
      <w:proofErr w:type="gramEnd"/>
      <w:r w:rsidRPr="00E8381C">
        <w:rPr>
          <w:rStyle w:val="Emphasis"/>
          <w:color w:val="000000" w:themeColor="text1"/>
        </w:rPr>
        <w:t xml:space="preserve"> Software</w:t>
      </w:r>
      <w:r w:rsidRPr="00E8381C">
        <w:rPr>
          <w:color w:val="000000" w:themeColor="text1"/>
        </w:rPr>
        <w:t xml:space="preserve">, 5(51), 2913. </w:t>
      </w:r>
      <w:hyperlink r:id="rId11" w:history="1">
        <w:r w:rsidRPr="00E8381C">
          <w:rPr>
            <w:rStyle w:val="Hyperlink"/>
            <w:color w:val="000000" w:themeColor="text1"/>
          </w:rPr>
          <w:t>https://doi.org/10.21105/joss.02913</w:t>
        </w:r>
      </w:hyperlink>
    </w:p>
    <w:p w14:paraId="404881A5" w14:textId="2D0040A4" w:rsidR="00436E75" w:rsidRPr="00E8381C" w:rsidRDefault="00436E75" w:rsidP="00436E75">
      <w:pPr>
        <w:ind w:left="720" w:hanging="720"/>
        <w:rPr>
          <w:color w:val="000000" w:themeColor="text1"/>
        </w:rPr>
      </w:pPr>
      <w:r w:rsidRPr="00E8381C">
        <w:rPr>
          <w:color w:val="000000" w:themeColor="text1"/>
        </w:rPr>
        <w:t>R Core Team (2024). R: A Language and Environment for Statistical Computing. R</w:t>
      </w:r>
    </w:p>
    <w:p w14:paraId="0F99A718" w14:textId="4DCC5E84" w:rsidR="00436E75" w:rsidRPr="00E8381C" w:rsidRDefault="00436E75" w:rsidP="00436E75">
      <w:pPr>
        <w:ind w:left="720" w:hanging="720"/>
        <w:rPr>
          <w:color w:val="000000" w:themeColor="text1"/>
        </w:rPr>
      </w:pPr>
      <w:r w:rsidRPr="00E8381C">
        <w:rPr>
          <w:color w:val="000000" w:themeColor="text1"/>
        </w:rPr>
        <w:t xml:space="preserve">             </w:t>
      </w:r>
      <w:r w:rsidRPr="00E8381C">
        <w:rPr>
          <w:color w:val="000000" w:themeColor="text1"/>
        </w:rPr>
        <w:t>Foundation for Statistical Computing, Vienna, Austria.</w:t>
      </w:r>
      <w:r w:rsidRPr="00E8381C">
        <w:rPr>
          <w:color w:val="000000" w:themeColor="text1"/>
        </w:rPr>
        <w:t xml:space="preserve"> </w:t>
      </w:r>
      <w:r w:rsidRPr="00E8381C">
        <w:rPr>
          <w:color w:val="000000" w:themeColor="text1"/>
        </w:rPr>
        <w:t>https://www.R-project.org/.</w:t>
      </w:r>
    </w:p>
    <w:sectPr w:rsidR="00436E75" w:rsidRPr="00E8381C">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503"/>
    <w:rsid w:val="0012788D"/>
    <w:rsid w:val="002308D6"/>
    <w:rsid w:val="003E230D"/>
    <w:rsid w:val="00436E75"/>
    <w:rsid w:val="00521CB9"/>
    <w:rsid w:val="00AD7503"/>
    <w:rsid w:val="00E8381C"/>
    <w:rsid w:val="00F532E5"/>
    <w:rsid w:val="00FC5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AA04D"/>
  <w15:docId w15:val="{7774AD53-C5DD-314A-954B-77834DFEB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50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6D16C1"/>
    <w:pPr>
      <w:tabs>
        <w:tab w:val="center" w:pos="4680"/>
        <w:tab w:val="right" w:pos="9360"/>
      </w:tabs>
    </w:pPr>
  </w:style>
  <w:style w:type="character" w:customStyle="1" w:styleId="HeaderChar">
    <w:name w:val="Header Char"/>
    <w:basedOn w:val="DefaultParagraphFont"/>
    <w:link w:val="Header"/>
    <w:uiPriority w:val="99"/>
    <w:rsid w:val="006D16C1"/>
    <w:rPr>
      <w:rFonts w:ascii="Times New Roman" w:eastAsia="Times New Roman" w:hAnsi="Times New Roman" w:cs="Times New Roman"/>
    </w:rPr>
  </w:style>
  <w:style w:type="paragraph" w:styleId="Footer">
    <w:name w:val="footer"/>
    <w:basedOn w:val="Normal"/>
    <w:link w:val="FooterChar"/>
    <w:uiPriority w:val="99"/>
    <w:unhideWhenUsed/>
    <w:rsid w:val="006D16C1"/>
    <w:pPr>
      <w:tabs>
        <w:tab w:val="center" w:pos="4680"/>
        <w:tab w:val="right" w:pos="9360"/>
      </w:tabs>
    </w:pPr>
  </w:style>
  <w:style w:type="character" w:customStyle="1" w:styleId="FooterChar">
    <w:name w:val="Footer Char"/>
    <w:basedOn w:val="DefaultParagraphFont"/>
    <w:link w:val="Footer"/>
    <w:uiPriority w:val="99"/>
    <w:rsid w:val="006D16C1"/>
    <w:rPr>
      <w:rFonts w:ascii="Times New Roman" w:eastAsia="Times New Roman" w:hAnsi="Times New Roman" w:cs="Times New Roman"/>
    </w:rPr>
  </w:style>
  <w:style w:type="table" w:customStyle="1" w:styleId="GridTable1Light1">
    <w:name w:val="Grid Table 1 Light1"/>
    <w:basedOn w:val="TableNormal"/>
    <w:uiPriority w:val="46"/>
    <w:rsid w:val="00FF51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FF51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916FF5"/>
    <w:rPr>
      <w:color w:val="808080"/>
    </w:rPr>
  </w:style>
  <w:style w:type="character" w:styleId="LineNumber">
    <w:name w:val="line number"/>
    <w:basedOn w:val="DefaultParagraphFont"/>
    <w:uiPriority w:val="99"/>
    <w:semiHidden/>
    <w:unhideWhenUsed/>
    <w:rsid w:val="007C5249"/>
  </w:style>
  <w:style w:type="paragraph" w:styleId="ListParagraph">
    <w:name w:val="List Paragraph"/>
    <w:basedOn w:val="Normal"/>
    <w:uiPriority w:val="34"/>
    <w:qFormat/>
    <w:rsid w:val="0065071D"/>
    <w:pPr>
      <w:ind w:left="720"/>
      <w:contextualSpacing/>
    </w:pPr>
  </w:style>
  <w:style w:type="paragraph" w:styleId="Revision">
    <w:name w:val="Revision"/>
    <w:hidden/>
    <w:uiPriority w:val="99"/>
    <w:semiHidden/>
    <w:rsid w:val="003202AA"/>
  </w:style>
  <w:style w:type="character" w:styleId="CommentReference">
    <w:name w:val="annotation reference"/>
    <w:basedOn w:val="DefaultParagraphFont"/>
    <w:uiPriority w:val="99"/>
    <w:semiHidden/>
    <w:unhideWhenUsed/>
    <w:rsid w:val="007648CF"/>
    <w:rPr>
      <w:sz w:val="16"/>
      <w:szCs w:val="16"/>
    </w:rPr>
  </w:style>
  <w:style w:type="paragraph" w:styleId="CommentText">
    <w:name w:val="annotation text"/>
    <w:basedOn w:val="Normal"/>
    <w:link w:val="CommentTextChar"/>
    <w:uiPriority w:val="99"/>
    <w:semiHidden/>
    <w:unhideWhenUsed/>
    <w:rsid w:val="007648CF"/>
    <w:rPr>
      <w:sz w:val="20"/>
      <w:szCs w:val="20"/>
    </w:rPr>
  </w:style>
  <w:style w:type="character" w:customStyle="1" w:styleId="CommentTextChar">
    <w:name w:val="Comment Text Char"/>
    <w:basedOn w:val="DefaultParagraphFont"/>
    <w:link w:val="CommentText"/>
    <w:uiPriority w:val="99"/>
    <w:semiHidden/>
    <w:rsid w:val="007648C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648CF"/>
    <w:rPr>
      <w:b/>
      <w:bCs/>
    </w:rPr>
  </w:style>
  <w:style w:type="character" w:customStyle="1" w:styleId="CommentSubjectChar">
    <w:name w:val="Comment Subject Char"/>
    <w:basedOn w:val="CommentTextChar"/>
    <w:link w:val="CommentSubject"/>
    <w:uiPriority w:val="99"/>
    <w:semiHidden/>
    <w:rsid w:val="007648CF"/>
    <w:rPr>
      <w:rFonts w:ascii="Times New Roman" w:eastAsia="Times New Roman"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436E75"/>
    <w:pPr>
      <w:spacing w:before="100" w:beforeAutospacing="1" w:after="100" w:afterAutospacing="1"/>
    </w:pPr>
  </w:style>
  <w:style w:type="character" w:styleId="Emphasis">
    <w:name w:val="Emphasis"/>
    <w:basedOn w:val="DefaultParagraphFont"/>
    <w:uiPriority w:val="20"/>
    <w:qFormat/>
    <w:rsid w:val="00436E75"/>
    <w:rPr>
      <w:i/>
      <w:iCs/>
    </w:rPr>
  </w:style>
  <w:style w:type="character" w:styleId="Hyperlink">
    <w:name w:val="Hyperlink"/>
    <w:basedOn w:val="DefaultParagraphFont"/>
    <w:uiPriority w:val="99"/>
    <w:unhideWhenUsed/>
    <w:rsid w:val="00436E75"/>
    <w:rPr>
      <w:color w:val="0563C1" w:themeColor="hyperlink"/>
      <w:u w:val="single"/>
    </w:rPr>
  </w:style>
  <w:style w:type="character" w:styleId="UnresolvedMention">
    <w:name w:val="Unresolved Mention"/>
    <w:basedOn w:val="DefaultParagraphFont"/>
    <w:uiPriority w:val="99"/>
    <w:semiHidden/>
    <w:unhideWhenUsed/>
    <w:rsid w:val="00436E75"/>
    <w:rPr>
      <w:color w:val="605E5C"/>
      <w:shd w:val="clear" w:color="auto" w:fill="E1DFDD"/>
    </w:rPr>
  </w:style>
  <w:style w:type="paragraph" w:styleId="PlainText">
    <w:name w:val="Plain Text"/>
    <w:basedOn w:val="Normal"/>
    <w:link w:val="PlainTextChar"/>
    <w:uiPriority w:val="99"/>
    <w:unhideWhenUsed/>
    <w:rsid w:val="00E8381C"/>
    <w:rPr>
      <w:rFonts w:ascii="Consolas" w:eastAsiaTheme="minorHAnsi" w:hAnsi="Consolas" w:cs="Consolas"/>
      <w:kern w:val="2"/>
      <w:sz w:val="21"/>
      <w:szCs w:val="21"/>
      <w14:ligatures w14:val="standardContextual"/>
    </w:rPr>
  </w:style>
  <w:style w:type="character" w:customStyle="1" w:styleId="PlainTextChar">
    <w:name w:val="Plain Text Char"/>
    <w:basedOn w:val="DefaultParagraphFont"/>
    <w:link w:val="PlainText"/>
    <w:uiPriority w:val="99"/>
    <w:rsid w:val="00E8381C"/>
    <w:rPr>
      <w:rFonts w:ascii="Consolas" w:eastAsiaTheme="minorHAnsi" w:hAnsi="Consolas" w:cs="Consolas"/>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810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hyperlink" Target="https://doi.org/10.21105/joss.02913" TargetMode="External"/><Relationship Id="rId5" Type="http://schemas.openxmlformats.org/officeDocument/2006/relationships/image" Target="media/image1.emf"/><Relationship Id="rId10" Type="http://schemas.openxmlformats.org/officeDocument/2006/relationships/hyperlink" Target="https://doi.org/10.1093/jisesa/ieab064" TargetMode="Externa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OpD65KqxB6/2XKx+rgrBy+cUDQ==">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11</Pages>
  <Words>1374</Words>
  <Characters>7836</Characters>
  <Application>Microsoft Office Word</Application>
  <DocSecurity>0</DocSecurity>
  <Lines>65</Lines>
  <Paragraphs>18</Paragraphs>
  <ScaleCrop>false</ScaleCrop>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Phillip Burnham</dc:creator>
  <cp:lastModifiedBy>Phillip Burnham</cp:lastModifiedBy>
  <cp:revision>8</cp:revision>
  <dcterms:created xsi:type="dcterms:W3CDTF">2024-05-31T16:19:00Z</dcterms:created>
  <dcterms:modified xsi:type="dcterms:W3CDTF">2024-09-25T20:18:00Z</dcterms:modified>
</cp:coreProperties>
</file>