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19 la regulament</w:t>
      </w:r>
    </w:p>
    <w:p>
      <w:pPr>
        <w:jc w:val="center"/>
      </w:pPr>
      <w:r>
        <w:rPr>
          <w:b w:val="0"/>
          <w:i w:val="0"/>
        </w:rPr>
        <w:t>Foaia colectivă</w:t>
      </w:r>
    </w:p>
    <w:p>
      <w:pPr>
        <w:jc w:val="left"/>
      </w:pPr>
      <w:r>
        <w:rPr>
          <w:b w:val="0"/>
          <w:i w:val="0"/>
        </w:rPr>
        <w:t xml:space="preserve">Carte Funciară Colectivă Nr. </w:t>
      </w:r>
      <w:r>
        <w:rPr>
          <w:b w:val="0"/>
          <w:i w:val="0"/>
        </w:rPr>
        <w:t>{{NRCF_COLECTIVA|.......}}</w:t>
      </w:r>
      <w:r>
        <w:rPr>
          <w:b w:val="0"/>
          <w:i w:val="0"/>
        </w:rPr>
        <w:t xml:space="preserve">/UAT </w:t>
      </w:r>
      <w:r>
        <w:rPr>
          <w:b w:val="0"/>
          <w:i w:val="0"/>
        </w:rPr>
        <w:t>{{UAT|........}}</w:t>
      </w:r>
    </w:p>
    <w:p>
      <w:pPr>
        <w:jc w:val="left"/>
      </w:pPr>
      <w:r>
        <w:rPr>
          <w:b w:val="0"/>
          <w:i w:val="0"/>
        </w:rPr>
        <w:t>Descrierea condominiului</w:t>
      </w:r>
    </w:p>
    <w:p>
      <w:pPr>
        <w:jc w:val="left"/>
      </w:pPr>
      <w:r>
        <w:rPr>
          <w:b w:val="0"/>
          <w:i w:val="0"/>
        </w:rPr>
        <w:t xml:space="preserve">Adresa construcţiei: </w:t>
      </w:r>
      <w:r>
        <w:rPr>
          <w:b w:val="0"/>
          <w:i w:val="0"/>
        </w:rPr>
        <w:t>{{ADRESA|...........}}</w:t>
      </w:r>
    </w:p>
    <w:p>
      <w:pPr>
        <w:jc w:val="left"/>
      </w:pPr>
      <w:r>
        <w:rPr>
          <w:b w:val="0"/>
          <w:i w:val="0"/>
        </w:rPr>
        <w:t xml:space="preserve">Nr. cadastral: </w:t>
      </w:r>
      <w:r>
        <w:rPr>
          <w:b w:val="0"/>
          <w:i w:val="0"/>
        </w:rPr>
        <w:t>{{NRCAD|........}}</w:t>
      </w:r>
    </w:p>
    <w:p>
      <w:pPr>
        <w:jc w:val="left"/>
      </w:pPr>
      <w:r>
        <w:rPr>
          <w:b w:val="0"/>
          <w:i w:val="0"/>
        </w:rPr>
        <w:t xml:space="preserve">Suprafaţă teren: </w:t>
      </w:r>
      <w:r>
        <w:rPr>
          <w:b w:val="0"/>
          <w:i w:val="0"/>
        </w:rPr>
        <w:t>{{SMAS_MP|......}}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1"/>
        <w:gridCol w:w="687"/>
        <w:gridCol w:w="1123"/>
        <w:gridCol w:w="1623"/>
        <w:gridCol w:w="1747"/>
        <w:gridCol w:w="1248"/>
        <w:gridCol w:w="1248"/>
        <w:gridCol w:w="1373"/>
        <w:gridCol w:w="1498"/>
        <w:gridCol w:w="3495"/>
      </w:tblGrid>
      <w:tr>
        <w:tc>
          <w:tcPr>
            <w:tcW w:type="dxa" w:w="81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Nr. tronson</w:t>
            </w:r>
          </w:p>
        </w:tc>
        <w:tc>
          <w:tcPr>
            <w:tcW w:type="dxa" w:w="68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Scară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Nivel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Nr. apartament/ spațiu cu altă destinație</w:t>
            </w:r>
          </w:p>
        </w:tc>
        <w:tc>
          <w:tcPr>
            <w:tcW w:type="dxa" w:w="174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Cod Unitate individuală</w:t>
            </w:r>
            <w:r>
              <w:br/>
            </w:r>
            <w:r>
              <w:rPr>
                <w:b w:val="0"/>
                <w:i w:val="0"/>
                <w:sz w:val="16"/>
              </w:rPr>
              <w:t>(UI)*</w:t>
            </w:r>
          </w:p>
        </w:tc>
        <w:tc>
          <w:tcPr>
            <w:tcW w:type="dxa" w:w="124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Nr. CF individuală*</w:t>
            </w:r>
          </w:p>
        </w:tc>
        <w:tc>
          <w:tcPr>
            <w:tcW w:type="dxa" w:w="124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Suprafața utilă UI – Suap - (mp)</w:t>
            </w:r>
          </w:p>
        </w:tc>
        <w:tc>
          <w:tcPr>
            <w:tcW w:type="dxa" w:w="137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Cotă parte indiviză din părțile comune aferente UI</w:t>
            </w:r>
            <w:r>
              <w:br/>
            </w:r>
            <w:r>
              <w:rPr>
                <w:b w:val="0"/>
                <w:i w:val="0"/>
                <w:sz w:val="16"/>
              </w:rPr>
              <w:t>(Cpc)</w:t>
            </w:r>
          </w:p>
        </w:tc>
        <w:tc>
          <w:tcPr>
            <w:tcW w:type="dxa" w:w="149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Cotă parte teren aferent</w:t>
            </w:r>
            <w:r>
              <w:br/>
            </w:r>
            <w:r>
              <w:rPr>
                <w:b w:val="0"/>
                <w:i w:val="0"/>
                <w:sz w:val="16"/>
              </w:rPr>
              <w:t>UI</w:t>
            </w:r>
            <w:r>
              <w:br/>
            </w:r>
            <w:r>
              <w:rPr>
                <w:b w:val="0"/>
                <w:i w:val="0"/>
                <w:sz w:val="16"/>
              </w:rPr>
              <w:t>(Cpt)</w:t>
            </w:r>
          </w:p>
        </w:tc>
        <w:tc>
          <w:tcPr>
            <w:tcW w:type="dxa" w:w="349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Obs.</w:t>
            </w:r>
          </w:p>
        </w:tc>
      </w:tr>
      <w:tr>
        <w:tc>
          <w:tcPr>
            <w:tcW w:type="dxa" w:w="81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68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74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24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24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137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49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349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10</w:t>
            </w:r>
          </w:p>
        </w:tc>
      </w:tr>
      <w:tr>
        <w:tc>
          <w:tcPr>
            <w:tcW w:type="dxa" w:w="811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{{UI.TRONSON|}}</w:t>
            </w:r>
          </w:p>
        </w:tc>
        <w:tc>
          <w:tcPr>
            <w:tcW w:type="dxa" w:w="68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{{UI.SCARA|}}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{{UI.NIVEL|}}</w:t>
            </w:r>
          </w:p>
        </w:tc>
        <w:tc>
          <w:tcPr>
            <w:tcW w:type="dxa" w:w="16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{{UI.NRAP|}}</w:t>
            </w:r>
          </w:p>
        </w:tc>
        <w:tc>
          <w:tcPr>
            <w:tcW w:type="dxa" w:w="174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{{UI.COD|}}</w:t>
            </w:r>
          </w:p>
        </w:tc>
        <w:tc>
          <w:tcPr>
            <w:tcW w:type="dxa" w:w="124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{{UI.CF|}}</w:t>
            </w:r>
          </w:p>
        </w:tc>
        <w:tc>
          <w:tcPr>
            <w:tcW w:type="dxa" w:w="124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{{UI.SU|}}</w:t>
            </w:r>
          </w:p>
        </w:tc>
        <w:tc>
          <w:tcPr>
            <w:tcW w:type="dxa" w:w="137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{{UI.CPC|}}</w:t>
            </w:r>
          </w:p>
        </w:tc>
        <w:tc>
          <w:tcPr>
            <w:tcW w:type="dxa" w:w="149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{{UI.CPT|}}</w:t>
            </w:r>
          </w:p>
        </w:tc>
        <w:tc>
          <w:tcPr>
            <w:tcW w:type="dxa" w:w="349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{{UI.OBS|}}</w:t>
            </w:r>
          </w:p>
        </w:tc>
      </w:tr>
      <w:tr>
        <w:tc>
          <w:tcPr>
            <w:tcW w:type="dxa" w:w="7239"/>
            <w:gridSpan w:val="6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TOTAL</w:t>
            </w:r>
          </w:p>
        </w:tc>
        <w:tc>
          <w:tcPr>
            <w:tcW w:type="dxa" w:w="124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{{TOT_SU|}}</w:t>
            </w:r>
          </w:p>
        </w:tc>
        <w:tc>
          <w:tcPr>
            <w:tcW w:type="dxa" w:w="137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{{TOT_CPC|}}</w:t>
            </w:r>
          </w:p>
        </w:tc>
        <w:tc>
          <w:tcPr>
            <w:tcW w:type="dxa" w:w="149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{{TOT_CPT|}}</w:t>
            </w:r>
          </w:p>
        </w:tc>
        <w:tc>
          <w:tcPr>
            <w:tcW w:type="dxa" w:w="349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21"/>
            <w:gridSpan w:val="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Descriere părți comune indivize</w:t>
            </w:r>
          </w:p>
        </w:tc>
        <w:tc>
          <w:tcPr>
            <w:tcW w:type="dxa" w:w="12232"/>
            <w:gridSpan w:val="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{{PARTI_COMUNE|(Ex. intrare, casa scării, subsol tehnic, spălătorie, uscătorie, ghenă gunoi, pod, acoperiș, terenul construit și neconstruit, etc.)}}</w:t>
            </w:r>
          </w:p>
        </w:tc>
      </w:tr>
      <w:tr>
        <w:tc>
          <w:tcPr>
            <w:tcW w:type="dxa" w:w="7239"/>
            <w:gridSpan w:val="6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Întocmit</w:t>
            </w:r>
            <w:r>
              <w:br/>
            </w:r>
            <w:r>
              <w:rPr>
                <w:b w:val="0"/>
                <w:i w:val="0"/>
                <w:sz w:val="16"/>
              </w:rPr>
              <w:t>{{E_NUMEC|}}</w:t>
            </w:r>
            <w:r>
              <w:br/>
            </w:r>
            <w:r>
              <w:rPr>
                <w:b w:val="0"/>
                <w:i w:val="0"/>
                <w:sz w:val="16"/>
              </w:rPr>
              <w:t>(semnătură)</w:t>
            </w:r>
            <w:r>
              <w:br/>
            </w:r>
            <w:r>
              <w:rPr>
                <w:b w:val="0"/>
                <w:i w:val="0"/>
                <w:sz w:val="16"/>
              </w:rPr>
              <w:t xml:space="preserve">Data </w:t>
            </w:r>
            <w:r>
              <w:rPr>
                <w:b w:val="0"/>
                <w:i w:val="0"/>
                <w:sz w:val="16"/>
              </w:rPr>
              <w:t>{{DATA|...................}}</w:t>
            </w:r>
          </w:p>
        </w:tc>
        <w:tc>
          <w:tcPr>
            <w:tcW w:type="dxa" w:w="7614"/>
            <w:gridSpan w:val="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Recepționat</w:t>
            </w:r>
            <w:r>
              <w:br/>
            </w:r>
            <w:r>
              <w:rPr>
                <w:b w:val="0"/>
                <w:i w:val="0"/>
                <w:sz w:val="16"/>
              </w:rPr>
              <w:t>(semnătură)</w:t>
            </w:r>
          </w:p>
        </w:tc>
      </w:tr>
    </w:tbl>
    <w:p>
      <w:pPr>
        <w:spacing w:after="0"/>
      </w:pPr>
    </w:p>
    <w:p>
      <w:pPr>
        <w:jc w:val="left"/>
      </w:pPr>
      <w:r>
        <w:rPr>
          <w:b w:val="0"/>
          <w:i w:val="0"/>
          <w:sz w:val="18"/>
        </w:rPr>
        <w:t>NOTĂ:</w:t>
      </w:r>
    </w:p>
    <w:p>
      <w:pPr>
        <w:ind w:left="340"/>
        <w:jc w:val="left"/>
      </w:pPr>
      <w:r>
        <w:rPr>
          <w:b w:val="0"/>
          <w:i w:val="0"/>
        </w:rPr>
        <w:t>– * se completează de către inspector/registrator</w:t>
      </w:r>
    </w:p>
    <w:p>
      <w:pPr>
        <w:ind w:left="340"/>
        <w:jc w:val="both"/>
      </w:pPr>
      <w:r>
        <w:rPr>
          <w:b w:val="0"/>
          <w:i w:val="0"/>
        </w:rPr>
        <w:t>– în cazul în care cotele-părţi comune nu sunt înscrise în actele de proprietate, acestea se vor calcula pentru fiecare UI, astfel:</w:t>
      </w:r>
    </w:p>
    <w:p>
      <w:pPr>
        <w:ind w:left="340"/>
        <w:jc w:val="left"/>
      </w:pPr>
      <w:r>
        <w:rPr>
          <w:b w:val="0"/>
          <w:i w:val="0"/>
        </w:rPr>
        <w:t>● pentru construcţie:</w:t>
      </w:r>
    </w:p>
    <w:p>
      <w:pPr>
        <w:ind w:left="340"/>
        <w:jc w:val="left"/>
      </w:pPr>
      <w:r>
        <w:rPr>
          <w:b w:val="0"/>
          <w:i w:val="0"/>
        </w:rPr>
        <w:t>Cpc = Suap/Stuap, unde:</w:t>
      </w:r>
    </w:p>
    <w:p>
      <w:pPr>
        <w:ind w:left="340"/>
        <w:jc w:val="both"/>
      </w:pPr>
      <w:r>
        <w:rPr>
          <w:b w:val="0"/>
          <w:i w:val="0"/>
        </w:rPr>
        <w:t>Cpc - cota-parte indiviză de proprietate reprezintă raportul dintre suprafaţa utilă a apartamentului sau a spaţiului cu altă destinaţie decât aceea de locuinţă şi suma suprafeţelor utile ale tuturor apartamentelor şi spaţiilor cu altă destinaţie decât aceea de locuinţă din condominiu.</w:t>
      </w:r>
    </w:p>
    <w:p>
      <w:pPr>
        <w:ind w:left="340"/>
        <w:jc w:val="left"/>
      </w:pPr>
      <w:r>
        <w:rPr>
          <w:b w:val="0"/>
          <w:i w:val="0"/>
        </w:rPr>
        <w:t>Suap - suprafaţa utilă UI;</w:t>
      </w:r>
    </w:p>
    <w:p>
      <w:pPr>
        <w:ind w:left="340"/>
        <w:jc w:val="left"/>
      </w:pPr>
      <w:r>
        <w:rPr>
          <w:b w:val="0"/>
          <w:i w:val="0"/>
        </w:rPr>
        <w:t>Stuap - suma suprafeţelor utile ale tuturor UI</w:t>
      </w:r>
    </w:p>
    <w:p>
      <w:pPr>
        <w:ind w:left="340"/>
        <w:jc w:val="left"/>
      </w:pPr>
      <w:r>
        <w:rPr>
          <w:b w:val="0"/>
          <w:i w:val="0"/>
        </w:rPr>
        <w:t>● pentru teren:</w:t>
      </w:r>
    </w:p>
    <w:p>
      <w:pPr>
        <w:ind w:left="340"/>
        <w:jc w:val="left"/>
      </w:pPr>
      <w:r>
        <w:rPr>
          <w:b w:val="0"/>
          <w:i w:val="0"/>
        </w:rPr>
        <w:t>Cpt = Suap/Stuap x 100 (%) x St, unde:</w:t>
      </w:r>
    </w:p>
    <w:p>
      <w:pPr>
        <w:ind w:left="340"/>
        <w:jc w:val="left"/>
      </w:pPr>
      <w:r>
        <w:rPr>
          <w:b w:val="0"/>
          <w:i w:val="0"/>
        </w:rPr>
        <w:t>Cpt - cota parte teren aferent fiecărui UI</w:t>
      </w:r>
    </w:p>
    <w:p>
      <w:pPr>
        <w:ind w:left="340"/>
        <w:jc w:val="left"/>
      </w:pPr>
      <w:r>
        <w:rPr>
          <w:b w:val="0"/>
          <w:i w:val="0"/>
        </w:rPr>
        <w:t>St - suprafaţă totală de teren, aferent construcţiei;</w:t>
      </w:r>
    </w:p>
    <w:p>
      <w:pPr>
        <w:ind w:left="340"/>
        <w:jc w:val="both"/>
      </w:pPr>
      <w:r>
        <w:rPr>
          <w:b w:val="0"/>
          <w:i w:val="0"/>
        </w:rPr>
        <w:t>– procedura de calcul a cotelor părţi indivize, aferente UI are la bază prevederile Normelor metodologice privind organizarea şi funcţionarea asociaţiilor de proprietari aprobate prin Hotărârea Guvernului nr. 1.588/2007, cu modificările şi completările ulterioare;</w:t>
      </w:r>
    </w:p>
    <w:p>
      <w:pPr>
        <w:ind w:left="340"/>
        <w:jc w:val="both"/>
      </w:pPr>
      <w:r>
        <w:rPr>
          <w:b w:val="0"/>
          <w:i w:val="0"/>
        </w:rPr>
        <w:t>– suprafaţa utilă a apartamentului (Suap) este definită conform Legii nr. 114/1996, republicată, cu modificările şi completările ulterioare.</w:t>
      </w:r>
    </w:p>
    <w:sectPr w:rsidR="00FC693F" w:rsidRPr="0006063C" w:rsidSect="00034616">
      <w:pgSz w:w="16838" w:h="11906" w:orient="landscape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19 - Foaia colectiva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