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826ce6be0cddbf276472c4e3b3e05a22c2220d"/>
    <w:p>
      <w:pPr>
        <w:pStyle w:val="Heading1"/>
      </w:pPr>
      <w:r>
        <w:t xml:space="preserve">Taxa de timbru: ce am schimbat după mențiunile tale</w:t>
      </w:r>
    </w:p>
    <w:p>
      <w:pPr>
        <w:pStyle w:val="BlockText"/>
      </w:pPr>
      <w:r>
        <w:t xml:space="preserve">Răspuns punct cu punct la observațiile tale, ce a intrat în aplicație, ce a rămas și ce am nevoie</w:t>
      </w:r>
      <w:r>
        <w:t xml:space="preserve"> </w:t>
      </w:r>
      <w:r>
        <w:t xml:space="preserve">să confirmi. 6 august 2026.</w:t>
      </w:r>
    </w:p>
    <w:p>
      <w:r>
        <w:pict>
          <v:rect style="width:0;height:1.5pt" o:hralign="center" o:hrstd="t" o:hr="t"/>
        </w:pict>
      </w:r>
    </w:p>
    <w:bookmarkStart w:id="17" w:name="mențiunile-tale-una-câte-una"/>
    <w:p>
      <w:pPr>
        <w:pStyle w:val="Heading2"/>
      </w:pPr>
      <w:r>
        <w:t xml:space="preserve">1. Mențiunile tale, una câte una</w:t>
      </w:r>
    </w:p>
    <w:bookmarkStart w:id="9" w:name="ok-pe-determinarea-primăriei"/>
    <w:p>
      <w:pPr>
        <w:pStyle w:val="Heading3"/>
      </w:pPr>
      <w:r>
        <w:t xml:space="preserve">1.1. „OK” pe determinarea primăriei</w:t>
      </w:r>
    </w:p>
    <w:p>
      <w:pPr>
        <w:pStyle w:val="FirstParagraph"/>
      </w:pPr>
      <w:r>
        <w:t xml:space="preserve">Nimic schimbat. A rămas o limită: pentru creditorul fără sediu în România, taxa se plătește la</w:t>
      </w:r>
      <w:r>
        <w:t xml:space="preserve"> </w:t>
      </w:r>
      <w:r>
        <w:t xml:space="preserve">primăria de la sediul instanței, dar aplicația nu cunoaște localitatea sediului instanței, deci acolo</w:t>
      </w:r>
      <w:r>
        <w:t xml:space="preserve"> </w:t>
      </w:r>
      <w:r>
        <w:t xml:space="preserve">rămâne doar un text de îndrumare.</w:t>
      </w:r>
    </w:p>
    <w:bookmarkEnd w:id="9"/>
    <w:bookmarkStart w:id="10" w:name="X8dbe92bf3fc1815f3850fda99196ec4a6dfe386"/>
    <w:p>
      <w:pPr>
        <w:pStyle w:val="Heading3"/>
      </w:pPr>
      <w:r>
        <w:t xml:space="preserve">1.2. „Platforma îți dă link de plată imediat, deci cine completează și plătește. Oricum, destul de</w:t>
      </w:r>
    </w:p>
    <w:p>
      <w:pPr>
        <w:pStyle w:val="FirstParagraph"/>
      </w:pPr>
      <w:r>
        <w:t xml:space="preserve">des achită avocatul și refacturează.”</w:t>
      </w:r>
    </w:p>
    <w:p>
      <w:pPr>
        <w:pStyle w:val="BodyText"/>
      </w:pPr>
      <w:r>
        <w:t xml:space="preserve">Aveai dreptate, textul meu deducea greșit că plătitorul e reclamantul.</w:t>
      </w:r>
    </w:p>
    <w:p>
      <w:pPr>
        <w:pStyle w:val="BodyText"/>
      </w:pPr>
      <w:r>
        <w:t xml:space="preserve">Am scos alarma de la „pe dovadă apare alt plătitor”. La încărcarea dovezii există acum o bifă,</w:t>
      </w:r>
      <w:r>
        <w:t xml:space="preserve"> </w:t>
      </w:r>
      <w:r>
        <w:t xml:space="preserve">„plata a fost făcută în numele creditorului”, iar mesajul devine o simplă mențiune. Dacă în practică</w:t>
      </w:r>
      <w:r>
        <w:t xml:space="preserve"> </w:t>
      </w:r>
      <w:r>
        <w:t xml:space="preserve">plătește frecvent avocatul, alerta s-ar fi declanșat pe aproape fiecare dosar și ar fi încetat să fie</w:t>
      </w:r>
      <w:r>
        <w:t xml:space="preserve"> </w:t>
      </w:r>
      <w:r>
        <w:t xml:space="preserve">citită.</w:t>
      </w:r>
    </w:p>
    <w:bookmarkEnd w:id="10"/>
    <w:bookmarkStart w:id="11" w:name="X4e88cc6bea35efbf6f624a292d7c1679657bd1d"/>
    <w:p>
      <w:pPr>
        <w:pStyle w:val="Heading3"/>
      </w:pPr>
      <w:r>
        <w:t xml:space="preserve">1.3. „Dacă mergem pe plata prin registratură, documentul plății ajunge direct la dosar. Maxim</w:t>
      </w:r>
    </w:p>
    <w:p>
      <w:pPr>
        <w:pStyle w:val="FirstParagraph"/>
      </w:pPr>
      <w:r>
        <w:t xml:space="preserve">platforma ar trebui să obțină un OK că a fost achitată taxa.”</w:t>
      </w:r>
    </w:p>
    <w:p>
      <w:pPr>
        <w:pStyle w:val="BodyText"/>
      </w:pPr>
      <w:r>
        <w:t xml:space="preserve">Implementat, plus ceva ce decurgea din observație.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„Am achitat prin registratură”:</w:t>
      </w:r>
      <w:r>
        <w:t xml:space="preserve"> </w:t>
      </w:r>
      <w:r>
        <w:t xml:space="preserve">confirmi cu data și, dacă ai, referința. Fără fișier, fiindcă</w:t>
      </w:r>
      <w:r>
        <w:t xml:space="preserve"> </w:t>
      </w:r>
      <w:r>
        <w:t xml:space="preserve">portalul a trimis deja confirmarea instanței.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„Plătesc la depunere, prin registratură”:</w:t>
      </w:r>
      <w:r>
        <w:t xml:space="preserve"> </w:t>
      </w:r>
      <w:r>
        <w:t xml:space="preserve">aici e miezul. Registratura ia taxa și cererea în</w:t>
      </w:r>
      <w:r>
        <w:t xml:space="preserve"> </w:t>
      </w:r>
      <w:r>
        <w:t xml:space="preserve">același pas, deci plata se face</w:t>
      </w:r>
      <w:r>
        <w:t xml:space="preserve"> </w:t>
      </w:r>
      <w:r>
        <w:rPr>
          <w:b/>
          <w:bCs/>
        </w:rPr>
        <w:t xml:space="preserve">după</w:t>
      </w:r>
      <w:r>
        <w:t xml:space="preserve"> </w:t>
      </w:r>
      <w:r>
        <w:t xml:space="preserve">generarea pachetului. Până acum, ca să treci de poartă,</w:t>
      </w:r>
      <w:r>
        <w:t xml:space="preserve"> </w:t>
      </w:r>
      <w:r>
        <w:t xml:space="preserve">erai obligat să bifezi „îmi asum timbrarea la regularizare”, iar cererea afirma în fața instanței</w:t>
      </w:r>
      <w:r>
        <w:t xml:space="preserve"> </w:t>
      </w:r>
      <w:r>
        <w:t xml:space="preserve">că taxa urmează a fi achitată potrivit art. 33 alin. 2. O afirmație falsă, pe dosarul unui avocat</w:t>
      </w:r>
      <w:r>
        <w:t xml:space="preserve"> </w:t>
      </w:r>
      <w:r>
        <w:t xml:space="preserve">care plătea corect și anticipat.</w:t>
      </w:r>
    </w:p>
    <w:p>
      <w:pPr>
        <w:pStyle w:val="FirstParagraph"/>
      </w:pPr>
      <w:r>
        <w:t xml:space="preserve">Cererea are acum patru formulări despre taxă, nu două, și nu mai invocă o dovadă anexată decât dacă</w:t>
      </w:r>
      <w:r>
        <w:t xml:space="preserve"> </w:t>
      </w:r>
      <w:r>
        <w:t xml:space="preserve">dovada chiar e în pachet. Textele sunt la §3.1.</w:t>
      </w:r>
    </w:p>
    <w:p>
      <w:pPr>
        <w:pStyle w:val="BodyText"/>
      </w:pPr>
      <w:r>
        <w:rPr>
          <w:b/>
          <w:bCs/>
        </w:rPr>
        <w:t xml:space="preserve">Ce nu am făcut:</w:t>
      </w:r>
      <w:r>
        <w:t xml:space="preserve"> </w:t>
      </w:r>
      <w:r>
        <w:t xml:space="preserve">precompletarea formularului de pe registratură. Nu e chestiune de efort:</w:t>
      </w:r>
      <w:r>
        <w:t xml:space="preserve"> </w:t>
      </w:r>
      <w:r>
        <w:t xml:space="preserve">portalul e protejat cu Cloudflare și cere un antet de securitate imposibil de produs din afară, iar</w:t>
      </w:r>
      <w:r>
        <w:t xml:space="preserve"> </w:t>
      </w:r>
      <w:r>
        <w:t xml:space="preserve">niciun cod care rulează în browser nu poate încărca un fișier într-un formular de pe alt site. Peste</w:t>
      </w:r>
      <w:r>
        <w:t xml:space="preserve"> </w:t>
      </w:r>
      <w:r>
        <w:t xml:space="preserve">asta, ar fi automatizare pe un portal al CSM fără temei contractual.</w:t>
      </w:r>
    </w:p>
    <w:p>
      <w:pPr>
        <w:pStyle w:val="BodyText"/>
      </w:pPr>
      <w:r>
        <w:rPr>
          <w:b/>
          <w:bCs/>
        </w:rPr>
        <w:t xml:space="preserve">O corecție:</w:t>
      </w:r>
      <w:r>
        <w:t xml:space="preserve"> </w:t>
      </w:r>
      <w:r>
        <w:t xml:space="preserve">împuternicirea „pe care oricum o avem” nu exista în platformă. Acum există, §2.</w:t>
      </w:r>
    </w:p>
    <w:bookmarkEnd w:id="11"/>
    <w:bookmarkStart w:id="12" w:name="X7e8455108ec8002dbc7ad2ee9980cd3a2554898"/>
    <w:p>
      <w:pPr>
        <w:pStyle w:val="Heading3"/>
      </w:pPr>
      <w:r>
        <w:t xml:space="preserve">1.4. „Aș modifica în «Timbrez la alocarea numărului de dosar», caz în care platforma îi dă</w:t>
      </w:r>
    </w:p>
    <w:p>
      <w:pPr>
        <w:pStyle w:val="FirstParagraph"/>
      </w:pPr>
      <w:r>
        <w:t xml:space="preserve">notificări să achite.”</w:t>
      </w:r>
    </w:p>
    <w:p>
      <w:pPr>
        <w:pStyle w:val="BodyText"/>
      </w:pPr>
      <w:r>
        <w:t xml:space="preserve">Am luat ideea, am refuzat denumirea. Alocarea numărului are loc la înregistrarea cererii, iar</w:t>
      </w:r>
      <w:r>
        <w:t xml:space="preserve"> </w:t>
      </w:r>
      <w:r>
        <w:t xml:space="preserve">regularizarea e o etapă ulterioară; butonul ar fi promis ceva ce nu ține de instanță.</w:t>
      </w:r>
    </w:p>
    <w:p>
      <w:pPr>
        <w:pStyle w:val="BodyText"/>
      </w:pPr>
      <w:r>
        <w:t xml:space="preserve">Eticheta a devenit</w:t>
      </w:r>
      <w:r>
        <w:t xml:space="preserve"> </w:t>
      </w:r>
      <w:r>
        <w:rPr>
          <w:b/>
          <w:bCs/>
        </w:rPr>
        <w:t xml:space="preserve">„Depun acum, timbrez la cererea instanței”</w:t>
      </w:r>
      <w:r>
        <w:t xml:space="preserve">, iar partea valoroasă a propunerii,</w:t>
      </w:r>
      <w:r>
        <w:t xml:space="preserve"> </w:t>
      </w:r>
      <w:r>
        <w:t xml:space="preserve">declanșatorul, e implementată: mementourile pornesc de la depunere.</w:t>
      </w:r>
    </w:p>
    <w:p>
      <w:pPr>
        <w:pStyle w:val="BodyText"/>
      </w:pPr>
      <w:r>
        <w:t xml:space="preserve">Și am reparat cauza grijii tale. Ai spus că instanța poate comunica regularizarea la sediul</w:t>
      </w:r>
      <w:r>
        <w:t xml:space="preserve"> </w:t>
      </w:r>
      <w:r>
        <w:t xml:space="preserve">creditorului. Am verificat: mențiunea de domiciliu procedural ales exista în somație, dar</w:t>
      </w:r>
      <w:r>
        <w:t xml:space="preserve"> </w:t>
      </w:r>
      <w:r>
        <w:rPr>
          <w:b/>
          <w:bCs/>
        </w:rPr>
        <w:t xml:space="preserve">lipsea</w:t>
      </w:r>
      <w:r>
        <w:rPr>
          <w:b/>
          <w:bCs/>
        </w:rPr>
        <w:t xml:space="preserve"> </w:t>
      </w:r>
      <w:r>
        <w:rPr>
          <w:b/>
          <w:bCs/>
        </w:rPr>
        <w:t xml:space="preserve">din cererea de ordonanță de plată</w:t>
      </w:r>
      <w:r>
        <w:t xml:space="preserve">, adică din actul unde contează. Acum există, textul la §3.2.</w:t>
      </w:r>
    </w:p>
    <w:bookmarkEnd w:id="12"/>
    <w:bookmarkStart w:id="13" w:name="Xe2146ee9a4bdbf71bf49f99ac0f30c775d95084"/>
    <w:p>
      <w:pPr>
        <w:pStyle w:val="Heading3"/>
      </w:pPr>
      <w:r>
        <w:t xml:space="preserve">1.5. „Nu putem face un zip. Documentele se trimit doar pdf, fiecare cu semnătura electronică a</w:t>
      </w:r>
    </w:p>
    <w:p>
      <w:pPr>
        <w:pStyle w:val="FirstParagraph"/>
      </w:pPr>
      <w:r>
        <w:t xml:space="preserve">avocatului.”</w:t>
      </w:r>
    </w:p>
    <w:p>
      <w:pPr>
        <w:pStyle w:val="BodyText"/>
      </w:pPr>
      <w:r>
        <w:t xml:space="preserve">Cea mai valoroasă mențiune: îmi închide o întrebare pe care ți-o pusesem acum trei săptămâni.</w:t>
      </w:r>
    </w:p>
    <w:p>
      <w:pPr>
        <w:pStyle w:val="BodyText"/>
      </w:pPr>
      <w:r>
        <w:t xml:space="preserve">Pachetul pentru registratură rămâne pentru iterația următoare, fiindcă depinde de un răspuns al tău</w:t>
      </w:r>
      <w:r>
        <w:t xml:space="preserve"> </w:t>
      </w:r>
      <w:r>
        <w:t xml:space="preserve">(§4.1). Am reparat însă acum un defect conex: pachetul refuză să se construiască dacă un document</w:t>
      </w:r>
      <w:r>
        <w:t xml:space="preserve"> </w:t>
      </w:r>
      <w:r>
        <w:t xml:space="preserve">obligatoriu a dispărut din stocare. Până acum era omis în tăcere, deci putea pleca fără dovada plății</w:t>
      </w:r>
      <w:r>
        <w:t xml:space="preserve"> </w:t>
      </w:r>
      <w:r>
        <w:t xml:space="preserve">sau fără dovada comunicării somației, în timp ce cererea din același pachet le descria ca anexate.</w:t>
      </w:r>
    </w:p>
    <w:bookmarkEnd w:id="13"/>
    <w:bookmarkStart w:id="14" w:name="Xda989c717f31d5c8c23f971a64a037f0e7f2fa9"/>
    <w:p>
      <w:pPr>
        <w:pStyle w:val="Heading3"/>
      </w:pPr>
      <w:r>
        <w:t xml:space="preserve">1.6. „Păi ziceam că nu indicăm primăria și contul?”</w:t>
      </w:r>
    </w:p>
    <w:p>
      <w:pPr>
        <w:pStyle w:val="FirstParagraph"/>
      </w:pPr>
      <w:r>
        <w:t xml:space="preserve">Neînțelegere din felul în care scrisesem. Nu indicam</w:t>
      </w:r>
      <w:r>
        <w:t xml:space="preserve"> </w:t>
      </w:r>
      <w:r>
        <w:rPr>
          <w:b/>
          <w:bCs/>
        </w:rPr>
        <w:t xml:space="preserve">IBAN-ul</w:t>
      </w:r>
      <w:r>
        <w:t xml:space="preserve">. Aplicația arată primăria,</w:t>
      </w:r>
      <w:r>
        <w:t xml:space="preserve"> </w:t>
      </w:r>
      <w:r>
        <w:t xml:space="preserve">plătitorul și</w:t>
      </w:r>
      <w:r>
        <w:t xml:space="preserve"> </w:t>
      </w:r>
      <w:r>
        <w:rPr>
          <w:b/>
          <w:bCs/>
        </w:rPr>
        <w:t xml:space="preserve">denumirea</w:t>
      </w:r>
      <w:r>
        <w:t xml:space="preserve"> </w:t>
      </w:r>
      <w:r>
        <w:t xml:space="preserve">contului bugetar, niciodată un număr de cont. Am schimbat eticheta în</w:t>
      </w:r>
      <w:r>
        <w:t xml:space="preserve"> </w:t>
      </w:r>
      <w:r>
        <w:rPr>
          <w:b/>
          <w:bCs/>
        </w:rPr>
        <w:t xml:space="preserve">„În contul (denumire, nu IBAN)“</w:t>
      </w:r>
      <w:r>
        <w:t xml:space="preserve">.</w:t>
      </w:r>
    </w:p>
    <w:p>
      <w:pPr>
        <w:pStyle w:val="BodyText"/>
      </w:pPr>
      <w:r>
        <w:t xml:space="preserve">Contează mai mult decât pare: formularul de pe registratură cere județul și localitatea, iar de acolo</w:t>
      </w:r>
      <w:r>
        <w:t xml:space="preserve"> </w:t>
      </w:r>
      <w:r>
        <w:t xml:space="preserve">rezultă primăria care încasează taxa. Legat de asta, întrebarea de la §4.2 e cea mai importantă din</w:t>
      </w:r>
      <w:r>
        <w:t xml:space="preserve"> </w:t>
      </w:r>
      <w:r>
        <w:t xml:space="preserve">document.</w:t>
      </w:r>
    </w:p>
    <w:bookmarkEnd w:id="14"/>
    <w:bookmarkStart w:id="15" w:name="Xc6ed24ed1cf1789b0f7c793c3d671ceddad92c5"/>
    <w:p>
      <w:pPr>
        <w:pStyle w:val="Heading3"/>
      </w:pPr>
      <w:r>
        <w:t xml:space="preserve">1.7. „Plata pe rejust după ce avem număr de dosar.”</w:t>
      </w:r>
    </w:p>
    <w:p>
      <w:pPr>
        <w:pStyle w:val="FirstParagraph"/>
      </w:pPr>
      <w:r>
        <w:t xml:space="preserve">Parțial inexact. Portalul are două formulare: înregistrare dosar nou, unde taxa se plătește în chiar</w:t>
      </w:r>
      <w:r>
        <w:t xml:space="preserve"> </w:t>
      </w:r>
      <w:r>
        <w:t xml:space="preserve">acel formular, deci înainte de orice număr, și plata într-un dosar existent. Aplicația trimitea la</w:t>
      </w:r>
      <w:r>
        <w:t xml:space="preserve"> </w:t>
      </w:r>
      <w:r>
        <w:t xml:space="preserve">pagina principală când dosarul nu avea număr; acum duce direct la formularul corect.</w:t>
      </w:r>
    </w:p>
    <w:bookmarkEnd w:id="15"/>
    <w:bookmarkStart w:id="16" w:name="X642bc68af145bea35b47f4e9fc438557d52639c"/>
    <w:p>
      <w:pPr>
        <w:pStyle w:val="Heading3"/>
      </w:pPr>
      <w:r>
        <w:t xml:space="preserve">1.8. „Aș scoate pasul cu data înștiințării și l-aș viola cu e-mailuri.”</w:t>
      </w:r>
    </w:p>
    <w:p>
      <w:pPr>
        <w:pStyle w:val="FirstParagraph"/>
      </w:pPr>
      <w:r>
        <w:t xml:space="preserve">Am adăugat e-mailurile, nu am scos termenul.</w:t>
      </w:r>
    </w:p>
    <w:p>
      <w:pPr>
        <w:pStyle w:val="BodyText"/>
      </w:pPr>
      <w:r>
        <w:t xml:space="preserve">Mementourile pornesc de la depunere, sunt cel mult trei și le poți opri pe dosar dintr-un clic. Pe</w:t>
      </w:r>
      <w:r>
        <w:t xml:space="preserve"> </w:t>
      </w:r>
      <w:r>
        <w:t xml:space="preserve">fișă apare și un avertisment permanent cât timp cererea e depusă și taxa neachitată.</w:t>
      </w:r>
    </w:p>
    <w:p>
      <w:pPr>
        <w:pStyle w:val="BodyText"/>
      </w:pPr>
      <w:r>
        <w:t xml:space="preserve">Nu am scos termenul de 10 zile fiindcă insistența nu are efect juridic: dacă înștiințarea sosește și</w:t>
      </w:r>
      <w:r>
        <w:t xml:space="preserve"> </w:t>
      </w:r>
      <w:r>
        <w:t xml:space="preserve">taxa nu se plătește, în fața instanței contează ziua 10 de la comunicare. Cele două se acoperă</w:t>
      </w:r>
      <w:r>
        <w:t xml:space="preserve"> </w:t>
      </w:r>
      <w:r>
        <w:t xml:space="preserve">reciproc, iar dacă plătești la primul memento termenul nu se mai naște. Dacă rămâi pe poziție, e</w:t>
      </w:r>
      <w:r>
        <w:t xml:space="preserve"> </w:t>
      </w:r>
      <w:r>
        <w:t xml:space="preserve">decizia ta.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rei-lucruri-descoperite-pe-parcurs"/>
    <w:p>
      <w:pPr>
        <w:pStyle w:val="Heading2"/>
      </w:pPr>
      <w:r>
        <w:t xml:space="preserve">2. Trei lucruri descoperite pe parcurs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Împuternicirea avocațială nu exista ca tip de document.</w:t>
      </w:r>
      <w:r>
        <w:t xml:space="preserve"> </w:t>
      </w:r>
      <w:r>
        <w:t xml:space="preserve">O puteai încărca doar ca „alt</w:t>
      </w:r>
      <w:r>
        <w:t xml:space="preserve"> </w:t>
      </w:r>
      <w:r>
        <w:t xml:space="preserve">document”, deci nu intra în opis și nu îi puteam semnala lipsa. Acum are tip propriu, intră în opis</w:t>
      </w:r>
      <w:r>
        <w:t xml:space="preserve"> </w:t>
      </w:r>
      <w:r>
        <w:t xml:space="preserve">și în pachet, iar la generarea cererii apare un avertisment dacă lipsește. Avertisment, nu blocaj.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Numărul din Tabloul Baroului nu se putea completa nicăieri.</w:t>
      </w:r>
      <w:r>
        <w:t xml:space="preserve"> </w:t>
      </w:r>
      <w:r>
        <w:t xml:space="preserve">Era tipărit pe somație, pe cerere</w:t>
      </w:r>
      <w:r>
        <w:t xml:space="preserve"> </w:t>
      </w:r>
      <w:r>
        <w:t xml:space="preserve">și pe opis, dar niciun ecran nu îl scria, deci în practică nu apărea. Acum se completează din</w:t>
      </w:r>
      <w:r>
        <w:t xml:space="preserve"> </w:t>
      </w:r>
      <w:r>
        <w:t xml:space="preserve">profil.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Documentele purtau datele avocatului conectat, nu ale celui din dosar.</w:t>
      </w:r>
      <w:r>
        <w:t xml:space="preserve"> </w:t>
      </w:r>
      <w:r>
        <w:t xml:space="preserve">Reparat.</w:t>
      </w:r>
    </w:p>
    <w:p>
      <w:r>
        <w:pict>
          <v:rect style="width:0;height:1.5pt" o:hralign="center" o:hrstd="t" o:hr="t"/>
        </w:pict>
      </w:r>
    </w:p>
    <w:bookmarkEnd w:id="18"/>
    <w:bookmarkStart w:id="22" w:name="texte-care-ajung-la-judecător"/>
    <w:p>
      <w:pPr>
        <w:pStyle w:val="Heading2"/>
      </w:pPr>
      <w:r>
        <w:t xml:space="preserve">3. Texte care ajung la judecător</w:t>
      </w:r>
    </w:p>
    <w:p>
      <w:pPr>
        <w:pStyle w:val="FirstParagraph"/>
      </w:pPr>
      <w:r>
        <w:t xml:space="preserve">Sunt deja în aplicație ca să le poți vedea, dar sunt formulări de lucru.</w:t>
      </w:r>
    </w:p>
    <w:bookmarkStart w:id="19" w:name="taxa-în-petitum"/>
    <w:p>
      <w:pPr>
        <w:pStyle w:val="Heading3"/>
      </w:pPr>
      <w:r>
        <w:t xml:space="preserve">3.1. Taxa în petitum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Situația</w:t>
            </w:r>
          </w:p>
        </w:tc>
        <w:tc>
          <w:tcPr/>
          <w:p>
            <w:pPr>
              <w:pStyle w:val="Compact"/>
            </w:pPr>
            <w:r>
              <w:t xml:space="preserve">Textul propus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Dovada e în pachet</w:t>
            </w:r>
          </w:p>
        </w:tc>
        <w:tc>
          <w:tcPr/>
          <w:p>
            <w:pPr>
              <w:pStyle w:val="Compact"/>
            </w:pPr>
            <w:r>
              <w:t xml:space="preserve">„achitată conform dovezii anexate”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Achitată prin registratură, fără fișier</w:t>
            </w:r>
          </w:p>
        </w:tc>
        <w:tc>
          <w:tcPr/>
          <w:p>
            <w:pPr>
              <w:pStyle w:val="Compact"/>
            </w:pPr>
            <w:r>
              <w:t xml:space="preserve">„achitată prin registratura electronică a instanțelor, confirmarea plății fiind transmisă instanței pe această cale”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achită odată cu depunerea</w:t>
            </w:r>
          </w:p>
        </w:tc>
        <w:tc>
          <w:tcPr/>
          <w:p>
            <w:pPr>
              <w:pStyle w:val="Compact"/>
            </w:pPr>
            <w:r>
              <w:t xml:space="preserve">„care se achită odată cu înregistrarea prezentei cereri, prin registratura electronică a instanțelor”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Amânată la regularizare</w:t>
            </w:r>
          </w:p>
        </w:tc>
        <w:tc>
          <w:tcPr/>
          <w:p>
            <w:pPr>
              <w:pStyle w:val="Compact"/>
            </w:pPr>
            <w:r>
              <w:t xml:space="preserve">neschimbat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Formularea a doua e corectă procedural, dat fiind că instanța primește confirmarea pe canalul</w:t>
      </w:r>
      <w:r>
        <w:t xml:space="preserve"> </w:t>
      </w:r>
      <w:r>
        <w:t xml:space="preserve">portalului, nu ca anexă?</w:t>
      </w:r>
    </w:p>
    <w:p>
      <w:pPr>
        <w:pStyle w:val="Compact"/>
        <w:numPr>
          <w:ilvl w:val="0"/>
          <w:numId w:val="1003"/>
        </w:numPr>
      </w:pPr>
      <w:r>
        <w:t xml:space="preserve">La a treia, se poate cere restituirea taxei ca cheltuială de judecată (art. 453) când, la data</w:t>
      </w:r>
      <w:r>
        <w:t xml:space="preserve"> </w:t>
      </w:r>
      <w:r>
        <w:t xml:space="preserve">cererii, taxa urmează a fi achitată în chiar actul de înregistrare?</w:t>
      </w:r>
    </w:p>
    <w:p>
      <w:pPr>
        <w:pStyle w:val="Compact"/>
        <w:numPr>
          <w:ilvl w:val="0"/>
          <w:numId w:val="1003"/>
        </w:numPr>
      </w:pPr>
      <w:r>
        <w:t xml:space="preserve">Numim serviciul („registratura.rejust.ro”) sau rămânem generic? Am ales generic, ca să nu pun o</w:t>
      </w:r>
      <w:r>
        <w:t xml:space="preserve"> </w:t>
      </w:r>
      <w:r>
        <w:t xml:space="preserve">denumire comercială într-un act.</w:t>
      </w:r>
    </w:p>
    <w:bookmarkEnd w:id="19"/>
    <w:bookmarkStart w:id="20" w:name="domiciliul-procedural-ales"/>
    <w:p>
      <w:pPr>
        <w:pStyle w:val="Heading3"/>
      </w:pPr>
      <w:r>
        <w:t xml:space="preserve">3.2. Domiciliul procedural ales</w:t>
      </w:r>
    </w:p>
    <w:p>
      <w:pPr>
        <w:pStyle w:val="BlockText"/>
      </w:pPr>
      <w:r>
        <w:t xml:space="preserve">„Reprezentată convențional prin av. X, înscris în Tabloul Baroului cu nr. Y. Cu domiciliul</w:t>
      </w:r>
      <w:r>
        <w:t xml:space="preserve"> </w:t>
      </w:r>
      <w:r>
        <w:t xml:space="preserve">procedural ales, potrivit art. 158 din Codul de procedură civilă, pentru comunicarea tuturor</w:t>
      </w:r>
      <w:r>
        <w:t xml:space="preserve"> </w:t>
      </w:r>
      <w:r>
        <w:t xml:space="preserve">actelor de procedură, la sediul profesional al avocatului, situat în [adresă], persoana</w:t>
      </w:r>
      <w:r>
        <w:t xml:space="preserve"> </w:t>
      </w:r>
      <w:r>
        <w:t xml:space="preserve">însărcinată cu primirea actelor de procedură fiind av. X.”</w:t>
      </w:r>
    </w:p>
    <w:p>
      <w:pPr>
        <w:pStyle w:val="Compact"/>
        <w:numPr>
          <w:ilvl w:val="0"/>
          <w:numId w:val="1004"/>
        </w:numPr>
      </w:pPr>
      <w:r>
        <w:t xml:space="preserve">Persoana însărcinată cu primirea: o numim nominal, cum am făcut, sau e suficientă trimiterea la</w:t>
      </w:r>
      <w:r>
        <w:t xml:space="preserve"> </w:t>
      </w:r>
      <w:r>
        <w:t xml:space="preserve">cabinet? Înțeleg că fără această mențiune alegerea de domiciliu nu redirecționează comunicările.</w:t>
      </w:r>
      <w:r>
        <w:t xml:space="preserve"> </w:t>
      </w:r>
      <w:r>
        <w:t xml:space="preserve">Confirmi?</w:t>
      </w:r>
    </w:p>
    <w:p>
      <w:pPr>
        <w:pStyle w:val="Compact"/>
        <w:numPr>
          <w:ilvl w:val="0"/>
          <w:numId w:val="1004"/>
        </w:numPr>
      </w:pPr>
      <w:r>
        <w:t xml:space="preserve">Când cabinetul are altă denumire decât numele avocatului, arătăm ambele sau doar adresa?</w:t>
      </w:r>
    </w:p>
    <w:p>
      <w:pPr>
        <w:pStyle w:val="Compact"/>
        <w:numPr>
          <w:ilvl w:val="0"/>
          <w:numId w:val="1004"/>
        </w:numPr>
      </w:pPr>
      <w:r>
        <w:t xml:space="preserve">Adresa trebuie să conțină obligatoriu județul? Azi îl adaug doar când spune ceva în plus, deci nu</w:t>
      </w:r>
      <w:r>
        <w:t xml:space="preserve"> </w:t>
      </w:r>
      <w:r>
        <w:t xml:space="preserve">la București și la sectoare.</w:t>
      </w:r>
    </w:p>
    <w:p>
      <w:pPr>
        <w:pStyle w:val="Compact"/>
        <w:numPr>
          <w:ilvl w:val="0"/>
          <w:numId w:val="1004"/>
        </w:numPr>
      </w:pPr>
      <w:r>
        <w:t xml:space="preserve">Mențiunea e redundantă, dat fiind că reprezentarea prin avocat e oricum declarată în cerere?</w:t>
      </w:r>
    </w:p>
    <w:bookmarkEnd w:id="20"/>
    <w:bookmarkStart w:id="21" w:name="alte-două-texte"/>
    <w:p>
      <w:pPr>
        <w:pStyle w:val="Heading3"/>
      </w:pPr>
      <w:r>
        <w:t xml:space="preserve">3.3. Alte două texte</w:t>
      </w:r>
    </w:p>
    <w:p>
      <w:pPr>
        <w:pStyle w:val="Compact"/>
        <w:numPr>
          <w:ilvl w:val="0"/>
          <w:numId w:val="1005"/>
        </w:numPr>
      </w:pPr>
      <w:r>
        <w:t xml:space="preserve">Confirmi eticheta „Depun acum, timbrez la cererea instanței”? Alternativa neutră: „Depun acum,</w:t>
      </w:r>
      <w:r>
        <w:t xml:space="preserve"> </w:t>
      </w:r>
      <w:r>
        <w:t xml:space="preserve">timbrez ulterior”.</w:t>
      </w:r>
    </w:p>
    <w:p>
      <w:pPr>
        <w:pStyle w:val="Compact"/>
        <w:numPr>
          <w:ilvl w:val="0"/>
          <w:numId w:val="1005"/>
        </w:numPr>
      </w:pPr>
      <w:r>
        <w:t xml:space="preserve">Avertismentul pentru împuternicirea lipsă spune că cererea intră în regularizare. E corectă</w:t>
      </w:r>
      <w:r>
        <w:t xml:space="preserve"> </w:t>
      </w:r>
      <w:r>
        <w:t xml:space="preserve">consecința, sau sancțiunea e mai severă?</w:t>
      </w:r>
    </w:p>
    <w:p>
      <w:pPr>
        <w:pStyle w:val="Compact"/>
        <w:numPr>
          <w:ilvl w:val="0"/>
          <w:numId w:val="1005"/>
        </w:numPr>
      </w:pPr>
      <w:r>
        <w:t xml:space="preserve">Împuternicirea se trece în opis, cum am făcut, sau e act al cererii și se menționează în corpul</w:t>
      </w:r>
      <w:r>
        <w:t xml:space="preserve"> </w:t>
      </w:r>
      <w:r>
        <w:t xml:space="preserve">ei?</w:t>
      </w:r>
    </w:p>
    <w:p>
      <w:pPr>
        <w:pStyle w:val="Compact"/>
        <w:numPr>
          <w:ilvl w:val="0"/>
          <w:numId w:val="1005"/>
        </w:numPr>
      </w:pPr>
      <w:r>
        <w:t xml:space="preserve">Când creditorul e reprezentat de consilier juridic propriu, ce act dovedește calitatea?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e-a-rămas"/>
    <w:p>
      <w:pPr>
        <w:pStyle w:val="Heading2"/>
      </w:pPr>
      <w:r>
        <w:t xml:space="preserve">4. Ce a rămas</w:t>
      </w:r>
    </w:p>
    <w:bookmarkStart w:id="23" w:name="pachetul-pentru-registratură"/>
    <w:p>
      <w:pPr>
        <w:pStyle w:val="Heading3"/>
      </w:pPr>
      <w:r>
        <w:t xml:space="preserve">4.1. Pachetul pentru registratură</w:t>
      </w:r>
    </w:p>
    <w:p>
      <w:pPr>
        <w:pStyle w:val="FirstParagraph"/>
      </w:pPr>
      <w:r>
        <w:t xml:space="preserve">Formularul portalului are trei sloturi, maximum 11 MB pe fișier și 13 MB pe total.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Blocant.</w:t>
      </w:r>
      <w:r>
        <w:t xml:space="preserve"> </w:t>
      </w:r>
      <w:r>
        <w:t xml:space="preserve">Cele două cerințe se bat cap în cap: dacă fiecare fișier e semnat individual,</w:t>
      </w:r>
      <w:r>
        <w:t xml:space="preserve"> </w:t>
      </w:r>
      <w:r>
        <w:t xml:space="preserve">comasarea desface semnăturile, dar trei sloturi nu încap un dosar cu 8 anexe. Cum procedezi?</w:t>
      </w:r>
    </w:p>
    <w:p>
      <w:pPr>
        <w:pStyle w:val="Compact"/>
        <w:numPr>
          <w:ilvl w:val="0"/>
          <w:numId w:val="1006"/>
        </w:numPr>
      </w:pPr>
      <w:r>
        <w:t xml:space="preserve">Semnătura pe fiecare fișier e cerință a portalului sau prudența ta? Întreb pentru că, potrivit</w:t>
      </w:r>
      <w:r>
        <w:t xml:space="preserve"> </w:t>
      </w:r>
      <w:r>
        <w:t xml:space="preserve">descrierii Curții de Apel Galați, portalul acceptă și acte semnate olograf și scanate, ca</w:t>
      </w:r>
      <w:r>
        <w:t xml:space="preserve"> </w:t>
      </w:r>
      <w:r>
        <w:t xml:space="preserve">alternativă.</w:t>
      </w:r>
    </w:p>
    <w:p>
      <w:pPr>
        <w:pStyle w:val="Compact"/>
        <w:numPr>
          <w:ilvl w:val="0"/>
          <w:numId w:val="1006"/>
        </w:numPr>
      </w:pPr>
      <w:r>
        <w:t xml:space="preserve">Confirmi limitele de mărime? Ce faci când scanurile le depășesc?</w:t>
      </w:r>
    </w:p>
    <w:p>
      <w:pPr>
        <w:pStyle w:val="Compact"/>
        <w:numPr>
          <w:ilvl w:val="0"/>
          <w:numId w:val="1006"/>
        </w:numPr>
      </w:pPr>
      <w:r>
        <w:t xml:space="preserve">În care slot urci împuternicirea și o urci de fiecare dată?</w:t>
      </w:r>
    </w:p>
    <w:bookmarkEnd w:id="23"/>
    <w:bookmarkStart w:id="24" w:name="Xdd56bd7a58e0a82743cf4328195c19e897fb157"/>
    <w:p>
      <w:pPr>
        <w:pStyle w:val="Heading3"/>
      </w:pPr>
      <w:r>
        <w:t xml:space="preserve">4.2. Panoul de asistență la completarea formularului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Blocant, și cel mai important din document.</w:t>
      </w:r>
      <w:r>
        <w:t xml:space="preserve"> </w:t>
      </w:r>
      <w:r>
        <w:t xml:space="preserve">Când depui prin registratură, la „Județul de</w:t>
      </w:r>
      <w:r>
        <w:t xml:space="preserve"> </w:t>
      </w:r>
      <w:r>
        <w:t xml:space="preserve">domiciliu sau de reședință” completezi datele tale sau ale creditorului? De acolo rezultă</w:t>
      </w:r>
      <w:r>
        <w:t xml:space="preserve"> </w:t>
      </w:r>
      <w:r>
        <w:t xml:space="preserve">primăria care încasează taxa, iar plata în contul altei primării e tratată, potrivit analizei</w:t>
      </w:r>
      <w:r>
        <w:t xml:space="preserve"> </w:t>
      </w:r>
      <w:r>
        <w:t xml:space="preserve">Institutului Național al Magistraturii, ca taxă neefectuată. De răspuns depinde și dacă</w:t>
      </w:r>
      <w:r>
        <w:t xml:space="preserve"> </w:t>
      </w:r>
      <w:r>
        <w:t xml:space="preserve">avertismentul de plătitor mai are rost.</w:t>
      </w:r>
    </w:p>
    <w:bookmarkEnd w:id="24"/>
    <w:bookmarkStart w:id="25" w:name="calibrare"/>
    <w:p>
      <w:pPr>
        <w:pStyle w:val="Heading3"/>
      </w:pPr>
      <w:r>
        <w:t xml:space="preserve">4.3. Calibrare</w:t>
      </w:r>
    </w:p>
    <w:p>
      <w:pPr>
        <w:pStyle w:val="Compact"/>
        <w:numPr>
          <w:ilvl w:val="0"/>
          <w:numId w:val="1008"/>
        </w:numPr>
      </w:pPr>
      <w:r>
        <w:t xml:space="preserve">Mementourile pleacă în zilele 3, 10 și 24 de la depunere. Cifrele sunt alese de mine. La cât</w:t>
      </w:r>
      <w:r>
        <w:t xml:space="preserve"> </w:t>
      </w:r>
      <w:r>
        <w:t xml:space="preserve">timp de la depunere sosește în practică înștiințarea de regularizare?</w:t>
      </w:r>
    </w:p>
    <w:p>
      <w:pPr>
        <w:pStyle w:val="Compact"/>
        <w:numPr>
          <w:ilvl w:val="0"/>
          <w:numId w:val="1008"/>
        </w:numPr>
      </w:pPr>
      <w:r>
        <w:t xml:space="preserve">Are sens să insist pe o alegere pe care ai făcut-o conștient, când ai bifat amânarea la</w:t>
      </w:r>
      <w:r>
        <w:t xml:space="preserve"> </w:t>
      </w:r>
      <w:r>
        <w:t xml:space="preserve">regularizare?</w:t>
      </w:r>
    </w:p>
    <w:p>
      <w:pPr>
        <w:pStyle w:val="Compact"/>
        <w:numPr>
          <w:ilvl w:val="0"/>
          <w:numId w:val="1008"/>
        </w:numPr>
      </w:pPr>
      <w:r>
        <w:t xml:space="preserve">Când plătește avocatul în numele creditorului, ce document rămâne la dosar ca dovadă a legăturii?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Blocant.</w:t>
      </w:r>
      <w:r>
        <w:t xml:space="preserve"> </w:t>
      </w:r>
      <w:r>
        <w:t xml:space="preserve">Rămâne deschisă și întrebarea din iulie: care formă a Codului de procedură civilă e</w:t>
      </w:r>
      <w:r>
        <w:t xml:space="preserve"> </w:t>
      </w:r>
      <w:r>
        <w:t xml:space="preserve">în vigoare, cea în care cuprinsul cererii de OP e art. 1016 sau cea în care e art. 1017? Până</w:t>
      </w:r>
      <w:r>
        <w:t xml:space="preserve"> </w:t>
      </w:r>
      <w:r>
        <w:t xml:space="preserve">răspunzi, nu modific nicio citare de articol.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zumat"/>
    <w:p>
      <w:pPr>
        <w:pStyle w:val="Heading2"/>
      </w:pPr>
      <w:r>
        <w:t xml:space="preserve">5. Rezumat</w:t>
      </w:r>
    </w:p>
    <w:p>
      <w:pPr>
        <w:pStyle w:val="FirstParagraph"/>
      </w:pPr>
      <w:r>
        <w:rPr>
          <w:b/>
          <w:bCs/>
        </w:rPr>
        <w:t xml:space="preserve">Implementat:</w:t>
      </w:r>
      <w:r>
        <w:t xml:space="preserve"> </w:t>
      </w:r>
      <w:r>
        <w:t xml:space="preserve">separarea „cerere generată” de „cerere depusă”; plata la depunere; confirmarea</w:t>
      </w:r>
      <w:r>
        <w:t xml:space="preserve"> </w:t>
      </w:r>
      <w:r>
        <w:t xml:space="preserve">plății prin registratură; cererea nu mai invocă o dovadă inexistentă; pachetul refuză să plece</w:t>
      </w:r>
      <w:r>
        <w:t xml:space="preserve"> </w:t>
      </w:r>
      <w:r>
        <w:t xml:space="preserve">incomplet; împuternicirea ca document propriu; domiciliul procedural ales; mementouri; deep-link</w:t>
      </w:r>
      <w:r>
        <w:t xml:space="preserve"> </w:t>
      </w:r>
      <w:r>
        <w:t xml:space="preserve">corect; corecțiile de copy.</w:t>
      </w:r>
    </w:p>
    <w:p>
      <w:pPr>
        <w:pStyle w:val="BodyText"/>
      </w:pPr>
      <w:r>
        <w:rPr>
          <w:b/>
          <w:bCs/>
        </w:rPr>
        <w:t xml:space="preserve">Amânat:</w:t>
      </w:r>
      <w:r>
        <w:t xml:space="preserve"> </w:t>
      </w:r>
      <w:r>
        <w:t xml:space="preserve">pachetul de PDF-uri pentru registratură și semnătura electronică; panoul de asistență.</w:t>
      </w:r>
    </w:p>
    <w:p>
      <w:pPr>
        <w:pStyle w:val="BodyText"/>
      </w:pPr>
      <w:r>
        <w:rPr>
          <w:b/>
          <w:bCs/>
        </w:rPr>
        <w:t xml:space="preserve">De la tine:</w:t>
      </w:r>
      <w:r>
        <w:t xml:space="preserve"> </w:t>
      </w:r>
      <w:r>
        <w:t xml:space="preserve">20 de întrebări, blocante fiind 12, 16 și 20.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2026-08-06T15:21:31Z</dcterms:created>
  <dcterms:modified xsi:type="dcterms:W3CDTF">2026-08-06T15:21:31Z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