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053e4a8a41c75ff678658184ca3a65fa3209db7"/>
    <w:p>
      <w:pPr>
        <w:pStyle w:val="Heading1"/>
      </w:pPr>
      <w:r>
        <w:t xml:space="preserve">Împuternicirea avocațială în dosar: cum funcționează</w:t>
      </w:r>
    </w:p>
    <w:p>
      <w:pPr>
        <w:pStyle w:val="FirstParagraph"/>
      </w:pPr>
      <w:r>
        <w:t xml:space="preserve">Data: 27.10.2026. Descrie ce este implementat acum în LexRecovery.</w:t>
      </w:r>
    </w:p>
    <w:bookmarkStart w:id="9" w:name="pe-scurt"/>
    <w:p>
      <w:pPr>
        <w:pStyle w:val="Heading2"/>
      </w:pPr>
      <w:r>
        <w:t xml:space="preserve">1. Pe scurt</w:t>
      </w:r>
    </w:p>
    <w:p>
      <w:pPr>
        <w:pStyle w:val="FirstParagraph"/>
      </w:pPr>
      <w:r>
        <w:t xml:space="preserve">Cererea de ordonanță de plată se depune de avocat în numele creditorului, deci dosarul are nevoie de</w:t>
      </w:r>
      <w:r>
        <w:t xml:space="preserve"> </w:t>
      </w:r>
      <w:r>
        <w:rPr>
          <w:b/>
          <w:bCs/>
        </w:rPr>
        <w:t xml:space="preserve">împuternicirea avocațială</w:t>
      </w:r>
      <w:r>
        <w:t xml:space="preserve">. Platforma nu generează împuternicirea și nu îi citește conținutul: avocatul o încarcă, împreună cu</w:t>
      </w:r>
      <w:r>
        <w:t xml:space="preserve"> </w:t>
      </w:r>
      <w:r>
        <w:rPr>
          <w:b/>
          <w:bCs/>
        </w:rPr>
        <w:t xml:space="preserve">seria, numărul și data</w:t>
      </w:r>
      <w:r>
        <w:t xml:space="preserve"> </w:t>
      </w:r>
      <w:r>
        <w:t xml:space="preserve">ei.</w:t>
      </w:r>
    </w:p>
    <w:tbl>
      <w:tblPr>
        <w:tblStyle w:val="Table"/>
        <w:tblW w:type="pct" w:w="5000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0" w:lastColumn="0" w:noHBand="0" w:noVBand="0" w:val="0020"/>
      </w:tblPr>
      <w:tblGrid>
        <w:gridCol w:w="2340"/>
        <w:gridCol w:w="7020"/>
      </w:tblGrid>
      <w:tr>
        <w:trPr>
          <w:tblHeader w:val="on"/>
        </w:trPr>
        <w:tc>
          <w:tcPr>
            <w:shd w:val="clear" w:color="auto" w:fill="E7EEF7"/>
          </w:tcPr>
          <w:tcPr/>
          <w:p>
            <w:pPr>
              <w:pStyle w:val="Compact"/>
            </w:pPr>
            <w:r>
              <w:rPr>
                <w:b/>
              </w:rPr>
              <w:t xml:space="preserve">Cine</w:t>
            </w:r>
          </w:p>
        </w:tc>
        <w:tc>
          <w:tcPr>
            <w:shd w:val="clear" w:color="auto" w:fill="E7EEF7"/>
          </w:tcPr>
          <w:tcPr/>
          <w:p>
            <w:pPr>
              <w:pStyle w:val="Compact"/>
            </w:pPr>
            <w:r>
              <w:rPr>
                <w:b/>
              </w:rPr>
              <w:t xml:space="preserve">Ce 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Avocatul</w:t>
            </w:r>
          </w:p>
        </w:tc>
        <w:tc>
          <w:tcPr/>
          <w:p>
            <w:pPr>
              <w:pStyle w:val="Compact"/>
            </w:pPr>
            <w:r>
              <w:t xml:space="preserve">Încarcă împuternicirea (în mod normal una pentru fiecare dosar; platforma nu împiedică încărcarea mai multor exemplare), completează seria, numărul și data, le corectează dacă e nevoie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Platforma</w:t>
            </w:r>
          </w:p>
        </w:tc>
        <w:tc>
          <w:tcPr/>
          <w:p>
            <w:pPr>
              <w:pStyle w:val="Compact"/>
            </w:pPr>
            <w:r>
              <w:t xml:space="preserve">Verifică dacă împuternicirea există și are dată, avertizează dacă data e după somație, o trece în opis, în pachetul de depunere și în e-mailul către instanță</w:t>
            </w:r>
          </w:p>
        </w:tc>
      </w:tr>
    </w:tbl>
    <w:p>
      <w:pPr>
        <w:pStyle w:val="BodyText"/>
      </w:pPr>
      <w:r>
        <w:t xml:space="preserve">Împuternicirea este</w:t>
      </w:r>
      <w:r>
        <w:t xml:space="preserve"> </w:t>
      </w:r>
      <w:r>
        <w:rPr>
          <w:b/>
          <w:bCs/>
        </w:rPr>
        <w:t xml:space="preserve">obligatorie</w:t>
      </w:r>
      <w:r>
        <w:t xml:space="preserve"> </w:t>
      </w:r>
      <w:r>
        <w:t xml:space="preserve">pentru generarea cererii de ordonanță de plată și pentru tot ce urmează după ea (opis, pachet, trimitere).</w:t>
      </w:r>
    </w:p>
    <w:bookmarkEnd w:id="9"/>
    <w:bookmarkStart w:id="10" w:name="încărcarea"/>
    <w:p>
      <w:pPr>
        <w:pStyle w:val="Heading2"/>
      </w:pPr>
      <w:r>
        <w:t xml:space="preserve">2. Încărcarea</w:t>
      </w:r>
    </w:p>
    <w:p>
      <w:pPr>
        <w:pStyle w:val="FirstParagraph"/>
      </w:pPr>
      <w:r>
        <w:t xml:space="preserve">Avocatul încarcă împuternicirea din fila</w:t>
      </w:r>
      <w:r>
        <w:t xml:space="preserve"> </w:t>
      </w:r>
      <w:r>
        <w:rPr>
          <w:b/>
          <w:bCs/>
        </w:rPr>
        <w:t xml:space="preserve">„Documente”</w:t>
      </w:r>
      <w:r>
        <w:t xml:space="preserve"> </w:t>
      </w:r>
      <w:r>
        <w:t xml:space="preserve">a dosarului, cu „Adaugă document”, sau direct din butonul</w:t>
      </w:r>
      <w:r>
        <w:t xml:space="preserve"> </w:t>
      </w:r>
      <w:r>
        <w:rPr>
          <w:b/>
          <w:bCs/>
        </w:rPr>
        <w:t xml:space="preserve">„Încarcă împuternicirea”</w:t>
      </w:r>
      <w:r>
        <w:t xml:space="preserve">, care apare acolo unde lipsa ei blochează ceva. Din acest buton, tipul documentului vine deja ales.</w:t>
      </w:r>
    </w:p>
    <w:p>
      <w:pPr>
        <w:pStyle w:val="BodyText"/>
      </w:pPr>
      <w:r>
        <w:t xml:space="preserve">La încărcare se completează:</w:t>
      </w:r>
    </w:p>
    <w:tbl>
      <w:tblPr>
        <w:tblStyle w:val="Table"/>
        <w:tblW w:type="pct" w:w="5000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0" w:lastColumn="0" w:noHBand="0" w:noVBand="0" w:val="0020"/>
      </w:tblPr>
      <w:tblGrid>
        <w:gridCol w:w="2340"/>
        <w:gridCol w:w="7020"/>
      </w:tblGrid>
      <w:tr>
        <w:trPr>
          <w:tblHeader w:val="on"/>
        </w:trPr>
        <w:tc>
          <w:tcPr>
            <w:shd w:val="clear" w:color="auto" w:fill="E7EEF7"/>
          </w:tcPr>
          <w:tcPr/>
          <w:p>
            <w:pPr>
              <w:pStyle w:val="Compact"/>
            </w:pPr>
            <w:r>
              <w:rPr>
                <w:b/>
              </w:rPr>
              <w:t xml:space="preserve">Câmp</w:t>
            </w:r>
          </w:p>
        </w:tc>
        <w:tc>
          <w:tcPr>
            <w:shd w:val="clear" w:color="auto" w:fill="E7EEF7"/>
          </w:tcPr>
          <w:tcPr/>
          <w:p>
            <w:pPr>
              <w:pStyle w:val="Compact"/>
            </w:pPr>
            <w:r>
              <w:rPr>
                <w:b/>
              </w:rPr>
              <w:t xml:space="preserve">Regulă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Fișierul</w:t>
            </w:r>
          </w:p>
        </w:tc>
        <w:tc>
          <w:tcPr/>
          <w:p>
            <w:pPr>
              <w:pStyle w:val="Compact"/>
            </w:pPr>
            <w:r>
              <w:t xml:space="preserve">PDF sau imagine, ca orice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</w:t>
            </w:r>
          </w:p>
        </w:tc>
        <w:tc>
          <w:tcPr/>
          <w:p>
            <w:pPr>
              <w:pStyle w:val="Compact"/>
            </w:pPr>
            <w:r>
              <w:t xml:space="preserve">Opțională la încărcare, cel mult 20 de caractere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Numărul</w:t>
            </w:r>
          </w:p>
        </w:tc>
        <w:tc>
          <w:tcPr/>
          <w:p>
            <w:pPr>
              <w:pStyle w:val="Compact"/>
            </w:pPr>
            <w:r>
              <w:t xml:space="preserve">Opțional la încărcare, cel mult 30 de caractere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împuternicirii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Obligatorie</w:t>
            </w:r>
            <w:r>
              <w:t xml:space="preserve">, nu poate fi în viitor</w:t>
            </w:r>
          </w:p>
        </w:tc>
      </w:tr>
    </w:tbl>
    <w:p>
      <w:pPr>
        <w:pStyle w:val="BodyText"/>
      </w:pPr>
      <w:r>
        <w:t xml:space="preserve">Seria și numărul sunt opționale la încărcare, dar sunt cerute la</w:t>
      </w:r>
      <w:r>
        <w:t xml:space="preserve"> </w:t>
      </w:r>
      <w:r>
        <w:rPr>
          <w:b/>
          <w:bCs/>
        </w:rPr>
        <w:t xml:space="preserve">trimiterea prin e-mail</w:t>
      </w:r>
      <w:r>
        <w:t xml:space="preserve"> </w:t>
      </w:r>
      <w:r>
        <w:t xml:space="preserve">(vezi secțiunea 4).</w:t>
      </w:r>
    </w:p>
    <w:p>
      <w:pPr>
        <w:pStyle w:val="BodyText"/>
      </w:pPr>
      <w:r>
        <w:t xml:space="preserve">În lista de documente, împuternicirea apare cu datele ei, de exemplu: „seria BU nr. 445566 din 10.01.2026”. O împuternicire mai veche, încărcată fără dată, poartă eticheta</w:t>
      </w:r>
      <w:r>
        <w:t xml:space="preserve"> </w:t>
      </w:r>
      <w:r>
        <w:rPr>
          <w:b/>
          <w:bCs/>
        </w:rPr>
        <w:t xml:space="preserve">„Data împuternicirii lipsește”</w:t>
      </w:r>
      <w:r>
        <w:t xml:space="preserve">.</w:t>
      </w:r>
    </w:p>
    <w:bookmarkEnd w:id="10"/>
    <w:bookmarkStart w:id="11" w:name="ce-verifică-platforma"/>
    <w:p>
      <w:pPr>
        <w:pStyle w:val="Heading2"/>
      </w:pPr>
      <w:r>
        <w:t xml:space="preserve">3. Ce verifică platforma</w:t>
      </w:r>
    </w:p>
    <w:p>
      <w:pPr>
        <w:pStyle w:val="FirstParagraph"/>
      </w:pPr>
      <w:r>
        <w:t xml:space="preserve">Verificările rulează la generarea cererii, la construirea pachetului de depunere prin e-mail și la descărcarea arhivei .zip pentru depunere pe alt canal (aceasta doar cât dosarul este în „Cerere generată”; după depunere arhiva se descarcă fără verificări).</w:t>
      </w:r>
    </w:p>
    <w:tbl>
      <w:tblPr>
        <w:tblStyle w:val="Table"/>
        <w:tblW w:type="pct" w:w="5000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0" w:lastColumn="0" w:noHBand="0" w:noVBand="0" w:val="0020"/>
      </w:tblPr>
      <w:tblGrid>
        <w:gridCol w:w="2340"/>
        <w:gridCol w:w="2340"/>
        <w:gridCol w:w="4680"/>
      </w:tblGrid>
      <w:tr>
        <w:trPr>
          <w:tblHeader w:val="on"/>
        </w:trPr>
        <w:tc>
          <w:tcPr>
            <w:shd w:val="clear" w:color="auto" w:fill="E7EEF7"/>
          </w:tcPr>
          <w:tcPr/>
          <w:p>
            <w:pPr>
              <w:pStyle w:val="Compact"/>
            </w:pPr>
            <w:r>
              <w:rPr>
                <w:b/>
              </w:rPr>
              <w:t xml:space="preserve">Situație</w:t>
            </w:r>
          </w:p>
        </w:tc>
        <w:tc>
          <w:tcPr>
            <w:shd w:val="clear" w:color="auto" w:fill="E7EEF7"/>
          </w:tcPr>
          <w:tcPr/>
          <w:p>
            <w:pPr>
              <w:pStyle w:val="Compact"/>
            </w:pPr>
            <w:r>
              <w:rPr>
                <w:b/>
              </w:rPr>
              <w:t xml:space="preserve">Rezultat</w:t>
            </w:r>
          </w:p>
        </w:tc>
        <w:tc>
          <w:tcPr>
            <w:shd w:val="clear" w:color="auto" w:fill="E7EEF7"/>
          </w:tcPr>
          <w:tcPr/>
          <w:p>
            <w:pPr>
              <w:pStyle w:val="Compact"/>
            </w:pPr>
            <w:r>
              <w:rPr>
                <w:b/>
              </w:rPr>
              <w:t xml:space="preserve">Ce vede avocatul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Dosarul nu are împuternicire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Blocat</w:t>
            </w:r>
          </w:p>
        </w:tc>
        <w:tc>
          <w:tcPr/>
          <w:p>
            <w:pPr>
              <w:pStyle w:val="Compact"/>
            </w:pPr>
            <w:r>
              <w:t xml:space="preserve">„Lipsește împuternicirea avocațială”, cu butonul „Încarcă împuternicirea”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Împuternicirea nu are data completată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Blocat</w:t>
            </w:r>
            <w:r>
              <w:t xml:space="preserve"> </w:t>
            </w:r>
            <w:r>
              <w:t xml:space="preserve">(data apare în opis)</w:t>
            </w:r>
          </w:p>
        </w:tc>
        <w:tc>
          <w:tcPr/>
          <w:p>
            <w:pPr>
              <w:pStyle w:val="Compact"/>
            </w:pPr>
            <w:r>
              <w:t xml:space="preserve">„Împuternicirea nu are data completată”, cu butonul „Completează datele împuternicirii”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 sunt și alte exemplare încărcate, unul fără dată</w:t>
            </w:r>
          </w:p>
        </w:tc>
        <w:tc>
          <w:tcPr/>
          <w:p>
            <w:pPr>
              <w:pStyle w:val="Compact"/>
            </w:pPr>
            <w:r>
              <w:t xml:space="preserve">Doar avertisment</w:t>
            </w:r>
          </w:p>
        </w:tc>
        <w:tc>
          <w:tcPr/>
          <w:p>
            <w:pPr>
              <w:pStyle w:val="Compact"/>
            </w:pPr>
            <w:r>
              <w:t xml:space="preserve">„Un alt exemplar al împuternicirii nu are data completată. Opisul îl listează fără dată.”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împuternicirii este după data generării somației</w:t>
            </w:r>
          </w:p>
        </w:tc>
        <w:tc>
          <w:tcPr/>
          <w:p>
            <w:pPr>
              <w:pStyle w:val="Compact"/>
            </w:pPr>
            <w:r>
              <w:t xml:space="preserve">Doar avertisment</w:t>
            </w:r>
          </w:p>
        </w:tc>
        <w:tc>
          <w:tcPr/>
          <w:p>
            <w:pPr>
              <w:pStyle w:val="Compact"/>
            </w:pPr>
            <w:r>
              <w:t xml:space="preserve">„Data împuternicirii (…) este ulterioară datei generării somației (…). Dacă somația a fost semnată de avocat, se verifică existența mandatului la data semnării.”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Lipsește seria sau numărul</w:t>
            </w:r>
          </w:p>
        </w:tc>
        <w:tc>
          <w:tcPr/>
          <w:p>
            <w:pPr>
              <w:pStyle w:val="Compact"/>
            </w:pPr>
            <w:r>
              <w:t xml:space="preserve">Blocat doar la</w:t>
            </w:r>
            <w:r>
              <w:t xml:space="preserve"> </w:t>
            </w:r>
            <w:r>
              <w:rPr>
                <w:b/>
                <w:bCs/>
              </w:rPr>
              <w:t xml:space="preserve">trimiterea prin e-mail</w:t>
            </w:r>
          </w:p>
        </w:tc>
        <w:tc>
          <w:tcPr/>
          <w:p>
            <w:pPr>
              <w:pStyle w:val="Compact"/>
            </w:pPr>
            <w:r>
              <w:t xml:space="preserve">„Seria, numărul sau data împuternicirii avocațiale lipsesc.”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Despre compararea cu somația.</w:t>
      </w:r>
      <w:r>
        <w:t xml:space="preserve"> </w:t>
      </w:r>
      <w:r>
        <w:t xml:space="preserve">Platforma cunoaște doar ziua în care a generat somația, nu și ziua în care avocatul a semnat-o sau a trimis-o. De aceea compară data împuternicirii cu data generării somației. O împuternicire din aceeași zi nu produce avertisment. Dacă somația se generează din nou, comparația se reface automat.</w:t>
      </w:r>
    </w:p>
    <w:p>
      <w:pPr>
        <w:pStyle w:val="BodyText"/>
      </w:pPr>
      <w:r>
        <w:rPr>
          <w:b/>
          <w:bCs/>
        </w:rPr>
        <w:t xml:space="preserve">Mai multe exemplare.</w:t>
      </w:r>
      <w:r>
        <w:t xml:space="preserve"> </w:t>
      </w:r>
      <w:r>
        <w:t xml:space="preserve">Dacă dosarul are mai multe împuterniciri încărcate:</w:t>
      </w:r>
    </w:p>
    <w:p>
      <w:pPr>
        <w:pStyle w:val="Compact"/>
        <w:numPr>
          <w:ilvl w:val="0"/>
          <w:numId w:val="1001"/>
        </w:numPr>
      </w:pPr>
      <w:r>
        <w:t xml:space="preserve">pachetul de depunere prin e-mail și semnătura e-mailului folosesc</w:t>
      </w:r>
      <w:r>
        <w:t xml:space="preserve"> </w:t>
      </w:r>
      <w:r>
        <w:rPr>
          <w:b/>
          <w:bCs/>
        </w:rPr>
        <w:t xml:space="preserve">cea mai recent încărcată care are dată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opisul le listează pe toate (cele fără dată, „fără dată”);</w:t>
      </w:r>
    </w:p>
    <w:p>
      <w:pPr>
        <w:pStyle w:val="Compact"/>
        <w:numPr>
          <w:ilvl w:val="0"/>
          <w:numId w:val="1001"/>
        </w:numPr>
      </w:pPr>
      <w:r>
        <w:t xml:space="preserve">arhiva .zip pentru depunere pe alt canal le conține pe toate (</w:t>
      </w:r>
      <w:r>
        <w:rPr>
          <w:rStyle w:val="VerbatimChar"/>
        </w:rPr>
        <w:t xml:space="preserve">05_imputernicire_avocatiala</w:t>
      </w:r>
      <w:r>
        <w:t xml:space="preserve">,</w:t>
      </w:r>
      <w:r>
        <w:t xml:space="preserve"> </w:t>
      </w:r>
      <w:r>
        <w:rPr>
          <w:rStyle w:val="VerbatimChar"/>
        </w:rPr>
        <w:t xml:space="preserve">05_imputernicire_avocatiala_2</w:t>
      </w:r>
      <w:r>
        <w:t xml:space="preserve"> </w:t>
      </w:r>
      <w:r>
        <w:t xml:space="preserve">și așa mai departe).</w:t>
      </w:r>
    </w:p>
    <w:p>
      <w:pPr>
        <w:pStyle w:val="FirstParagraph"/>
      </w:pPr>
      <w:r>
        <w:t xml:space="preserve">Recomandarea rămâne un singur exemplar pe dosar, ca la instanță să ajungă doar împuternicirea valabilă.</w:t>
      </w:r>
    </w:p>
    <w:bookmarkEnd w:id="11"/>
    <w:bookmarkStart w:id="12" w:name="unde-apare-împuternicirea"/>
    <w:p>
      <w:pPr>
        <w:pStyle w:val="Heading2"/>
      </w:pPr>
      <w:r>
        <w:t xml:space="preserve">4. Unde apare împuternicirea</w:t>
      </w:r>
    </w:p>
    <w:tbl>
      <w:tblPr>
        <w:tblStyle w:val="Table"/>
        <w:tblW w:type="pct" w:w="5000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0" w:lastColumn="0" w:noHBand="0" w:noVBand="0" w:val="0020"/>
      </w:tblPr>
      <w:tblGrid>
        <w:gridCol w:w="3120"/>
        <w:gridCol w:w="6240"/>
      </w:tblGrid>
      <w:tr>
        <w:trPr>
          <w:tblHeader w:val="on"/>
        </w:trPr>
        <w:tc>
          <w:tcPr>
            <w:shd w:val="clear" w:color="auto" w:fill="E7EEF7"/>
          </w:tcPr>
          <w:tcPr/>
          <w:p>
            <w:pPr>
              <w:pStyle w:val="Compact"/>
            </w:pPr>
            <w:r>
              <w:rPr>
                <w:b/>
              </w:rPr>
              <w:t xml:space="preserve">Unde</w:t>
            </w:r>
          </w:p>
        </w:tc>
        <w:tc>
          <w:tcPr>
            <w:shd w:val="clear" w:color="auto" w:fill="E7EEF7"/>
          </w:tcPr>
          <w:tcPr/>
          <w:p>
            <w:pPr>
              <w:pStyle w:val="Compact"/>
            </w:pPr>
            <w:r>
              <w:rPr>
                <w:b/>
              </w:rPr>
              <w:t xml:space="preserve">Cum apare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Opisul</w:t>
            </w:r>
            <w:r>
              <w:t xml:space="preserve"> </w:t>
            </w:r>
            <w:r>
              <w:t xml:space="preserve">(lista documentelor)</w:t>
            </w:r>
          </w:p>
        </w:tc>
        <w:tc>
          <w:tcPr/>
          <w:p>
            <w:pPr>
              <w:pStyle w:val="Compact"/>
            </w:pPr>
            <w:r>
              <w:t xml:space="preserve">„Împuternicire avocațială seria B nr. 123456 din 05.01.2026” (fără serie sau număr, doar ce e completat)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Pachetul de depunere prin e-mail</w:t>
            </w:r>
          </w:p>
        </w:tc>
        <w:tc>
          <w:tcPr/>
          <w:p>
            <w:pPr>
              <w:pStyle w:val="Compact"/>
            </w:pPr>
            <w:r>
              <w:t xml:space="preserve">Fișier separat, semnat electronic de avocat. Pleacă în</w:t>
            </w:r>
            <w:r>
              <w:t xml:space="preserve"> </w:t>
            </w:r>
            <w:r>
              <w:rPr>
                <w:b/>
                <w:bCs/>
              </w:rPr>
              <w:t xml:space="preserve">primul</w:t>
            </w:r>
            <w:r>
              <w:t xml:space="preserve"> </w:t>
            </w:r>
            <w:r>
              <w:t xml:space="preserve">e-mail, împreună cu cererea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E-mailul către instanță</w:t>
            </w:r>
          </w:p>
        </w:tc>
        <w:tc>
          <w:tcPr/>
          <w:p>
            <w:pPr>
              <w:pStyle w:val="Compact"/>
            </w:pPr>
            <w:r>
              <w:t xml:space="preserve">În semnătura avocatului: „Împuternicire avocațială seria … nr. … din 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Arhiva pentru depunere pe alt canal</w:t>
            </w:r>
            <w:r>
              <w:t xml:space="preserve"> </w:t>
            </w:r>
            <w:r>
              <w:t xml:space="preserve">(.zip)</w:t>
            </w:r>
          </w:p>
        </w:tc>
        <w:tc>
          <w:tcPr/>
          <w:p>
            <w:pPr>
              <w:pStyle w:val="Compact"/>
            </w:pPr>
            <w:r>
              <w:t xml:space="preserve">Fișier separat în arhivă (</w:t>
            </w:r>
            <w:r>
              <w:rPr>
                <w:rStyle w:val="VerbatimChar"/>
              </w:rPr>
              <w:t xml:space="preserve">05_imputernicire_avocatiala</w:t>
            </w:r>
            <w:r>
              <w:t xml:space="preserve">); opisul din arhivă o listează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Fila „Documente”</w:t>
            </w:r>
          </w:p>
        </w:tc>
        <w:tc>
          <w:tcPr/>
          <w:p>
            <w:pPr>
              <w:pStyle w:val="Compact"/>
            </w:pPr>
            <w:r>
              <w:t xml:space="preserve">În lista de documente, cu datele ei; în cardul arhivei, rândul „Împuternicirea avocațială” e bifat sau marcat cu „!”</w:t>
            </w:r>
          </w:p>
        </w:tc>
      </w:tr>
    </w:tbl>
    <w:bookmarkEnd w:id="12"/>
    <w:bookmarkStart w:id="13" w:name="modificarea-datelor"/>
    <w:p>
      <w:pPr>
        <w:pStyle w:val="Heading2"/>
      </w:pPr>
      <w:r>
        <w:t xml:space="preserve">5. Modificarea datelor</w:t>
      </w:r>
    </w:p>
    <w:p>
      <w:pPr>
        <w:pStyle w:val="FirstParagraph"/>
      </w:pPr>
      <w:r>
        <w:t xml:space="preserve">Seria, numărul și data se pot corecta cu</w:t>
      </w:r>
      <w:r>
        <w:t xml:space="preserve"> </w:t>
      </w:r>
      <w:r>
        <w:rPr>
          <w:b/>
          <w:bCs/>
        </w:rPr>
        <w:t xml:space="preserve">„Completează datele împuternicirii”</w:t>
      </w:r>
      <w:r>
        <w:t xml:space="preserve"> </w:t>
      </w:r>
      <w:r>
        <w:t xml:space="preserve">sau</w:t>
      </w:r>
      <w:r>
        <w:t xml:space="preserve"> </w:t>
      </w:r>
      <w:r>
        <w:rPr>
          <w:b/>
          <w:bCs/>
        </w:rPr>
        <w:t xml:space="preserve">„Modifică datele împuternicirii”</w:t>
      </w:r>
      <w:r>
        <w:t xml:space="preserve"> </w:t>
      </w:r>
      <w:r>
        <w:t xml:space="preserve">(fereastra „Datele împuternicirii”).</w:t>
      </w:r>
    </w:p>
    <w:p>
      <w:pPr>
        <w:pStyle w:val="BodyText"/>
      </w:pPr>
      <w:r>
        <w:rPr>
          <w:b/>
          <w:bCs/>
        </w:rPr>
        <w:t xml:space="preserve">Când se pot modifica:</w:t>
      </w:r>
      <w:r>
        <w:t xml:space="preserve"> </w:t>
      </w:r>
      <w:r>
        <w:t xml:space="preserve">cât timp cererea nu a fost depusă, adică dosarul este în etapa „Amiabil”, „Somație trimisă” sau „Cerere generată”, cu condiția ca:</w:t>
      </w:r>
    </w:p>
    <w:p>
      <w:pPr>
        <w:pStyle w:val="Compact"/>
        <w:numPr>
          <w:ilvl w:val="0"/>
          <w:numId w:val="1002"/>
        </w:numPr>
      </w:pPr>
      <w:r>
        <w:t xml:space="preserve">să nu fie înregistrată plata integrală;</w:t>
      </w:r>
    </w:p>
    <w:p>
      <w:pPr>
        <w:pStyle w:val="Compact"/>
        <w:numPr>
          <w:ilvl w:val="0"/>
          <w:numId w:val="1002"/>
        </w:numPr>
      </w:pPr>
      <w:r>
        <w:t xml:space="preserve">să nu fie în curs o transmitere prin e-mail.</w:t>
      </w:r>
    </w:p>
    <w:p>
      <w:pPr>
        <w:pStyle w:val="FirstParagraph"/>
      </w:pPr>
      <w:r>
        <w:rPr>
          <w:b/>
          <w:bCs/>
        </w:rPr>
        <w:t xml:space="preserve">După depunerea cererii</w:t>
      </w:r>
      <w:r>
        <w:t xml:space="preserve"> </w:t>
      </w:r>
      <w:r>
        <w:t xml:space="preserve">datele nu se mai modifică: instanța are opisul cu datele de atunci, iar platforma trebuie să descrie același document. O cerere de modificare trimisă direct este refuzată: „Datele împuternicirii nu se mai modifică după depunerea cererii sau după închiderea dosarului.”</w:t>
      </w:r>
    </w:p>
    <w:p>
      <w:pPr>
        <w:pStyle w:val="BodyText"/>
      </w:pPr>
      <w:r>
        <w:rPr>
          <w:b/>
          <w:bCs/>
        </w:rPr>
        <w:t xml:space="preserve">Ce se întâmplă după o modificare: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opisul</w:t>
      </w:r>
      <w:r>
        <w:t xml:space="preserve"> </w:t>
      </w:r>
      <w:r>
        <w:t xml:space="preserve">se regenerează cu datele noi la următoarea descărcare a pachetului;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pachetul de depunere prin e-mail</w:t>
      </w:r>
      <w:r>
        <w:t xml:space="preserve">, dacă era deja construit, devine învechit („Împuternicirea avocațială (fișierul, seria, numărul sau data) s-a schimbat după construirea pachetului”) și trebuie reconstruit și semnat din nou;</w:t>
      </w:r>
    </w:p>
    <w:p>
      <w:pPr>
        <w:pStyle w:val="Compact"/>
        <w:numPr>
          <w:ilvl w:val="0"/>
          <w:numId w:val="1003"/>
        </w:numPr>
      </w:pPr>
      <w:r>
        <w:t xml:space="preserve">dacă noua dată este după somație, apare același avertisment ca la încărcare;</w:t>
      </w:r>
    </w:p>
    <w:p>
      <w:pPr>
        <w:pStyle w:val="Compact"/>
        <w:numPr>
          <w:ilvl w:val="0"/>
          <w:numId w:val="1003"/>
        </w:numPr>
      </w:pPr>
      <w:r>
        <w:t xml:space="preserve">modificarea rămâne în</w:t>
      </w:r>
      <w:r>
        <w:t xml:space="preserve"> </w:t>
      </w:r>
      <w:r>
        <w:rPr>
          <w:b/>
          <w:bCs/>
        </w:rPr>
        <w:t xml:space="preserve">jurnalul de audit</w:t>
      </w:r>
      <w:r>
        <w:t xml:space="preserve">, cu valorile vechi și noi.</w:t>
      </w:r>
    </w:p>
    <w:bookmarkEnd w:id="13"/>
    <w:bookmarkStart w:id="14" w:name="ce-nu-face-platforma"/>
    <w:p>
      <w:pPr>
        <w:pStyle w:val="Heading2"/>
      </w:pPr>
      <w:r>
        <w:t xml:space="preserve">6. Ce nu face platforma</w:t>
      </w:r>
    </w:p>
    <w:p>
      <w:pPr>
        <w:pStyle w:val="Compact"/>
        <w:numPr>
          <w:ilvl w:val="0"/>
          <w:numId w:val="1004"/>
        </w:numPr>
      </w:pPr>
      <w:r>
        <w:t xml:space="preserve">Nu generează împuternicirea și nu îi citește conținutul: seria, numărul și data sunt cele declarate de avocat.</w:t>
      </w:r>
    </w:p>
    <w:p>
      <w:pPr>
        <w:pStyle w:val="Compact"/>
        <w:numPr>
          <w:ilvl w:val="0"/>
          <w:numId w:val="1004"/>
        </w:numPr>
      </w:pPr>
      <w:r>
        <w:t xml:space="preserve">Nu verifică ce acoperă mandatul (procedura, debitorul) și nici dacă este pe numele avocatului care semnează pachetul: acestea rămân în răspunderea avocatului.</w:t>
      </w:r>
    </w:p>
    <w:p>
      <w:pPr>
        <w:pStyle w:val="Compact"/>
        <w:numPr>
          <w:ilvl w:val="0"/>
          <w:numId w:val="1004"/>
        </w:numPr>
      </w:pPr>
      <w:r>
        <w:t xml:space="preserve">Nu verifică semnătura clientului pe împuternicire și nici dacă împuternicirea e înregistrată la barou.</w:t>
      </w:r>
    </w:p>
    <w:p>
      <w:pPr>
        <w:pStyle w:val="Compact"/>
        <w:numPr>
          <w:ilvl w:val="0"/>
          <w:numId w:val="1004"/>
        </w:numPr>
      </w:pPr>
      <w:r>
        <w:t xml:space="preserve">Nu cunoaște ziua în care somația a fost semnată sau trimisă: compară doar cu ziua generării ei.</w:t>
      </w:r>
    </w:p>
    <w:p>
      <w:pPr>
        <w:pStyle w:val="Compact"/>
        <w:numPr>
          <w:ilvl w:val="0"/>
          <w:numId w:val="1004"/>
        </w:numPr>
      </w:pPr>
      <w:r>
        <w:t xml:space="preserve">Nu blochează o împuternicire datată după somație: doar avertizează.</w:t>
      </w:r>
    </w:p>
    <w:bookmarkEnd w:id="14"/>
    <w:bookmarkStart w:id="15" w:name="de-clarificat-cu-avocatul"/>
    <w:p>
      <w:pPr>
        <w:pStyle w:val="Heading2"/>
      </w:pPr>
      <w:r>
        <w:t xml:space="preserve">7. De clarificat cu avocatul</w:t>
      </w:r>
    </w:p>
    <w:p>
      <w:pPr>
        <w:pStyle w:val="FirstParagraph"/>
      </w:pPr>
      <w:r>
        <w:t xml:space="preserve">Doar punctele de care depinde funcționarea corectă.</w:t>
      </w:r>
    </w:p>
    <w:tbl>
      <w:tblPr>
        <w:tblStyle w:val="Table"/>
        <w:tblW w:type="pct" w:w="5000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0" w:lastColumn="0" w:noHBand="0" w:noVBand="0" w:val="0020"/>
      </w:tblPr>
      <w:tblGrid>
        <w:gridCol w:w="492"/>
        <w:gridCol w:w="5912"/>
        <w:gridCol w:w="2956"/>
      </w:tblGrid>
      <w:tr>
        <w:trPr>
          <w:tblHeader w:val="on"/>
        </w:trPr>
        <w:tc>
          <w:tcPr>
            <w:shd w:val="clear" w:color="auto" w:fill="E7EEF7"/>
          </w:tcPr>
          <w:tcPr/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EF7"/>
          </w:tcPr>
          <w:tcPr/>
          <w:p>
            <w:pPr>
              <w:pStyle w:val="Compact"/>
            </w:pPr>
            <w:r>
              <w:rPr>
                <w:b/>
              </w:rPr>
              <w:t xml:space="preserve">Întrebare</w:t>
            </w:r>
          </w:p>
        </w:tc>
        <w:tc>
          <w:tcPr>
            <w:shd w:val="clear" w:color="auto" w:fill="E7EEF7"/>
          </w:tcPr>
          <w:tcPr/>
          <w:p>
            <w:pPr>
              <w:pStyle w:val="Compact"/>
            </w:pPr>
            <w:r>
              <w:rPr>
                <w:b/>
              </w:rPr>
              <w:t xml:space="preserve">De ce contează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Data împuternicirii trebuie să fie cel mult ziua semnării somației. Aplicația cunoaște însă doar</w:t>
            </w:r>
            <w:r>
              <w:t xml:space="preserve"> </w:t>
            </w:r>
            <w:r>
              <w:rPr>
                <w:b/>
                <w:bCs/>
              </w:rPr>
              <w:t xml:space="preserve">ziua generării</w:t>
            </w:r>
            <w:r>
              <w:t xml:space="preserve"> </w:t>
            </w:r>
            <w:r>
              <w:t xml:space="preserve">somației, nu și ziua semnării, și acum doar</w:t>
            </w:r>
            <w:r>
              <w:t xml:space="preserve"> </w:t>
            </w:r>
            <w:r>
              <w:rPr>
                <w:b/>
                <w:bCs/>
              </w:rPr>
              <w:t xml:space="preserve">avertizează</w:t>
            </w:r>
            <w:r>
              <w:t xml:space="preserve"> </w:t>
            </w:r>
            <w:r>
              <w:t xml:space="preserve">când data împuternicirii este după ea. Ajunge avertismentul, sau aplicația trebuie să</w:t>
            </w:r>
            <w:r>
              <w:t xml:space="preserve"> </w:t>
            </w:r>
            <w:r>
              <w:rPr>
                <w:b/>
                <w:bCs/>
              </w:rPr>
              <w:t xml:space="preserve">blocheze</w:t>
            </w:r>
            <w:r>
              <w:t xml:space="preserve"> </w:t>
            </w:r>
            <w:r>
              <w:t xml:space="preserve">generarea cererii (de exemplu, cel puțin când somația se comunică prin executorul LexRecovery)? Ar ajuta ca avocatul să declare ziua semnării somației?</w:t>
            </w:r>
          </w:p>
        </w:tc>
        <w:tc>
          <w:tcPr/>
          <w:p>
            <w:pPr>
              <w:pStyle w:val="Compact"/>
            </w:pPr>
            <w:r>
              <w:t xml:space="preserve">O împuternicire datată după somație creează un risc de contestare a valabilității somației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Copia împuternicirii depusă la instanță trebuie să poarte, pe lângă semnătura clientului, și</w:t>
            </w:r>
            <w:r>
              <w:t xml:space="preserve"> </w:t>
            </w:r>
            <w:r>
              <w:rPr>
                <w:b/>
                <w:bCs/>
              </w:rPr>
              <w:t xml:space="preserve">mențiunea de conformitate cu originalul</w:t>
            </w:r>
            <w:r>
              <w:t xml:space="preserve"> </w:t>
            </w:r>
            <w:r>
              <w:t xml:space="preserve">semnată de avocat? Dacă da, ajunge semnătura electronică a avocatului pe fișierul împuternicirii din pachet?</w:t>
            </w:r>
          </w:p>
        </w:tc>
        <w:tc>
          <w:tcPr/>
          <w:p>
            <w:pPr>
              <w:pStyle w:val="Compact"/>
            </w:pPr>
            <w:r>
              <w:t xml:space="preserve">Stabilește ce trebuie să conțină fișierul de semnat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Să cerem</w:t>
            </w:r>
            <w:r>
              <w:t xml:space="preserve"> </w:t>
            </w:r>
            <w:r>
              <w:rPr>
                <w:b/>
                <w:bCs/>
              </w:rPr>
              <w:t xml:space="preserve">numele avocatului mandatat</w:t>
            </w:r>
            <w:r>
              <w:t xml:space="preserve"> </w:t>
            </w:r>
            <w:r>
              <w:t xml:space="preserve">(sau să verificăm că împuternicirea e pe numele avocatului care semnează)? Și să cerem</w:t>
            </w:r>
            <w:r>
              <w:t xml:space="preserve"> </w:t>
            </w:r>
            <w:r>
              <w:rPr>
                <w:b/>
                <w:bCs/>
              </w:rPr>
              <w:t xml:space="preserve">seria și numărul</w:t>
            </w:r>
            <w:r>
              <w:t xml:space="preserve"> </w:t>
            </w:r>
            <w:r>
              <w:t xml:space="preserve">încă de la încărcare, nu doar la trimiterea prin e-mail?</w:t>
            </w:r>
          </w:p>
        </w:tc>
        <w:tc>
          <w:tcPr/>
          <w:p>
            <w:pPr>
              <w:pStyle w:val="Compact"/>
            </w:pPr>
            <w:r>
              <w:t xml:space="preserve">Acum aplicația nu leagă împuternicirea de avocatul care semnează, iar seria și numărul pot lipsi până la trimitere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60"/>
        <w:left w:type="dxa" w:w="100"/>
        <w:bottom w:type="dxa" w:w="60"/>
        <w:right w:type="dxa" w:w="100"/>
      </w:tblCellMa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E7EEF7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2026-10-27T12:19:34Z</dcterms:created>
  <dcterms:modified xsi:type="dcterms:W3CDTF">2026-10-27T12:19:34Z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