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4d2356902b82d670f9ef8f861df500a53a95580"/>
    <w:p>
      <w:pPr>
        <w:pStyle w:val="Heading1"/>
      </w:pPr>
      <w:r>
        <w:t xml:space="preserve">Decizii deschise: feedback avocat dosarele 2-6</w:t>
      </w:r>
    </w:p>
    <w:p>
      <w:pPr>
        <w:pStyle w:val="FirstParagraph"/>
      </w:pPr>
      <w:r>
        <w:t xml:space="preserve">Data: 03.10.2026. Detalii complete:</w:t>
      </w:r>
      <w:r>
        <w:t xml:space="preserve"> </w:t>
      </w:r>
      <w:r>
        <w:rPr>
          <w:rStyle w:val="VerbatimChar"/>
        </w:rPr>
        <w:t xml:space="preserve">FEEDBACK-AVOCAT-DOSARE-2-6-2026-10-02.md</w:t>
      </w:r>
      <w:r>
        <w:t xml:space="preserve">, §3.</w:t>
      </w:r>
    </w:p>
    <w:p>
      <w:pPr>
        <w:pStyle w:val="BodyText"/>
      </w:pPr>
      <w:r>
        <w:t xml:space="preserve">Fiecare punct are întrebarea, opțiunile și recomandarea. Coloana „Cine” spune cine poate răspunde.</w:t>
      </w:r>
    </w:p>
    <w:bookmarkStart w:id="9" w:name="a.-întrebări-juridice-pentru-avocat"/>
    <w:p>
      <w:pPr>
        <w:pStyle w:val="Heading2"/>
      </w:pPr>
      <w:r>
        <w:t xml:space="preserve">A. Întrebări juridice (pentru avocat)</w:t>
      </w:r>
    </w:p>
    <w:p>
      <w:pPr>
        <w:pStyle w:val="FirstParagraph"/>
      </w:pPr>
      <w:r>
        <w:rPr>
          <w:b/>
          <w:bCs/>
        </w:rPr>
        <w:t xml:space="preserve">1. Tranzacția (Dosarul 2).</w:t>
      </w:r>
      <w:r>
        <w:t xml:space="preserve"> </w:t>
      </w:r>
      <w:r>
        <w:t xml:space="preserve">Debitorul a recunoscut prin tranzacție 31.268,72 lei (27.340 principal + 3.928,72 dobândă), plătibili în rate. Pe ce se cere?</w:t>
      </w:r>
      <w:r>
        <w:t xml:space="preserve"> </w:t>
      </w:r>
      <w:r>
        <w:t xml:space="preserve">- A: pe factură (27.340 lei, dobândă legală de la scadența facturii). Așa funcționează acum.</w:t>
      </w:r>
      <w:r>
        <w:t xml:space="preserve"> </w:t>
      </w:r>
      <w:r>
        <w:t xml:space="preserve">- B: pe tranzacție (31.268,72 lei, dobândă de la scadența ratelor). Dobânda la dobândă cere acordul părților (OG 13/2011, art. 10).</w:t>
      </w:r>
      <w:r>
        <w:t xml:space="preserve"> </w:t>
      </w:r>
      <w:r>
        <w:t xml:space="preserve">- Recomandare: B pentru principal, cu cei 3.928,72 lei ceruți separat și fără dobândă pe ei. Avertismentul de prescripție să țină cont că tranzacția o întrerupe (C. civ. art. 2537).</w:t>
      </w:r>
      <w:r>
        <w:t xml:space="preserve"> </w:t>
      </w:r>
      <w:r>
        <w:t xml:space="preserve">- Constatat la reverificare: AI-ul clasifică tranzacția diferit de la o rulare la alta, deci uneori avocatul e întrebat „factură sau tranzacție”, alteori nu. Somația numește „Contractul încheiat la 16.05.2023” (data tranzacției). O regulă clară le rezolvă pe toate.</w:t>
      </w:r>
    </w:p>
    <w:p>
      <w:pPr>
        <w:pStyle w:val="BodyText"/>
      </w:pPr>
      <w:r>
        <w:rPr>
          <w:b/>
          <w:bCs/>
        </w:rPr>
        <w:t xml:space="preserve">2. Penalități pentru facturi plătite cu întârziere (Dosarul 3).</w:t>
      </w:r>
      <w:r>
        <w:t xml:space="preserve"> </w:t>
      </w:r>
      <w:r>
        <w:t xml:space="preserve">Patru facturi au fost plătite cu 9 până la 89 de zile întârziere. Se cer penalitățile pentru perioada întârzierii?</w:t>
      </w:r>
      <w:r>
        <w:t xml:space="preserve"> </w:t>
      </w:r>
      <w:r>
        <w:t xml:space="preserve">- Recomandare: da, ca poziții „doar accesoriu”. Cer formularea capătului de cerere de la avocat. Efort: aproximativ 3 zile.</w:t>
      </w:r>
    </w:p>
    <w:p>
      <w:pPr>
        <w:pStyle w:val="BodyText"/>
      </w:pPr>
      <w:r>
        <w:rPr>
          <w:b/>
          <w:bCs/>
        </w:rPr>
        <w:t xml:space="preserve">3. Scadența facturii (Dosarul 3).</w:t>
      </w:r>
      <w:r>
        <w:t xml:space="preserve"> </w:t>
      </w:r>
      <w:r>
        <w:t xml:space="preserve">Contractul spune „plata în 4 zile de la facturare”, iar factura arată scadența egală cu data emiterii. Care se folosește?</w:t>
      </w:r>
      <w:r>
        <w:t xml:space="preserve"> </w:t>
      </w:r>
      <w:r>
        <w:t xml:space="preserve">- Recomandare: termenul din contract, când factura nu are alt termen explicit.</w:t>
      </w:r>
    </w:p>
    <w:p>
      <w:pPr>
        <w:pStyle w:val="BodyText"/>
      </w:pPr>
      <w:r>
        <w:rPr>
          <w:b/>
          <w:bCs/>
        </w:rPr>
        <w:t xml:space="preserve">4. Plafonul de 10% (Dosarul 5).</w:t>
      </w:r>
      <w:r>
        <w:t xml:space="preserve"> </w:t>
      </w:r>
      <w:r>
        <w:t xml:space="preserve">„10% din valoarea prestației” înseamnă din fiecare factură sau din valoarea întregului contract?</w:t>
      </w:r>
      <w:r>
        <w:t xml:space="preserve"> </w:t>
      </w:r>
      <w:r>
        <w:t xml:space="preserve">- Acum: din fiecare factură.</w:t>
      </w:r>
    </w:p>
    <w:p>
      <w:pPr>
        <w:pStyle w:val="BodyText"/>
      </w:pPr>
      <w:r>
        <w:rPr>
          <w:b/>
          <w:bCs/>
        </w:rPr>
        <w:t xml:space="preserve">5. Penalități vădit excesive (Dosarul 6).</w:t>
      </w:r>
      <w:r>
        <w:t xml:space="preserve"> </w:t>
      </w:r>
      <w:r>
        <w:t xml:space="preserve">Pasul 4 avertizează când penalitățile depășesc principalul (C. civ. art. 1541). Textul avertismentului e potrivit? Trebuie pomenit și controlul clauzelor abuziv de inechitabile între profesioniști (Legea 72/2013, art. 7)?</w:t>
      </w:r>
    </w:p>
    <w:p>
      <w:pPr>
        <w:pStyle w:val="BodyText"/>
      </w:pPr>
      <w:r>
        <w:rPr>
          <w:b/>
          <w:bCs/>
        </w:rPr>
        <w:t xml:space="preserve">6. Contracte încheiate înainte de 05.04.2013.</w:t>
      </w:r>
      <w:r>
        <w:t xml:space="preserve"> </w:t>
      </w:r>
      <w:r>
        <w:t xml:space="preserve">Marja de +8 pp se aplică doar contractelor încheiate după intrarea în vigoare a Legii 72/2013. E corect criteriul „data încheierii contractului”?</w:t>
      </w:r>
      <w:r>
        <w:t xml:space="preserve"> </w:t>
      </w:r>
      <w:r>
        <w:t xml:space="preserve">- Acum: nu se calculează dobânda și se cere calcul manual.</w:t>
      </w:r>
    </w:p>
    <w:p>
      <w:pPr>
        <w:pStyle w:val="BodyText"/>
      </w:pPr>
      <w:r>
        <w:rPr>
          <w:b/>
          <w:bCs/>
        </w:rPr>
        <w:t xml:space="preserve">6b. Contractele de dinainte de 05.04.2013: calcul automat cu BNR + 4 pp?</w:t>
      </w:r>
      <w:r>
        <w:t xml:space="preserve"> </w:t>
      </w:r>
      <w:r>
        <w:t xml:space="preserve">Pentru ele se aplica forma veche a OG 13/2011 (rata de referință + 4 pp). Acum aplicația nu calculează dobânda și avertizează la Pasul 4.</w:t>
      </w:r>
      <w:r>
        <w:t xml:space="preserve"> </w:t>
      </w:r>
      <w:r>
        <w:t xml:space="preserve">- Recomandare: calcul automat cu BNR + 4 pp, după confirmarea avocatului. De verificat și data exactă de intrare în vigoare a Legii 72/2013 (05.04 sau 06.04.2013).</w:t>
      </w:r>
    </w:p>
    <w:p>
      <w:pPr>
        <w:pStyle w:val="BodyText"/>
      </w:pPr>
      <w:r>
        <w:rPr>
          <w:b/>
          <w:bCs/>
        </w:rPr>
        <w:t xml:space="preserve">6c. Somația fără dobândă calculată.</w:t>
      </w:r>
      <w:r>
        <w:t xml:space="preserve"> </w:t>
      </w:r>
      <w:r>
        <w:t xml:space="preserve">Când dobânda nu se poate calcula, somația păstrează textul despre dobândă, dar fără tabel și fără să spună că nu a fost calculată. Poate părea o renunțare. Ce frază vrea avocatul în acest caz?</w:t>
      </w:r>
    </w:p>
    <w:p>
      <w:pPr>
        <w:pStyle w:val="BodyText"/>
      </w:pPr>
      <w:r>
        <w:rPr>
          <w:b/>
          <w:bCs/>
        </w:rPr>
        <w:t xml:space="preserve">6d. Data contractului.</w:t>
      </w:r>
      <w:r>
        <w:t xml:space="preserve"> </w:t>
      </w:r>
      <w:r>
        <w:t xml:space="preserve">Regula Legii 72/2013 depinde de data contractului citită de AI. Dacă AI-ul ia data unui act adițional, marja e refuzată sau acordată greșit; dacă data lipsește, verificarea se face doar după scadență.</w:t>
      </w:r>
      <w:r>
        <w:t xml:space="preserve"> </w:t>
      </w:r>
      <w:r>
        <w:t xml:space="preserve">- Recomandare: data contractului afișată la Pasul 3 cu mențiunea că decide marja aplicabilă.</w:t>
      </w:r>
    </w:p>
    <w:p>
      <w:pPr>
        <w:pStyle w:val="BodyText"/>
      </w:pPr>
      <w:r>
        <w:rPr>
          <w:b/>
          <w:bCs/>
        </w:rPr>
        <w:t xml:space="preserve">7. Somația cu plafon atins.</w:t>
      </w:r>
      <w:r>
        <w:t xml:space="preserve"> </w:t>
      </w:r>
      <w:r>
        <w:t xml:space="preserve">Fraza „accesoriile vor fi calculate în continuare” e înșelătoare când plafonul e deja atins. Vrea avocatul o variantă de frază pentru acest caz?</w:t>
      </w:r>
    </w:p>
    <w:p>
      <w:pPr>
        <w:pStyle w:val="BodyText"/>
      </w:pPr>
      <w:r>
        <w:rPr>
          <w:b/>
          <w:bCs/>
        </w:rPr>
        <w:t xml:space="preserve">7b. Începutul penalităților (Dosarul 5).</w:t>
      </w:r>
      <w:r>
        <w:t xml:space="preserve"> </w:t>
      </w:r>
      <w:r>
        <w:t xml:space="preserve">Contractul spune că penalitatea curge „din prima zi lucrătoare după scadență”. Platforma pornește din ziua următoare scadenței (la KSS 1534: 22.02.2025, o sâmbătă, în loc de 24.02.2025). La Dosarul 5 nu schimbă suma, fiindcă plafonul e atins. Contează doar sub plafon. Aplicăm regula din contract când AI-ul o găsește?</w:t>
      </w:r>
      <w:r>
        <w:t xml:space="preserve"> </w:t>
      </w:r>
      <w:r>
        <w:t xml:space="preserve">- Recomandare: da, ca opțiune extrasă din contract (implicit rămâne ziua următoare scadenței).</w:t>
      </w:r>
    </w:p>
    <w:p>
      <w:pPr>
        <w:pStyle w:val="BodyText"/>
      </w:pPr>
      <w:r>
        <w:rPr>
          <w:b/>
          <w:bCs/>
        </w:rPr>
        <w:t xml:space="preserve">8. „Formatul codului IBAN” (Dosarele 3 și 6).</w:t>
      </w:r>
      <w:r>
        <w:t xml:space="preserve"> </w:t>
      </w:r>
      <w:r>
        <w:t xml:space="preserve">Ce înseamnă concret? De exemplu, afișarea în grupe de câte 4 caractere în acte. Avem nevoie de un exemplu.</w:t>
      </w:r>
    </w:p>
    <w:bookmarkEnd w:id="9"/>
    <w:bookmarkStart w:id="10" w:name="b.-decizii-de-produs-pentru-tine"/>
    <w:p>
      <w:pPr>
        <w:pStyle w:val="Heading2"/>
      </w:pPr>
      <w:r>
        <w:t xml:space="preserve">B. Decizii de produs (pentru tine)</w:t>
      </w:r>
    </w:p>
    <w:p>
      <w:pPr>
        <w:pStyle w:val="FirstParagraph"/>
      </w:pPr>
      <w:r>
        <w:rPr>
          <w:b/>
          <w:bCs/>
        </w:rPr>
        <w:t xml:space="preserve">9. Plățile din fișa de cont (Dosarul 3).</w:t>
      </w:r>
      <w:r>
        <w:t xml:space="preserve"> </w:t>
      </w:r>
      <w:r>
        <w:t xml:space="preserve">Când fișa atribuie explicit o plată unei facturi, pre-completăm suma rămasă?</w:t>
      </w:r>
      <w:r>
        <w:t xml:space="preserve"> </w:t>
      </w:r>
      <w:r>
        <w:t xml:space="preserve">- A: nu, imputația rămâne manuală. Așa e acum, conform deciziei din iulie.</w:t>
      </w:r>
      <w:r>
        <w:t xml:space="preserve"> </w:t>
      </w:r>
      <w:r>
        <w:t xml:space="preserve">- B: da, cu plata afișată pe poziție și posibilitate de corectare.</w:t>
      </w:r>
      <w:r>
        <w:t xml:space="preserve"> </w:t>
      </w:r>
      <w:r>
        <w:t xml:space="preserve">- Recomandare: B. Imputația o face chiar debitorul, prin ordinul de plată. Efort: aproximativ 2 zile.</w:t>
      </w:r>
      <w:r>
        <w:t xml:space="preserve"> </w:t>
      </w:r>
      <w:r>
        <w:t xml:space="preserve">- Legat de asta (Dosarul 6): fișa leagă fiecare încasare de factura ei, dar extracția o rezumă fără lista plăților, așa că Pasul 3 avertizează „încasări care nu au putut fi legate” chiar când factura cerută nu are nicio plată. Varianta B rezolvă și avertismentul.</w:t>
      </w:r>
    </w:p>
    <w:p>
      <w:pPr>
        <w:pStyle w:val="BodyText"/>
      </w:pPr>
      <w:r>
        <w:rPr>
          <w:b/>
          <w:bCs/>
        </w:rPr>
        <w:t xml:space="preserve">10. Modificarea manuală a penalităților (Dosarul 5).</w:t>
      </w:r>
      <w:r>
        <w:t xml:space="preserve"> </w:t>
      </w:r>
      <w:r>
        <w:t xml:space="preserve">Permitem suprascrierea sumei calculate?</w:t>
      </w:r>
      <w:r>
        <w:t xml:space="preserve"> </w:t>
      </w:r>
      <w:r>
        <w:t xml:space="preserve">- Recomandare: doar cu motiv obligatoriu, notat în audit. Data până la care se calculează e deja implementată.</w:t>
      </w:r>
    </w:p>
    <w:p>
      <w:pPr>
        <w:pStyle w:val="BodyText"/>
      </w:pPr>
      <w:r>
        <w:rPr>
          <w:b/>
          <w:bCs/>
        </w:rPr>
        <w:t xml:space="preserve">11. Taxa de timbru după activarea monitorizării (portal).</w:t>
      </w:r>
      <w:r>
        <w:t xml:space="preserve"> </w:t>
      </w:r>
      <w:r>
        <w:t xml:space="preserve">Avocatul spune că taxa se plătește după ce dosarul e înregistrat. Schimbăm ordinea implicită sau oferim ambele variante?</w:t>
      </w:r>
    </w:p>
    <w:p>
      <w:pPr>
        <w:pStyle w:val="BodyText"/>
      </w:pPr>
      <w:r>
        <w:rPr>
          <w:b/>
          <w:bCs/>
        </w:rPr>
        <w:t xml:space="preserve">12. Ritmul interogărilor pe portal.</w:t>
      </w:r>
      <w:r>
        <w:t xml:space="preserve"> </w:t>
      </w:r>
      <w:r>
        <w:t xml:space="preserve">Avocatul propune oprirea căutării după primul termen și reluarea după data lui.</w:t>
      </w:r>
      <w:r>
        <w:t xml:space="preserve"> </w:t>
      </w:r>
      <w:r>
        <w:t xml:space="preserve">- Recomandare: interogare săptămânală până cu 3 zile înainte de termen, apoi zilnică. Oprirea completă riscă să rateze o schimbare de termen sau o soluție dată fără ședință.</w:t>
      </w:r>
    </w:p>
    <w:bookmarkEnd w:id="10"/>
    <w:bookmarkStart w:id="11" w:name="X5b55ae86c311dea2cbf63102c5d06417b975bc3"/>
    <w:p>
      <w:pPr>
        <w:pStyle w:val="Heading2"/>
      </w:pPr>
      <w:r>
        <w:t xml:space="preserve">C. Confirmări pentru ce e deja implementat (pentru tine)</w:t>
      </w:r>
    </w:p>
    <w:p>
      <w:pPr>
        <w:pStyle w:val="Compact"/>
        <w:numPr>
          <w:ilvl w:val="0"/>
          <w:numId w:val="1001"/>
        </w:numPr>
      </w:pPr>
      <w:r>
        <w:t xml:space="preserve">Butonul „Sincronizează ANAF” închide automat divergențele de denumire, adresă, județ și localitate ale părții sincronizate.</w:t>
      </w:r>
    </w:p>
    <w:p>
      <w:pPr>
        <w:pStyle w:val="Compact"/>
        <w:numPr>
          <w:ilvl w:val="0"/>
          <w:numId w:val="1001"/>
        </w:numPr>
      </w:pPr>
      <w:r>
        <w:t xml:space="preserve">Pasul 4 verifică singur statusul ANAF al debitorului (doar statusul, fără să-i schimbe datele). Intră în conflict cu decizia din 01.10 (ANAF doar la cerere). Variante:</w:t>
      </w:r>
    </w:p>
    <w:p>
      <w:pPr>
        <w:pStyle w:val="Compact"/>
        <w:numPr>
          <w:ilvl w:val="1"/>
          <w:numId w:val="1002"/>
        </w:numPr>
      </w:pPr>
      <w:r>
        <w:t xml:space="preserve">A: rămâne automat, cum e acum;</w:t>
      </w:r>
    </w:p>
    <w:p>
      <w:pPr>
        <w:pStyle w:val="Compact"/>
        <w:numPr>
          <w:ilvl w:val="1"/>
          <w:numId w:val="1002"/>
        </w:numPr>
      </w:pPr>
      <w:r>
        <w:t xml:space="preserve">B: fără apel automat; în avertismentul de la Pasul 4 apare un buton „Verifică statusul ANAF” (recomandat);</w:t>
      </w:r>
    </w:p>
    <w:p>
      <w:pPr>
        <w:pStyle w:val="Compact"/>
        <w:numPr>
          <w:ilvl w:val="1"/>
          <w:numId w:val="1002"/>
        </w:numPr>
      </w:pPr>
      <w:r>
        <w:t xml:space="preserve">C: fără apel automat; avertismentul trimite la butonul de la Pasul 2, ca înainte.</w:t>
      </w:r>
    </w:p>
    <w:p>
      <w:pPr>
        <w:pStyle w:val="Compact"/>
        <w:numPr>
          <w:ilvl w:val="0"/>
          <w:numId w:val="1001"/>
        </w:numPr>
      </w:pPr>
      <w:r>
        <w:t xml:space="preserve">Avansul stornat în factura finală e exclus implicit, cu explicație și posibilitate de reincludere.</w:t>
      </w:r>
    </w:p>
    <w:p>
      <w:pPr>
        <w:pStyle w:val="Compact"/>
        <w:numPr>
          <w:ilvl w:val="0"/>
          <w:numId w:val="1001"/>
        </w:numPr>
      </w:pPr>
      <w:r>
        <w:t xml:space="preserve">Debitorul persoană fizică fără CUI e oprit la Pasul 0 (un PFA cu CUI trece).</w:t>
      </w:r>
    </w:p>
    <w:p>
      <w:pPr>
        <w:pStyle w:val="Compact"/>
        <w:numPr>
          <w:ilvl w:val="0"/>
          <w:numId w:val="1001"/>
        </w:numPr>
      </w:pPr>
      <w:r>
        <w:t xml:space="preserve">O fișă de cont sau o confirmare de sold care rezumă facturile din dosar e exclusă implicit, cu explicație și posibilitate de reincludere (altfel soldul se aduna peste facturi: 371.712,60 în loc de 169.251,60 la Dosarul 3).</w:t>
      </w:r>
    </w:p>
    <w:bookmarkEnd w:id="11"/>
    <w:bookmarkStart w:id="12" w:name="d.-operațional"/>
    <w:p>
      <w:pPr>
        <w:pStyle w:val="Heading2"/>
      </w:pPr>
      <w:r>
        <w:t xml:space="preserve">D. Operațional</w:t>
      </w:r>
    </w:p>
    <w:p>
      <w:pPr>
        <w:pStyle w:val="Compact"/>
        <w:numPr>
          <w:ilvl w:val="0"/>
          <w:numId w:val="1003"/>
        </w:numPr>
      </w:pPr>
      <w:r>
        <w:t xml:space="preserve">Jobul</w:t>
      </w:r>
      <w:r>
        <w:t xml:space="preserve"> </w:t>
      </w:r>
      <w:r>
        <w:rPr>
          <w:rStyle w:val="VerbatimChar"/>
        </w:rPr>
        <w:t xml:space="preserve">app:portal-discover-cases</w:t>
      </w:r>
      <w:r>
        <w:t xml:space="preserve"> </w:t>
      </w:r>
      <w:r>
        <w:t xml:space="preserve">trebuie adăugat în Coolify la deploy (propunere: zilnic, ora 09:00).</w:t>
      </w:r>
    </w:p>
    <w:p>
      <w:pPr>
        <w:pStyle w:val="Compact"/>
        <w:numPr>
          <w:ilvl w:val="0"/>
          <w:numId w:val="1003"/>
        </w:numPr>
      </w:pPr>
      <w:r>
        <w:t xml:space="preserve">Pe dev există dosare de test (#82-#93) și facturi „dosar suplimentar” generate înainte de trecerea contului de test pe planul Pro. Le șterg?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2026-10-03T11:29:51Z</dcterms:created>
  <dcterms:modified xsi:type="dcterms:W3CDTF">2026-10-03T11:29:51Z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