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Quote</w:t>
            </w:r>
          </w:p>
        </w:tc>
      </w:tr>
      <w:tr>
        <w:tc>
          <w:p>
            <w:r>
              <w:t xml:space="preserve">With Helix, we managed to double the number of blog posts published per week, keeping the same team as we had before. I can’t imagine a faster way to publish at scale.</w:t>
            </w:r>
          </w:p>
        </w:tc>
      </w:tr>
      <w:tr>
        <w:tc>
          <w:p>
            <w:r>
              <w:t xml:space="preserve">Matt</w:t>
            </w:r>
          </w:p>
        </w:tc>
      </w:tr>
    </w:tbl>
    <w:p/>
    <w:p>
      <w:r>
        <w:t xml:space="preserve">When your business is driven by digital experiences and your digital experiences are driven by content, what is driving your content? Whether you want to publish lots of content with a small team, or enable a wide group of contributors to publish quickly, what you need is a content management system that won’t get in the way of publishing.</w:t>
      </w:r>
    </w:p>
    <w:p>
      <w:r>
        <w:t xml:space="preserve">With Helix you can count on unparalleled content velocity due to:</w:t>
      </w:r>
    </w:p>
    <w:p>
      <w:pPr>
        <w:pStyle w:val="ListParagraph"/>
        <w:numPr>
          <w:ilvl w:val="0"/>
          <w:numId w:val="2"/>
        </w:numPr>
      </w:pPr>
      <w:r>
        <w:t xml:space="preserve">Integration: Helix activates the content in Sharepoint and Google Drive, so you don’t have to create it twice</w:t>
      </w:r>
    </w:p>
    <w:p>
      <w:pPr>
        <w:pStyle w:val="ListParagraph"/>
        <w:numPr>
          <w:ilvl w:val="0"/>
          <w:numId w:val="2"/>
        </w:numPr>
      </w:pPr>
      <w:r>
        <w:t xml:space="preserve">Simplicity: Helix uses the tools your authors already know and use (Word and Google Docs), so you don’t have to train them</w:t>
      </w:r>
    </w:p>
    <w:p>
      <w:pPr>
        <w:pStyle w:val="ListParagraph"/>
        <w:numPr>
          <w:ilvl w:val="0"/>
          <w:numId w:val="2"/>
        </w:numPr>
      </w:pPr>
      <w:r>
        <w:t xml:space="preserve">Directness: Helix generates sharable preview URL, so you can review and approve via Slack or direct message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light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quote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2025-03-27T11:17:41.434Z</dcterms:created>
  <dcterms:modified xsi:type="dcterms:W3CDTF">2025-03-27T11:17:41.434Z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