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</w:pPr>
      <w:r>
        <w:rPr>
          <w:color w:val="1A4D3E"/>
        </w:rPr>
        <w:t>ESG·Chain 系統操作說明書</w:t>
      </w:r>
    </w:p>
    <w:p>
      <w:r>
        <w:t>版本：v1.0　最後更新：2026-07-16</w:t>
      </w:r>
    </w:p>
    <w:p>
      <w:r>
        <w:t>本手冊依角色與功能模組說明實際操作步驟。搭配《系統產品說明書》閱讀，可完整理解系統定位與功能邊界。</w:t>
      </w:r>
    </w:p>
    <w:p>
      <w:pPr>
        <w:pStyle w:val="Heading1"/>
      </w:pPr>
      <w:r>
        <w:rPr>
          <w:color w:val="1A4D3E"/>
        </w:rPr>
        <w:t>一、登入與導覽</w:t>
      </w:r>
    </w:p>
    <w:p>
      <w:r>
        <w:t xml:space="preserve">網址進入後於登入頁輸入帳號密碼（測試帳號密碼皆為 </w:t>
      </w:r>
      <w:r>
        <w:rPr>
          <w:rFonts w:ascii="Menlo" w:hAnsi="Menlo"/>
        </w:rPr>
        <w:t>demo1234</w:t>
      </w:r>
      <w:r>
        <w:t>）：</w:t>
      </w:r>
    </w:p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</w:tcPr>
          <w:p>
            <w:r>
              <w:rPr>
                <w:b/>
              </w:rPr>
              <w:t>角色</w:t>
            </w:r>
          </w:p>
        </w:tc>
        <w:tc>
          <w:tcPr>
            <w:tcW w:type="dxa" w:w="4320"/>
          </w:tcPr>
          <w:p>
            <w:r>
              <w:rPr>
                <w:b/>
              </w:rPr>
              <w:t>Email</w:t>
            </w:r>
          </w:p>
        </w:tc>
      </w:tr>
      <w:tr>
        <w:tc>
          <w:tcPr>
            <w:tcW w:type="dxa" w:w="4320"/>
          </w:tcPr>
          <w:p>
            <w:r>
              <w:t>管理員</w:t>
            </w:r>
          </w:p>
        </w:tc>
        <w:tc>
          <w:tcPr>
            <w:tcW w:type="dxa" w:w="4320"/>
          </w:tcPr>
          <w:p>
            <w:r>
              <w:t>admin@esgchain.com</w:t>
            </w:r>
          </w:p>
        </w:tc>
      </w:tr>
      <w:tr>
        <w:tc>
          <w:tcPr>
            <w:tcW w:type="dxa" w:w="4320"/>
          </w:tcPr>
          <w:p>
            <w:r>
              <w:t>採購商</w:t>
            </w:r>
          </w:p>
        </w:tc>
        <w:tc>
          <w:tcPr>
            <w:tcW w:type="dxa" w:w="4320"/>
          </w:tcPr>
          <w:p>
            <w:r>
              <w:t>buyer@esgchain.com</w:t>
            </w:r>
          </w:p>
        </w:tc>
      </w:tr>
      <w:tr>
        <w:tc>
          <w:tcPr>
            <w:tcW w:type="dxa" w:w="4320"/>
          </w:tcPr>
          <w:p>
            <w:r>
              <w:t>永續長</w:t>
            </w:r>
          </w:p>
        </w:tc>
        <w:tc>
          <w:tcPr>
            <w:tcW w:type="dxa" w:w="4320"/>
          </w:tcPr>
          <w:p>
            <w:r>
              <w:t>sustain@esgchain.com</w:t>
            </w:r>
          </w:p>
        </w:tc>
      </w:tr>
      <w:tr>
        <w:tc>
          <w:tcPr>
            <w:tcW w:type="dxa" w:w="4320"/>
          </w:tcPr>
          <w:p>
            <w:r>
              <w:t>分析師</w:t>
            </w:r>
          </w:p>
        </w:tc>
        <w:tc>
          <w:tcPr>
            <w:tcW w:type="dxa" w:w="4320"/>
          </w:tcPr>
          <w:p>
            <w:r>
              <w:t>analyst@esgchain.com</w:t>
            </w:r>
          </w:p>
        </w:tc>
      </w:tr>
      <w:tr>
        <w:tc>
          <w:tcPr>
            <w:tcW w:type="dxa" w:w="4320"/>
          </w:tcPr>
          <w:p>
            <w:r>
              <w:t>供應商</w:t>
            </w:r>
          </w:p>
        </w:tc>
        <w:tc>
          <w:tcPr>
            <w:tcW w:type="dxa" w:w="4320"/>
          </w:tcPr>
          <w:p>
            <w:r>
              <w:t>supplier1@tpsteel.com.tw</w:t>
            </w:r>
          </w:p>
        </w:tc>
      </w:tr>
      <w:tr>
        <w:tc>
          <w:tcPr>
            <w:tcW w:type="dxa" w:w="4320"/>
          </w:tcPr>
          <w:p>
            <w:r>
              <w:t>供應商 ESG 窗口</w:t>
            </w:r>
          </w:p>
        </w:tc>
        <w:tc>
          <w:tcPr>
            <w:tcW w:type="dxa" w:w="4320"/>
          </w:tcPr>
          <w:p>
            <w:r>
              <w:t>esg@vge.vn</w:t>
            </w:r>
          </w:p>
        </w:tc>
      </w:tr>
    </w:tbl>
    <w:p/>
    <w:p>
      <w:r>
        <w:t>登入後左側側邊欄會依角色顯示可用模組（見《系統產品說明書》第七節 RBAC 表）。一般內部角色（admin/buyer/sustain/comply/analyst）導向主控台；供應商角色（supplier/sup_esg）直接導向「供應商入口」。</w:t>
      </w:r>
    </w:p>
    <w:p>
      <w:pPr>
        <w:pStyle w:val="Heading1"/>
      </w:pPr>
      <w:r>
        <w:rPr>
          <w:color w:val="1A4D3E"/>
        </w:rPr>
        <w:t>二、儀表板</w:t>
      </w:r>
    </w:p>
    <w:p>
      <w:r>
        <w:t>首頁彙總：供應商風險分佈、SAQ 完成率、CAP 待辦數量、近期風險事件。點擊卡片可直接跳轉對應功能頁。</w:t>
      </w:r>
      <w:r>
        <w:rPr>
          <w:rFonts w:ascii="Menlo" w:hAnsi="Menlo"/>
        </w:rPr>
        <w:t>儀表板 → 永續風險活動</w:t>
      </w:r>
      <w:r>
        <w:t xml:space="preserve"> 提供時間軸型的事件紀錄檢視。</w:t>
      </w:r>
    </w:p>
    <w:p>
      <w:r>
        <w:drawing>
          <wp:inline xmlns:a="http://schemas.openxmlformats.org/drawingml/2006/main" xmlns:pic="http://schemas.openxmlformats.org/drawingml/2006/picture">
            <wp:extent cx="5760720" cy="3600450"/>
            <wp:docPr id="1" name="Picture 1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01_dashboard.png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5760720" cy="360045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jc w:val="center"/>
      </w:pPr>
      <w:r>
        <w:rPr>
          <w:i/>
          <w:color w:val="6B7280"/>
          <w:sz w:val="18"/>
        </w:rPr>
        <w:t>圖：儀表板總覽（以系統管理員角色檢視）</w:t>
      </w:r>
    </w:p>
    <w:p/>
    <w:p>
      <w:pPr>
        <w:pStyle w:val="Heading1"/>
      </w:pPr>
      <w:r>
        <w:rPr>
          <w:color w:val="1A4D3E"/>
        </w:rPr>
        <w:t>三、供應商管理</w:t>
      </w:r>
    </w:p>
    <w:p>
      <w:pPr>
        <w:pStyle w:val="ListNumber"/>
      </w:pPr>
      <w:r>
        <w:rPr>
          <w:b/>
        </w:rPr>
        <w:t>供應商清單</w:t>
      </w:r>
      <w:r>
        <w:t>（</w:t>
      </w:r>
      <w:r>
        <w:rPr>
          <w:rFonts w:ascii="Menlo" w:hAnsi="Menlo"/>
        </w:rPr>
        <w:t>/suppliers</w:t>
      </w:r>
      <w:r>
        <w:t>）：可依 Tier、風險等級、合作狀態篩選；每頁 20 筆。</w:t>
      </w:r>
    </w:p>
    <w:p>
      <w:pPr>
        <w:pStyle w:val="ListNumber"/>
      </w:pPr>
      <w:r>
        <w:rPr>
          <w:b/>
        </w:rPr>
        <w:t>匯入供應商</w:t>
      </w:r>
      <w:r>
        <w:t>（</w:t>
      </w:r>
      <w:r>
        <w:rPr>
          <w:rFonts w:ascii="Menlo" w:hAnsi="Menlo"/>
        </w:rPr>
        <w:t>/suppliers/import</w:t>
      </w:r>
      <w:r>
        <w:t>）：上傳 CSV → 系統顯示比對預覽（</w:t>
      </w:r>
      <w:r>
        <w:rPr>
          <w:rFonts w:ascii="Menlo" w:hAnsi="Menlo"/>
        </w:rPr>
        <w:t>/suppliers/import/review</w:t>
      </w:r>
      <w:r>
        <w:t>）→ 確認後寫入，ERP 擁有欄位（code/name/hs_code 等）會被覆蓋，ESG-Chain 欄位（onboarding_stage/saq_score 等）不受影響。</w:t>
      </w:r>
    </w:p>
    <w:p>
      <w:pPr>
        <w:pStyle w:val="ListNumber"/>
      </w:pPr>
      <w:r>
        <w:rPr>
          <w:b/>
        </w:rPr>
        <w:t>供應商詳情</w:t>
      </w:r>
      <w:r>
        <w:t>（</w:t>
      </w:r>
      <w:r>
        <w:rPr>
          <w:rFonts w:ascii="Menlo" w:hAnsi="Menlo"/>
        </w:rPr>
        <w:t>/suppliers/:id</w:t>
      </w:r>
      <w:r>
        <w:t>）：基本資料、SAQ 歷史、風險評估、合規文件、關聯 BOM。</w:t>
      </w:r>
    </w:p>
    <w:p>
      <w:pPr>
        <w:pStyle w:val="ListNumber"/>
      </w:pPr>
      <w:r>
        <w:rPr>
          <w:b/>
        </w:rPr>
        <w:t>合作狀態轉換</w:t>
      </w:r>
      <w:r>
        <w:t>：於詳情頁點擊「狀態轉換」，選擇 active/suspended/terminated，需填寫轉換原因，系統寫入稽核日誌。</w:t>
      </w:r>
      <w:r>
        <w:rPr>
          <w:b/>
        </w:rPr>
        <w:t>注意</w:t>
      </w:r>
      <w:r>
        <w:t xml:space="preserve">：ERP 的 </w:t>
      </w:r>
      <w:r>
        <w:rPr>
          <w:rFonts w:ascii="Menlo" w:hAnsi="Menlo"/>
        </w:rPr>
        <w:t>status</w:t>
      </w:r>
      <w:r>
        <w:t xml:space="preserve"> 欄位唯讀，不可由此變更；此處變更的是 ESG-Chain 自有的 </w:t>
      </w:r>
      <w:r>
        <w:rPr>
          <w:rFonts w:ascii="Menlo" w:hAnsi="Menlo"/>
        </w:rPr>
        <w:t>onboarding_stage</w:t>
      </w:r>
      <w:r>
        <w:t>。</w:t>
      </w:r>
    </w:p>
    <w:p>
      <w:r>
        <w:drawing>
          <wp:inline xmlns:a="http://schemas.openxmlformats.org/drawingml/2006/main" xmlns:pic="http://schemas.openxmlformats.org/drawingml/2006/picture">
            <wp:extent cx="5760720" cy="3600450"/>
            <wp:docPr id="2" name="Picture 2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02_suppliers.png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5760720" cy="360045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jc w:val="center"/>
      </w:pPr>
      <w:r>
        <w:rPr>
          <w:i/>
          <w:color w:val="6B7280"/>
          <w:sz w:val="18"/>
        </w:rPr>
        <w:t>圖：供應商清單頁</w:t>
      </w:r>
    </w:p>
    <w:p/>
    <w:p>
      <w:pPr>
        <w:pStyle w:val="Heading1"/>
      </w:pPr>
      <w:r>
        <w:rPr>
          <w:color w:val="1A4D3E"/>
        </w:rPr>
        <w:t>四、物料管理</w:t>
      </w:r>
    </w:p>
    <w:p>
      <w:pPr>
        <w:pStyle w:val="Heading2"/>
      </w:pPr>
      <w:r>
        <w:rPr>
          <w:color w:val="1A4D3E"/>
        </w:rPr>
        <w:t>4.1 物料主檔（`/materials/items`）</w:t>
      </w:r>
    </w:p>
    <w:p>
      <w:r>
        <w:t>瀏覽 ERP 同步的料號清單，點擊進入物料詳情（</w:t>
      </w:r>
      <w:r>
        <w:rPr>
          <w:rFonts w:ascii="Menlo" w:hAnsi="Menlo"/>
        </w:rPr>
        <w:t>/materials/items/:id</w:t>
      </w:r>
      <w:r>
        <w:t>）。</w:t>
      </w:r>
    </w:p>
    <w:p>
      <w:pPr>
        <w:pStyle w:val="Heading2"/>
      </w:pPr>
      <w:r>
        <w:rPr>
          <w:color w:val="1A4D3E"/>
        </w:rPr>
        <w:t>4.2 碳排資料庫（物料詳情頁 tab）</w:t>
      </w:r>
    </w:p>
    <w:p>
      <w:r>
        <w:t>顯示同一物料在不同供應商的碳足跡數值，由低到高排序，並以量級 meter 視覺化比較（最低碳排以最短、最深色 bar 標示）。統計列顯示最小/平均/最大值。此頁面回答「這個物料誰做得最環保」，而非僅供應商各自申報一筆資料看不出比較。</w:t>
      </w:r>
    </w:p>
    <w:p>
      <w:pPr>
        <w:pStyle w:val="Heading2"/>
      </w:pPr>
      <w:r>
        <w:rPr>
          <w:color w:val="1A4D3E"/>
        </w:rPr>
        <w:t>4.3 來源供應商分布（物料詳情頁 tab）</w:t>
      </w:r>
    </w:p>
    <w:p>
      <w:r>
        <w:t>列出這個物料被哪些「產品 BOM 行」使用、目前各行的主供應商（primary）是誰。若某行的主供應商並非全域最低碳的供應商，會出現「切換」按鈕（</w:t>
      </w:r>
      <w:r>
        <w:rPr>
          <w:rFonts w:ascii="Menlo" w:hAnsi="Menlo"/>
        </w:rPr>
        <w:t>hasSwitchOpportunity</w:t>
      </w:r>
      <w:r>
        <w:t xml:space="preserve">）；點擊後呼叫 </w:t>
      </w:r>
      <w:r>
        <w:rPr>
          <w:rFonts w:ascii="Menlo" w:hAnsi="Menlo"/>
        </w:rPr>
        <w:t>switchPrimarySupplier</w:t>
      </w:r>
      <w:r>
        <w:t>，將該 BOM 行的主供應商切換為指定供應商，</w:t>
      </w:r>
      <w:r>
        <w:rPr>
          <w:b/>
        </w:rPr>
        <w:t>該產品的 PCF 會自動重新計算</w:t>
      </w:r>
      <w:r>
        <w:t>。</w:t>
      </w:r>
    </w:p>
    <w:p>
      <w:pPr>
        <w:pStyle w:val="Heading2"/>
      </w:pPr>
      <w:r>
        <w:rPr>
          <w:color w:val="1A4D3E"/>
        </w:rPr>
        <w:t>4.4 物料群組（`/materials/groups`）</w:t>
      </w:r>
    </w:p>
    <w:p>
      <w:r>
        <w:t xml:space="preserve">維護物料所屬群組與其 </w:t>
      </w:r>
      <w:r>
        <w:rPr>
          <w:rFonts w:ascii="Menlo" w:hAnsi="Menlo"/>
        </w:rPr>
        <w:t>required_doc_types</w:t>
      </w:r>
      <w:r>
        <w:t>（決定觸發哪些法規義務文件，如 EUDR_DDS、UFLPA_DECLARATION）。</w:t>
      </w:r>
    </w:p>
    <w:p>
      <w:pPr>
        <w:pStyle w:val="Heading2"/>
      </w:pPr>
      <w:r>
        <w:rPr>
          <w:color w:val="1A4D3E"/>
        </w:rPr>
        <w:t>4.5 碳排請求（`/materials/pcf-requests`）</w:t>
      </w:r>
    </w:p>
    <w:p>
      <w:r>
        <w:t>向指定供應商發起特定物料的碳排填報請求，供應商於 Portal 端回覆。</w:t>
      </w:r>
    </w:p>
    <w:p>
      <w:r>
        <w:drawing>
          <wp:inline xmlns:a="http://schemas.openxmlformats.org/drawingml/2006/main" xmlns:pic="http://schemas.openxmlformats.org/drawingml/2006/picture">
            <wp:extent cx="5760720" cy="3600450"/>
            <wp:docPr id="3" name="Picture 3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03_materials.png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5760720" cy="360045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jc w:val="center"/>
      </w:pPr>
      <w:r>
        <w:rPr>
          <w:i/>
          <w:color w:val="6B7280"/>
          <w:sz w:val="18"/>
        </w:rPr>
        <w:t>圖：物料主檔清單頁</w:t>
      </w:r>
    </w:p>
    <w:p/>
    <w:p>
      <w:pPr>
        <w:pStyle w:val="Heading1"/>
      </w:pPr>
      <w:r>
        <w:rPr>
          <w:color w:val="1A4D3E"/>
        </w:rPr>
        <w:t>五、永續倡議問卷（SAQ）</w:t>
      </w:r>
    </w:p>
    <w:p>
      <w:pPr>
        <w:pStyle w:val="ListNumber"/>
      </w:pPr>
      <w:r>
        <w:rPr>
          <w:b/>
        </w:rPr>
        <w:t>評核專案</w:t>
      </w:r>
      <w:r>
        <w:t>（</w:t>
      </w:r>
      <w:r>
        <w:rPr>
          <w:rFonts w:ascii="Menlo" w:hAnsi="Menlo"/>
        </w:rPr>
        <w:t>/questionnaires/projects</w:t>
      </w:r>
      <w:r>
        <w:t>）：建立一批供應商的問卷發送任務，選擇評核範本，指定截止日期。</w:t>
      </w:r>
    </w:p>
    <w:p>
      <w:pPr>
        <w:pStyle w:val="ListNumber"/>
      </w:pPr>
      <w:r>
        <w:rPr>
          <w:b/>
        </w:rPr>
        <w:t>評核系列</w:t>
      </w:r>
      <w:r>
        <w:t>（</w:t>
      </w:r>
      <w:r>
        <w:rPr>
          <w:rFonts w:ascii="Menlo" w:hAnsi="Menlo"/>
        </w:rPr>
        <w:t>/questionnaires/series</w:t>
      </w:r>
      <w:r>
        <w:t>）：管理定期重複發送的問卷排程（如年度自評）。</w:t>
      </w:r>
    </w:p>
    <w:p>
      <w:pPr>
        <w:pStyle w:val="ListNumber"/>
      </w:pPr>
      <w:r>
        <w:rPr>
          <w:b/>
        </w:rPr>
        <w:t>審核管理</w:t>
      </w:r>
      <w:r>
        <w:t>（</w:t>
      </w:r>
      <w:r>
        <w:rPr>
          <w:rFonts w:ascii="Menlo" w:hAnsi="Menlo"/>
        </w:rPr>
        <w:t>/questionnaires/review</w:t>
      </w:r>
      <w:r>
        <w:t>）：供應商填答完成後進入待審清單，審核人員可逐題複核、要求補件或核准，核准後系統呼叫 esgchain-ai 產出六維評分並寫入風險評估。</w:t>
      </w:r>
    </w:p>
    <w:p>
      <w:pPr>
        <w:pStyle w:val="ListNumber"/>
      </w:pPr>
      <w:r>
        <w:rPr>
          <w:b/>
        </w:rPr>
        <w:t>評核範本 / 題目庫</w:t>
      </w:r>
      <w:r>
        <w:t>（admin 專用，</w:t>
      </w:r>
      <w:r>
        <w:rPr>
          <w:rFonts w:ascii="Menlo" w:hAnsi="Menlo"/>
        </w:rPr>
        <w:t>/questionnaires/templates</w:t>
      </w:r>
      <w:r>
        <w:t>、</w:t>
      </w:r>
      <w:r>
        <w:rPr>
          <w:rFonts w:ascii="Menlo" w:hAnsi="Menlo"/>
        </w:rPr>
        <w:t>/settings/question-bank</w:t>
      </w:r>
      <w:r>
        <w:t>）：維護題目、依 SASB 產業別配置必調題目與各維度權重。</w:t>
      </w:r>
    </w:p>
    <w:p>
      <w:r>
        <w:drawing>
          <wp:inline xmlns:a="http://schemas.openxmlformats.org/drawingml/2006/main" xmlns:pic="http://schemas.openxmlformats.org/drawingml/2006/picture">
            <wp:extent cx="5760720" cy="3600450"/>
            <wp:docPr id="4" name="Picture 4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04_saq_projects.png"/>
                    <pic:cNvPicPr/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5760720" cy="360045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jc w:val="center"/>
      </w:pPr>
      <w:r>
        <w:rPr>
          <w:i/>
          <w:color w:val="6B7280"/>
          <w:sz w:val="18"/>
        </w:rPr>
        <w:t>圖：評核專案清單頁</w:t>
      </w:r>
    </w:p>
    <w:p/>
    <w:p>
      <w:r>
        <w:drawing>
          <wp:inline xmlns:a="http://schemas.openxmlformats.org/drawingml/2006/main" xmlns:pic="http://schemas.openxmlformats.org/drawingml/2006/picture">
            <wp:extent cx="5760720" cy="3600450"/>
            <wp:docPr id="5" name="Picture 5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05_saq_review.png"/>
                    <pic:cNvPicPr/>
                  </pic:nvPicPr>
                  <pic:blipFill>
                    <a:blip r:embed="rId13"/>
                    <a:stretch>
                      <a:fillRect/>
                    </a:stretch>
                  </pic:blipFill>
                  <pic:spPr>
                    <a:xfrm>
                      <a:off x="0" y="0"/>
                      <a:ext cx="5760720" cy="360045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jc w:val="center"/>
      </w:pPr>
      <w:r>
        <w:rPr>
          <w:i/>
          <w:color w:val="6B7280"/>
          <w:sz w:val="18"/>
        </w:rPr>
        <w:t>圖：SAQ 審核管理頁</w:t>
      </w:r>
    </w:p>
    <w:p/>
    <w:p>
      <w:pPr>
        <w:pStyle w:val="Heading1"/>
      </w:pPr>
      <w:r>
        <w:rPr>
          <w:color w:val="1A4D3E"/>
        </w:rPr>
        <w:t>六、商品合規管理</w:t>
      </w:r>
    </w:p>
    <w:p>
      <w:pPr>
        <w:pStyle w:val="Heading2"/>
      </w:pPr>
      <w:r>
        <w:rPr>
          <w:color w:val="1A4D3E"/>
        </w:rPr>
        <w:t>6.1 合規看板（`/compliance`）</w:t>
      </w:r>
    </w:p>
    <w:p>
      <w:r>
        <w:t>跨產品總覽，顯示各產品 CBAM/EUDR 徽章與上游合規文件齊備度快照。</w:t>
      </w:r>
    </w:p>
    <w:p>
      <w:pPr>
        <w:pStyle w:val="Heading2"/>
      </w:pPr>
      <w:r>
        <w:rPr>
          <w:color w:val="1A4D3E"/>
        </w:rPr>
        <w:t>6.2 銷售產品（`/sales-products`）</w:t>
      </w:r>
    </w:p>
    <w:p>
      <w:pPr>
        <w:pStyle w:val="ListNumber"/>
      </w:pPr>
      <w:r>
        <w:t>產品清單/匯入（</w:t>
      </w:r>
      <w:r>
        <w:rPr>
          <w:rFonts w:ascii="Menlo" w:hAnsi="Menlo"/>
        </w:rPr>
        <w:t>/sales-products/import</w:t>
      </w:r>
      <w:r>
        <w:t>），基本資料由 ERP 同步。</w:t>
      </w:r>
    </w:p>
    <w:p>
      <w:pPr>
        <w:pStyle w:val="ListNumber"/>
      </w:pPr>
      <w:r>
        <w:t>產品詳情（</w:t>
      </w:r>
      <w:r>
        <w:rPr>
          <w:rFonts w:ascii="Menlo" w:hAnsi="Menlo"/>
        </w:rPr>
        <w:t>/sales-products/:id</w:t>
      </w:r>
      <w:r>
        <w:t>）分頁：</w:t>
      </w:r>
    </w:p>
    <w:p>
      <w:pPr>
        <w:pStyle w:val="ListBullet"/>
      </w:pPr>
      <w:r>
        <w:rPr>
          <w:b/>
        </w:rPr>
        <w:t>BOM</w:t>
      </w:r>
      <w:r>
        <w:t>：檢視/維護物料明細與各行核准供應商名單</w:t>
      </w:r>
    </w:p>
    <w:p>
      <w:pPr>
        <w:pStyle w:val="ListBullet"/>
      </w:pPr>
      <w:r>
        <w:rPr>
          <w:b/>
        </w:rPr>
        <w:t>法規適用</w:t>
      </w:r>
      <w:r>
        <w:t>：顯示「AI 推算適用清單」（</w:t>
      </w:r>
      <w:r>
        <w:rPr>
          <w:rFonts w:ascii="Menlo" w:hAnsi="Menlo"/>
        </w:rPr>
        <w:t>inferred_regulations</w:t>
      </w:r>
      <w:r>
        <w:t>，依 BOM 物料群組自動判定）與「已確認適用清單」（</w:t>
      </w:r>
      <w:r>
        <w:rPr>
          <w:rFonts w:ascii="Menlo" w:hAnsi="Menlo"/>
        </w:rPr>
        <w:t>applicable_regulations</w:t>
      </w:r>
      <w:r>
        <w:t>，人工維護的正式清單）。操作方式：於「AI 推算」清單中點擊「採用」將建議加入正式清單（或「全部採用」一次加入），亦可從正式清單「移除」不再適用的項目，最後點擊「儲存」寫回。CBAM/EUDR 徽章直接標示在產品標頭，判定邏輯與推算清單一致（BOM-based），不會出現徽章與清單矛盾的情況。</w:t>
      </w:r>
    </w:p>
    <w:p>
      <w:pPr>
        <w:pStyle w:val="ListBullet"/>
      </w:pPr>
      <w:r>
        <w:rPr>
          <w:b/>
        </w:rPr>
        <w:t>PCF 快照</w:t>
      </w:r>
      <w:r>
        <w:t>：歷次 PCF 計算結果（append-only，不可更新/刪除舊版本）</w:t>
      </w:r>
    </w:p>
    <w:p>
      <w:pPr>
        <w:pStyle w:val="ListBullet"/>
      </w:pPr>
      <w:r>
        <w:rPr>
          <w:b/>
        </w:rPr>
        <w:t>碳排回報</w:t>
      </w:r>
      <w:r>
        <w:t>：供應商提交的物料層碳排資料彙總</w:t>
      </w:r>
    </w:p>
    <w:p>
      <w:pPr>
        <w:pStyle w:val="Heading2"/>
      </w:pPr>
      <w:r>
        <w:rPr>
          <w:color w:val="1A4D3E"/>
        </w:rPr>
        <w:t>6.3 生產批號（`/compliance/production-batches`）</w:t>
      </w:r>
    </w:p>
    <w:p>
      <w:pPr>
        <w:pStyle w:val="ListNumber"/>
      </w:pPr>
      <w:r>
        <w:t>批號清單由 ERP 同步產生，含批次 PCF 與原料溯源資料（地塊 GPS、收穫年、認證編號）。</w:t>
      </w:r>
    </w:p>
    <w:p>
      <w:pPr>
        <w:pStyle w:val="ListNumber"/>
      </w:pPr>
      <w:r>
        <w:t>「所屬產品」欄位可點擊，直接連結回該產品的詳情頁。</w:t>
      </w:r>
    </w:p>
    <w:p>
      <w:pPr>
        <w:pStyle w:val="Heading2"/>
      </w:pPr>
      <w:r>
        <w:rPr>
          <w:color w:val="1A4D3E"/>
        </w:rPr>
        <w:t>6.4 出口市場審查</w:t>
      </w:r>
    </w:p>
    <w:p>
      <w:r>
        <w:t>於生產批號詳情或出貨單流程中，系統對「批號 × 目標市場」執行審查引擎，逐項列出：市場文件規則檢核、EUDR 溯源完整性、UFLPA 棉花溯源、批次 PCF 是否齊備、DPP 欄位完備度，每一項給出 pass/warning/fail，並清楚列出未通過的具體檢核項目名稱（而非只給總結論），方便使用者知道該補齊什麼。</w:t>
      </w:r>
    </w:p>
    <w:p>
      <w:pPr>
        <w:pStyle w:val="Heading2"/>
      </w:pPr>
      <w:r>
        <w:rPr>
          <w:color w:val="1A4D3E"/>
        </w:rPr>
        <w:t>6.5 出口申報 / 出貨單（`/compliance/shipments`）</w:t>
      </w:r>
    </w:p>
    <w:p>
      <w:pPr>
        <w:pStyle w:val="ListNumber"/>
      </w:pPr>
      <w:r>
        <w:t>建立出貨單，分配生產批號至出貨單時，系統自動執行上述出口市場審查關卡：</w:t>
      </w:r>
    </w:p>
    <w:p>
      <w:pPr>
        <w:pStyle w:val="ListBullet"/>
      </w:pPr>
      <w:r>
        <w:t xml:space="preserve">若結論為 </w:t>
      </w:r>
      <w:r>
        <w:rPr>
          <w:rFonts w:ascii="Menlo" w:hAnsi="Menlo"/>
        </w:rPr>
        <w:t>fail</w:t>
      </w:r>
      <w:r>
        <w:t>：預設</w:t>
      </w:r>
      <w:r>
        <w:rPr>
          <w:b/>
        </w:rPr>
        <w:t>阻擋</w:t>
      </w:r>
      <w:r>
        <w:t>分配</w:t>
      </w:r>
    </w:p>
    <w:p>
      <w:pPr>
        <w:pStyle w:val="ListBullet"/>
      </w:pPr>
      <w:r>
        <w:t>使用者可勾選「強制放行」（</w:t>
      </w:r>
      <w:r>
        <w:rPr>
          <w:rFonts w:ascii="Menlo" w:hAnsi="Menlo"/>
        </w:rPr>
        <w:t>force=true</w:t>
      </w:r>
      <w:r>
        <w:t>）覆蓋阻擋，但系統會留下稽核紀錄</w:t>
      </w:r>
    </w:p>
    <w:p>
      <w:pPr>
        <w:pStyle w:val="ListBullet"/>
      </w:pPr>
      <w:r>
        <w:t xml:space="preserve">若為 </w:t>
      </w:r>
      <w:r>
        <w:rPr>
          <w:rFonts w:ascii="Menlo" w:hAnsi="Menlo"/>
        </w:rPr>
        <w:t>pass</w:t>
      </w:r>
      <w:r>
        <w:t>/</w:t>
      </w:r>
      <w:r>
        <w:rPr>
          <w:rFonts w:ascii="Menlo" w:hAnsi="Menlo"/>
        </w:rPr>
        <w:t>warning</w:t>
      </w:r>
      <w:r>
        <w:t>：正常放行，</w:t>
      </w:r>
      <w:r>
        <w:rPr>
          <w:rFonts w:ascii="Menlo" w:hAnsi="Menlo"/>
        </w:rPr>
        <w:t>warning</w:t>
      </w:r>
      <w:r>
        <w:t xml:space="preserve"> 僅提示不阻擋</w:t>
      </w:r>
    </w:p>
    <w:p>
      <w:pPr>
        <w:pStyle w:val="ListNumber"/>
      </w:pPr>
      <w:r>
        <w:t xml:space="preserve">出貨單一旦建立，其 </w:t>
      </w:r>
      <w:r>
        <w:rPr>
          <w:rFonts w:ascii="Menlo" w:hAnsi="Menlo"/>
        </w:rPr>
        <w:t>snapshot_id</w:t>
      </w:r>
      <w:r>
        <w:t>（對應的 PCF 版本）即鎖定，之後即使產品 PCF 重算也不會變動已出貨單據的碳排數字。</w:t>
      </w:r>
    </w:p>
    <w:p>
      <w:pPr>
        <w:pStyle w:val="ListNumber"/>
      </w:pPr>
      <w:r>
        <w:t>出貨單詳情（</w:t>
      </w:r>
      <w:r>
        <w:rPr>
          <w:rFonts w:ascii="Menlo" w:hAnsi="Menlo"/>
        </w:rPr>
        <w:t>/compliance/shipments/:id</w:t>
      </w:r>
      <w:r>
        <w:t>）可查看 EUDR DDS 草稿內容。</w:t>
      </w:r>
    </w:p>
    <w:p>
      <w:pPr>
        <w:pStyle w:val="Heading2"/>
      </w:pPr>
      <w:r>
        <w:rPr>
          <w:color w:val="1A4D3E"/>
        </w:rPr>
        <w:t>6.6 出口合規風險看板（`/trade-goods/export-risk`）</w:t>
      </w:r>
    </w:p>
    <w:p>
      <w:r>
        <w:t>&gt; 此頁面存在於路由但未掛載於側邊欄選單，需由儀表板或直接網址進入。</w:t>
      </w:r>
    </w:p>
    <w:p>
      <w:pPr>
        <w:pStyle w:val="ListNumber"/>
      </w:pPr>
      <w:r>
        <w:t>商品 × 市場路徑風險熱力圖，支援「商品優先」/「市場優先」兩種樞紐視角切換。</w:t>
      </w:r>
    </w:p>
    <w:p>
      <w:pPr>
        <w:pStyle w:val="ListNumber"/>
      </w:pPr>
      <w:r>
        <w:t>點擊任一儲存格，右側展開</w:t>
      </w:r>
      <w:r>
        <w:rPr>
          <w:b/>
        </w:rPr>
        <w:t>義務缺口明細面板</w:t>
      </w:r>
      <w:r>
        <w:t>：列出該商品在該市場的每一項法規義務（文件類型、是否強制）、負責的上游供應商清單與其文件狀態（valid/expiring_soon/missing/expired）及 ESG 風險等級。</w:t>
      </w:r>
    </w:p>
    <w:p>
      <w:pPr>
        <w:pStyle w:val="ListNumber"/>
      </w:pPr>
      <w:r>
        <w:t>對缺件的供應商點擊「查詢替換」，展開</w:t>
      </w:r>
      <w:r>
        <w:rPr>
          <w:b/>
        </w:rPr>
        <w:t>替換供應商推薦面板</w:t>
      </w:r>
      <w:r>
        <w:t>：</w:t>
      </w:r>
    </w:p>
    <w:p>
      <w:pPr>
        <w:pStyle w:val="ListBullet"/>
      </w:pPr>
      <w:r>
        <w:t>顯示候選供應商清單，每筆含國別、ESG 風險等級徽章、若有實測碳排資料則顯示相對於原供應商的碳排改善百分比（</w:t>
      </w:r>
      <w:r>
        <w:rPr>
          <w:rFonts w:ascii="Menlo" w:hAnsi="Menlo"/>
        </w:rPr>
        <w:t>↓xx.x%</w:t>
      </w:r>
      <w:r>
        <w:t>）</w:t>
      </w:r>
    </w:p>
    <w:p>
      <w:pPr>
        <w:pStyle w:val="ListBullet"/>
      </w:pPr>
      <w:r>
        <w:t>評分邏輯融合 ESG 六維分數與物料實測碳排（有碳排資料時 35/35/30 加權；無資料時 ESG-only 50/50）</w:t>
      </w:r>
    </w:p>
    <w:p>
      <w:pPr>
        <w:pStyle w:val="ListBullet"/>
      </w:pPr>
      <w:r>
        <w:t>點擊候選供應商名稱，於</w:t>
      </w:r>
      <w:r>
        <w:rPr>
          <w:b/>
        </w:rPr>
        <w:t>新分頁</w:t>
      </w:r>
      <w:r>
        <w:t>開啟該供應商詳情頁，不中斷目前的看板操作</w:t>
      </w:r>
    </w:p>
    <w:p>
      <w:pPr>
        <w:pStyle w:val="ListBullet"/>
      </w:pPr>
      <w:r>
        <w:t>面板頂部有免責聲明：「推薦僅基於 ESG 風險評估，不含交期、價格、產能等商業因素。實際換源需透過 ERP 採購流程執行。」提醒此為決策輔助，非自動下單</w:t>
      </w:r>
    </w:p>
    <w:p>
      <w:pPr>
        <w:pStyle w:val="ListBullet"/>
      </w:pPr>
      <w:r>
        <w:t>若無符合條件候選，顯示提示：可透過 ERP 引入新供應商並完成 SAQ 評估後再出現於清單</w:t>
      </w:r>
    </w:p>
    <w:p>
      <w:r>
        <w:drawing>
          <wp:inline xmlns:a="http://schemas.openxmlformats.org/drawingml/2006/main" xmlns:pic="http://schemas.openxmlformats.org/drawingml/2006/picture">
            <wp:extent cx="5760720" cy="3600450"/>
            <wp:docPr id="6" name="Picture 6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06_compliance_dashboard.png"/>
                    <pic:cNvPicPr/>
                  </pic:nvPicPr>
                  <pic:blipFill>
                    <a:blip r:embed="rId14"/>
                    <a:stretch>
                      <a:fillRect/>
                    </a:stretch>
                  </pic:blipFill>
                  <pic:spPr>
                    <a:xfrm>
                      <a:off x="0" y="0"/>
                      <a:ext cx="5760720" cy="360045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jc w:val="center"/>
      </w:pPr>
      <w:r>
        <w:rPr>
          <w:i/>
          <w:color w:val="6B7280"/>
          <w:sz w:val="18"/>
        </w:rPr>
        <w:t>圖：合規看板</w:t>
      </w:r>
    </w:p>
    <w:p/>
    <w:p>
      <w:r>
        <w:drawing>
          <wp:inline xmlns:a="http://schemas.openxmlformats.org/drawingml/2006/main" xmlns:pic="http://schemas.openxmlformats.org/drawingml/2006/picture">
            <wp:extent cx="5760720" cy="3600450"/>
            <wp:docPr id="7" name="Picture 7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07_sales_products.png"/>
                    <pic:cNvPicPr/>
                  </pic:nvPicPr>
                  <pic:blipFill>
                    <a:blip r:embed="rId15"/>
                    <a:stretch>
                      <a:fillRect/>
                    </a:stretch>
                  </pic:blipFill>
                  <pic:spPr>
                    <a:xfrm>
                      <a:off x="0" y="0"/>
                      <a:ext cx="5760720" cy="360045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jc w:val="center"/>
      </w:pPr>
      <w:r>
        <w:rPr>
          <w:i/>
          <w:color w:val="6B7280"/>
          <w:sz w:val="18"/>
        </w:rPr>
        <w:t>圖：銷售產品清單頁</w:t>
      </w:r>
    </w:p>
    <w:p/>
    <w:p>
      <w:r>
        <w:drawing>
          <wp:inline xmlns:a="http://schemas.openxmlformats.org/drawingml/2006/main" xmlns:pic="http://schemas.openxmlformats.org/drawingml/2006/picture">
            <wp:extent cx="5760720" cy="3600450"/>
            <wp:docPr id="8" name="Picture 8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08_production_batches.png"/>
                    <pic:cNvPicPr/>
                  </pic:nvPicPr>
                  <pic:blipFill>
                    <a:blip r:embed="rId16"/>
                    <a:stretch>
                      <a:fillRect/>
                    </a:stretch>
                  </pic:blipFill>
                  <pic:spPr>
                    <a:xfrm>
                      <a:off x="0" y="0"/>
                      <a:ext cx="5760720" cy="360045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jc w:val="center"/>
      </w:pPr>
      <w:r>
        <w:rPr>
          <w:i/>
          <w:color w:val="6B7280"/>
          <w:sz w:val="18"/>
        </w:rPr>
        <w:t>圖：生產批號清單頁</w:t>
      </w:r>
    </w:p>
    <w:p/>
    <w:p>
      <w:r>
        <w:drawing>
          <wp:inline xmlns:a="http://schemas.openxmlformats.org/drawingml/2006/main" xmlns:pic="http://schemas.openxmlformats.org/drawingml/2006/picture">
            <wp:extent cx="5760720" cy="3600450"/>
            <wp:docPr id="9" name="Picture 9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09_shipments.png"/>
                    <pic:cNvPicPr/>
                  </pic:nvPicPr>
                  <pic:blipFill>
                    <a:blip r:embed="rId17"/>
                    <a:stretch>
                      <a:fillRect/>
                    </a:stretch>
                  </pic:blipFill>
                  <pic:spPr>
                    <a:xfrm>
                      <a:off x="0" y="0"/>
                      <a:ext cx="5760720" cy="360045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jc w:val="center"/>
      </w:pPr>
      <w:r>
        <w:rPr>
          <w:i/>
          <w:color w:val="6B7280"/>
          <w:sz w:val="18"/>
        </w:rPr>
        <w:t>圖：出口申報（出貨單）清單頁</w:t>
      </w:r>
    </w:p>
    <w:p/>
    <w:p>
      <w:r>
        <w:drawing>
          <wp:inline xmlns:a="http://schemas.openxmlformats.org/drawingml/2006/main" xmlns:pic="http://schemas.openxmlformats.org/drawingml/2006/picture">
            <wp:extent cx="5760720" cy="3600450"/>
            <wp:docPr id="10" name="Picture 10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13_export_risk_dashboard.png"/>
                    <pic:cNvPicPr/>
                  </pic:nvPicPr>
                  <pic:blipFill>
                    <a:blip r:embed="rId18"/>
                    <a:stretch>
                      <a:fillRect/>
                    </a:stretch>
                  </pic:blipFill>
                  <pic:spPr>
                    <a:xfrm>
                      <a:off x="0" y="0"/>
                      <a:ext cx="5760720" cy="360045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jc w:val="center"/>
      </w:pPr>
      <w:r>
        <w:rPr>
          <w:i/>
          <w:color w:val="6B7280"/>
          <w:sz w:val="18"/>
        </w:rPr>
        <w:t>圖：出口合規風險看板，商品 × 市場路徑風險熱力圖</w:t>
      </w:r>
    </w:p>
    <w:p/>
    <w:p>
      <w:r>
        <w:drawing>
          <wp:inline xmlns:a="http://schemas.openxmlformats.org/drawingml/2006/main" xmlns:pic="http://schemas.openxmlformats.org/drawingml/2006/picture">
            <wp:extent cx="5760720" cy="3600450"/>
            <wp:docPr id="11" name="Picture 11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13b_export_risk_gap_panel.png"/>
                    <pic:cNvPicPr/>
                  </pic:nvPicPr>
                  <pic:blipFill>
                    <a:blip r:embed="rId19"/>
                    <a:stretch>
                      <a:fillRect/>
                    </a:stretch>
                  </pic:blipFill>
                  <pic:spPr>
                    <a:xfrm>
                      <a:off x="0" y="0"/>
                      <a:ext cx="5760720" cy="360045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jc w:val="center"/>
      </w:pPr>
      <w:r>
        <w:rPr>
          <w:i/>
          <w:color w:val="6B7280"/>
          <w:sz w:val="18"/>
        </w:rPr>
        <w:t>圖：點擊儲存格後展開的義務缺口明細面板</w:t>
      </w:r>
    </w:p>
    <w:p/>
    <w:p>
      <w:pPr>
        <w:pStyle w:val="Heading1"/>
      </w:pPr>
      <w:r>
        <w:rPr>
          <w:color w:val="1A4D3E"/>
        </w:rPr>
        <w:t>七、風險稽核</w:t>
      </w:r>
    </w:p>
    <w:p>
      <w:pPr>
        <w:pStyle w:val="Heading2"/>
      </w:pPr>
      <w:r>
        <w:rPr>
          <w:color w:val="1A4D3E"/>
        </w:rPr>
        <w:t>7.1 永續風險概覽（`/risk`）</w:t>
      </w:r>
    </w:p>
    <w:p>
      <w:r>
        <w:t>六維風險熱圖：E1 環境管理／E2 氣候與碳排／E3 社會責任／E4 地緣風險／E5 公司治理／E6 供應鏈透明度，可依供應商/國別/Tier 篩選檢視。</w:t>
      </w:r>
    </w:p>
    <w:p>
      <w:pPr>
        <w:pStyle w:val="Heading2"/>
      </w:pPr>
      <w:r>
        <w:rPr>
          <w:color w:val="1A4D3E"/>
        </w:rPr>
        <w:t>7.2 風險矩陣（`/risk/matrix`）</w:t>
      </w:r>
    </w:p>
    <w:p>
      <w:r>
        <w:t>5×5 Probability × Impact 矩陣。Impact 軸由四因子加權計分（Tier、採購額、單一來源依賴程度、材料關鍵性），非僅依供應商 Tier 簡單查表，能更準確反映實際衝擊程度。點擊矩陣格可下鑽查看落於該格的供應商清單。</w:t>
      </w:r>
    </w:p>
    <w:p>
      <w:pPr>
        <w:pStyle w:val="Heading2"/>
      </w:pPr>
      <w:r>
        <w:rPr>
          <w:color w:val="1A4D3E"/>
        </w:rPr>
        <w:t>7.3 地緣事件複查（`/risk/geo-events`）</w:t>
      </w:r>
    </w:p>
    <w:p>
      <w:r>
        <w:t>檢視地緣政治風險事件（如區域衝突、貿易制裁）及其對供應商組合的潛在影響評估，可進一步查看單一事件詳情（</w:t>
      </w:r>
      <w:r>
        <w:rPr>
          <w:rFonts w:ascii="Menlo" w:hAnsi="Menlo"/>
        </w:rPr>
        <w:t>/risk/geo-events/:id</w:t>
      </w:r>
      <w:r>
        <w:t>）。</w:t>
      </w:r>
    </w:p>
    <w:p>
      <w:pPr>
        <w:pStyle w:val="Heading2"/>
      </w:pPr>
      <w:r>
        <w:rPr>
          <w:color w:val="1A4D3E"/>
        </w:rPr>
        <w:t>7.4 CAP 矯正行動（`/cap`）</w:t>
      </w:r>
    </w:p>
    <w:p>
      <w:r>
        <w:t>風險評估或 SAQ 低分項目會自動生成矯正任務；也可從「義務缺口面板」的缺件供應商手動建立 CAP（帶入 supplier_id、doc_type）。追蹤每筆矯正任務的處理狀態直至結案。</w:t>
      </w:r>
    </w:p>
    <w:p>
      <w:r>
        <w:drawing>
          <wp:inline xmlns:a="http://schemas.openxmlformats.org/drawingml/2006/main" xmlns:pic="http://schemas.openxmlformats.org/drawingml/2006/picture">
            <wp:extent cx="5760720" cy="3600450"/>
            <wp:docPr id="12" name="Picture 12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10_risk_overview.png"/>
                    <pic:cNvPicPr/>
                  </pic:nvPicPr>
                  <pic:blipFill>
                    <a:blip r:embed="rId20"/>
                    <a:stretch>
                      <a:fillRect/>
                    </a:stretch>
                  </pic:blipFill>
                  <pic:spPr>
                    <a:xfrm>
                      <a:off x="0" y="0"/>
                      <a:ext cx="5760720" cy="360045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jc w:val="center"/>
      </w:pPr>
      <w:r>
        <w:rPr>
          <w:i/>
          <w:color w:val="6B7280"/>
          <w:sz w:val="18"/>
        </w:rPr>
        <w:t>圖：永續風險概覽（六維熱圖）</w:t>
      </w:r>
    </w:p>
    <w:p/>
    <w:p>
      <w:r>
        <w:drawing>
          <wp:inline xmlns:a="http://schemas.openxmlformats.org/drawingml/2006/main" xmlns:pic="http://schemas.openxmlformats.org/drawingml/2006/picture">
            <wp:extent cx="5760720" cy="3600450"/>
            <wp:docPr id="13" name="Picture 13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10_risk_overview.png"/>
                    <pic:cNvPicPr/>
                  </pic:nvPicPr>
                  <pic:blipFill>
                    <a:blip r:embed="rId20"/>
                    <a:stretch>
                      <a:fillRect/>
                    </a:stretch>
                  </pic:blipFill>
                  <pic:spPr>
                    <a:xfrm>
                      <a:off x="0" y="0"/>
                      <a:ext cx="5760720" cy="360045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jc w:val="center"/>
      </w:pPr>
      <w:r>
        <w:rPr>
          <w:i/>
          <w:color w:val="6B7280"/>
          <w:sz w:val="18"/>
        </w:rPr>
        <w:t>圖：風險矩陣（5×5 Probability × Impact）</w:t>
      </w:r>
    </w:p>
    <w:p/>
    <w:p>
      <w:r>
        <w:drawing>
          <wp:inline xmlns:a="http://schemas.openxmlformats.org/drawingml/2006/main" xmlns:pic="http://schemas.openxmlformats.org/drawingml/2006/picture">
            <wp:extent cx="5760720" cy="3600450"/>
            <wp:docPr id="14" name="Picture 14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12_cap.png"/>
                    <pic:cNvPicPr/>
                  </pic:nvPicPr>
                  <pic:blipFill>
                    <a:blip r:embed="rId21"/>
                    <a:stretch>
                      <a:fillRect/>
                    </a:stretch>
                  </pic:blipFill>
                  <pic:spPr>
                    <a:xfrm>
                      <a:off x="0" y="0"/>
                      <a:ext cx="5760720" cy="360045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jc w:val="center"/>
      </w:pPr>
      <w:r>
        <w:rPr>
          <w:i/>
          <w:color w:val="6B7280"/>
          <w:sz w:val="18"/>
        </w:rPr>
        <w:t>圖：CAP 矯正行動清單頁</w:t>
      </w:r>
    </w:p>
    <w:p/>
    <w:p>
      <w:pPr>
        <w:pStyle w:val="Heading1"/>
      </w:pPr>
      <w:r>
        <w:rPr>
          <w:color w:val="1A4D3E"/>
        </w:rPr>
        <w:t>八、供應商入口（Portal）</w:t>
      </w:r>
    </w:p>
    <w:p>
      <w:r>
        <w:t>供應商角色（supplier/sup_esg）登入後專屬視圖：</w:t>
      </w:r>
    </w:p>
    <w:p>
      <w:pPr>
        <w:pStyle w:val="ListNumber"/>
      </w:pPr>
      <w:r>
        <w:rPr>
          <w:b/>
        </w:rPr>
        <w:t>供應商入口首頁</w:t>
      </w:r>
      <w:r>
        <w:t>（</w:t>
      </w:r>
      <w:r>
        <w:rPr>
          <w:rFonts w:ascii="Menlo" w:hAnsi="Menlo"/>
        </w:rPr>
        <w:t>/supplier/portal</w:t>
      </w:r>
      <w:r>
        <w:t>）：待辦問卷、待補文件、碳排填報請求總覽。</w:t>
      </w:r>
    </w:p>
    <w:p>
      <w:pPr>
        <w:pStyle w:val="ListNumber"/>
      </w:pPr>
      <w:r>
        <w:rPr>
          <w:b/>
        </w:rPr>
        <w:t>合規文件</w:t>
      </w:r>
      <w:r>
        <w:t>（</w:t>
      </w:r>
      <w:r>
        <w:rPr>
          <w:rFonts w:ascii="Menlo" w:hAnsi="Menlo"/>
        </w:rPr>
        <w:t>/supplier/portal</w:t>
      </w:r>
      <w:r>
        <w:t xml:space="preserve"> 內的合規文件頁）：上傳/更新各類合規證書文件。</w:t>
      </w:r>
    </w:p>
    <w:p>
      <w:pPr>
        <w:pStyle w:val="ListNumber"/>
      </w:pPr>
      <w:r>
        <w:rPr>
          <w:b/>
        </w:rPr>
        <w:t>碳排申報</w:t>
      </w:r>
      <w:r>
        <w:t>（</w:t>
      </w:r>
      <w:r>
        <w:rPr>
          <w:rFonts w:ascii="Menlo" w:hAnsi="Menlo"/>
        </w:rPr>
        <w:t>/supplier/portal/pcf</w:t>
      </w:r>
      <w:r>
        <w:t>）：針對被要求的物料填報碳足跡數值，系統會顯示該物料是否已有既有 BOM 匹配（供應商可看到自己供應哪些產品的哪個 BOM 行）。</w:t>
      </w:r>
    </w:p>
    <w:p>
      <w:pPr>
        <w:pStyle w:val="ListNumber"/>
      </w:pPr>
      <w:r>
        <w:rPr>
          <w:b/>
        </w:rPr>
        <w:t>永續 KPI 填報</w:t>
      </w:r>
      <w:r>
        <w:t>（</w:t>
      </w:r>
      <w:r>
        <w:rPr>
          <w:rFonts w:ascii="Menlo" w:hAnsi="Menlo"/>
        </w:rPr>
        <w:t>/supplier/portal/disclosures</w:t>
      </w:r>
      <w:r>
        <w:t>）：填報永續相關量化指標。</w:t>
      </w:r>
    </w:p>
    <w:p>
      <w:pPr>
        <w:pStyle w:val="ListNumber"/>
      </w:pPr>
      <w:r>
        <w:rPr>
          <w:b/>
        </w:rPr>
        <w:t>採購需求檢視</w:t>
      </w:r>
      <w:r>
        <w:t>（</w:t>
      </w:r>
      <w:r>
        <w:rPr>
          <w:rFonts w:ascii="Menlo" w:hAnsi="Menlo"/>
        </w:rPr>
        <w:t>/supplier/portal/procurement</w:t>
      </w:r>
      <w:r>
        <w:t>）：檢視買方發出的採購/物料需求。</w:t>
      </w:r>
    </w:p>
    <w:p>
      <w:pPr>
        <w:pStyle w:val="ListNumber"/>
      </w:pPr>
      <w:r>
        <w:rPr>
          <w:b/>
        </w:rPr>
        <w:t>個人資料</w:t>
      </w:r>
      <w:r>
        <w:t>（</w:t>
      </w:r>
      <w:r>
        <w:rPr>
          <w:rFonts w:ascii="Menlo" w:hAnsi="Menlo"/>
        </w:rPr>
        <w:t>/supplier/profile</w:t>
      </w:r>
      <w:r>
        <w:t>）：維護聯絡資訊。</w:t>
      </w:r>
    </w:p>
    <w:p>
      <w:pPr>
        <w:pStyle w:val="ListNumber"/>
      </w:pPr>
      <w:r>
        <w:t>收到問卷邀請時，透過連結進入填答頁（</w:t>
      </w:r>
      <w:r>
        <w:rPr>
          <w:rFonts w:ascii="Menlo" w:hAnsi="Menlo"/>
        </w:rPr>
        <w:t>/supplier/survey/:id</w:t>
      </w:r>
      <w:r>
        <w:t>）逐題作答並送出。</w:t>
      </w:r>
    </w:p>
    <w:p>
      <w:r>
        <w:drawing>
          <wp:inline xmlns:a="http://schemas.openxmlformats.org/drawingml/2006/main" xmlns:pic="http://schemas.openxmlformats.org/drawingml/2006/picture">
            <wp:extent cx="5760720" cy="3600450"/>
            <wp:docPr id="15" name="Picture 15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15_supplier_portal.png"/>
                    <pic:cNvPicPr/>
                  </pic:nvPicPr>
                  <pic:blipFill>
                    <a:blip r:embed="rId22"/>
                    <a:stretch>
                      <a:fillRect/>
                    </a:stretch>
                  </pic:blipFill>
                  <pic:spPr>
                    <a:xfrm>
                      <a:off x="0" y="0"/>
                      <a:ext cx="5760720" cy="360045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jc w:val="center"/>
      </w:pPr>
      <w:r>
        <w:rPr>
          <w:i/>
          <w:color w:val="6B7280"/>
          <w:sz w:val="18"/>
        </w:rPr>
        <w:t>圖：供應商入口首頁（供應商角色檢視）</w:t>
      </w:r>
    </w:p>
    <w:p/>
    <w:p>
      <w:r>
        <w:drawing>
          <wp:inline xmlns:a="http://schemas.openxmlformats.org/drawingml/2006/main" xmlns:pic="http://schemas.openxmlformats.org/drawingml/2006/picture">
            <wp:extent cx="5760720" cy="3600450"/>
            <wp:docPr id="16" name="Picture 16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16_supplier_pcf.png"/>
                    <pic:cNvPicPr/>
                  </pic:nvPicPr>
                  <pic:blipFill>
                    <a:blip r:embed="rId23"/>
                    <a:stretch>
                      <a:fillRect/>
                    </a:stretch>
                  </pic:blipFill>
                  <pic:spPr>
                    <a:xfrm>
                      <a:off x="0" y="0"/>
                      <a:ext cx="5760720" cy="360045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jc w:val="center"/>
      </w:pPr>
      <w:r>
        <w:rPr>
          <w:i/>
          <w:color w:val="6B7280"/>
          <w:sz w:val="18"/>
        </w:rPr>
        <w:t>圖：供應商碳排申報頁</w:t>
      </w:r>
    </w:p>
    <w:p/>
    <w:p>
      <w:pPr>
        <w:pStyle w:val="Heading1"/>
      </w:pPr>
      <w:r>
        <w:rPr>
          <w:color w:val="1A4D3E"/>
        </w:rPr>
        <w:t>九、系統設定（admin 專用）</w:t>
      </w:r>
    </w:p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2880"/>
        <w:gridCol w:w="2880"/>
        <w:gridCol w:w="2880"/>
      </w:tblGrid>
      <w:tr>
        <w:tc>
          <w:tcPr>
            <w:tcW w:type="dxa" w:w="2880"/>
          </w:tcPr>
          <w:p>
            <w:r>
              <w:rPr>
                <w:b/>
              </w:rPr>
              <w:t>頁面</w:t>
            </w:r>
          </w:p>
        </w:tc>
        <w:tc>
          <w:tcPr>
            <w:tcW w:type="dxa" w:w="2880"/>
          </w:tcPr>
          <w:p>
            <w:r>
              <w:rPr>
                <w:b/>
              </w:rPr>
              <w:t>路徑</w:t>
            </w:r>
          </w:p>
        </w:tc>
        <w:tc>
          <w:tcPr>
            <w:tcW w:type="dxa" w:w="2880"/>
          </w:tcPr>
          <w:p>
            <w:r>
              <w:rPr>
                <w:b/>
              </w:rPr>
              <w:t>功能</w:t>
            </w:r>
          </w:p>
        </w:tc>
      </w:tr>
      <w:tr>
        <w:tc>
          <w:tcPr>
            <w:tcW w:type="dxa" w:w="2880"/>
          </w:tcPr>
          <w:p>
            <w:r>
              <w:t>一般設定</w:t>
            </w:r>
          </w:p>
        </w:tc>
        <w:tc>
          <w:tcPr>
            <w:tcW w:type="dxa" w:w="2880"/>
          </w:tcPr>
          <w:p>
            <w:r>
              <w:t>`/settings`</w:t>
            </w:r>
          </w:p>
        </w:tc>
        <w:tc>
          <w:tcPr>
            <w:tcW w:type="dxa" w:w="2880"/>
          </w:tcPr>
          <w:p>
            <w:r>
              <w:t>系統基本參數</w:t>
            </w:r>
          </w:p>
        </w:tc>
      </w:tr>
      <w:tr>
        <w:tc>
          <w:tcPr>
            <w:tcW w:type="dxa" w:w="2880"/>
          </w:tcPr>
          <w:p>
            <w:r>
              <w:t>分類與計分管理</w:t>
            </w:r>
          </w:p>
        </w:tc>
        <w:tc>
          <w:tcPr>
            <w:tcW w:type="dxa" w:w="2880"/>
          </w:tcPr>
          <w:p>
            <w:r>
              <w:t>`/settings/classification-scoring`</w:t>
            </w:r>
          </w:p>
        </w:tc>
        <w:tc>
          <w:tcPr>
            <w:tcW w:type="dxa" w:w="2880"/>
          </w:tcPr>
          <w:p>
            <w:r>
              <w:t>六維權重、SASB 產業必調題目配置</w:t>
            </w:r>
          </w:p>
        </w:tc>
      </w:tr>
      <w:tr>
        <w:tc>
          <w:tcPr>
            <w:tcW w:type="dxa" w:w="2880"/>
          </w:tcPr>
          <w:p>
            <w:r>
              <w:t>客戶主檔</w:t>
            </w:r>
          </w:p>
        </w:tc>
        <w:tc>
          <w:tcPr>
            <w:tcW w:type="dxa" w:w="2880"/>
          </w:tcPr>
          <w:p>
            <w:r>
              <w:t>`/settings/customers`</w:t>
            </w:r>
          </w:p>
        </w:tc>
        <w:tc>
          <w:tcPr>
            <w:tcW w:type="dxa" w:w="2880"/>
          </w:tcPr>
          <w:p>
            <w:r>
              <w:t>品牌客戶資料維護</w:t>
            </w:r>
          </w:p>
        </w:tc>
      </w:tr>
      <w:tr>
        <w:tc>
          <w:tcPr>
            <w:tcW w:type="dxa" w:w="2880"/>
          </w:tcPr>
          <w:p>
            <w:r>
              <w:t>市場合規規則</w:t>
            </w:r>
          </w:p>
        </w:tc>
        <w:tc>
          <w:tcPr>
            <w:tcW w:type="dxa" w:w="2880"/>
          </w:tcPr>
          <w:p>
            <w:r>
              <w:t>`/settings/market-rules`</w:t>
            </w:r>
          </w:p>
        </w:tc>
        <w:tc>
          <w:tcPr>
            <w:tcW w:type="dxa" w:w="2880"/>
          </w:tcPr>
          <w:p>
            <w:r>
              <w:t>依市場（EU/US/UK/JP）設定文件類型、強制/建議層級、生效日期、適用範圍（物料層 or 產品層）</w:t>
            </w:r>
          </w:p>
        </w:tc>
      </w:tr>
      <w:tr>
        <w:tc>
          <w:tcPr>
            <w:tcW w:type="dxa" w:w="2880"/>
          </w:tcPr>
          <w:p>
            <w:r>
              <w:t>材料設定</w:t>
            </w:r>
          </w:p>
        </w:tc>
        <w:tc>
          <w:tcPr>
            <w:tcW w:type="dxa" w:w="2880"/>
          </w:tcPr>
          <w:p>
            <w:r>
              <w:t>`/settings/material-settings`</w:t>
            </w:r>
          </w:p>
        </w:tc>
        <w:tc>
          <w:tcPr>
            <w:tcW w:type="dxa" w:w="2880"/>
          </w:tcPr>
          <w:p>
            <w:r>
              <w:t>物料相關參數</w:t>
            </w:r>
          </w:p>
        </w:tc>
      </w:tr>
      <w:tr>
        <w:tc>
          <w:tcPr>
            <w:tcW w:type="dxa" w:w="2880"/>
          </w:tcPr>
          <w:p>
            <w:r>
              <w:t>標籤庫</w:t>
            </w:r>
          </w:p>
        </w:tc>
        <w:tc>
          <w:tcPr>
            <w:tcW w:type="dxa" w:w="2880"/>
          </w:tcPr>
          <w:p>
            <w:r>
              <w:t>`/settings/tag-library`</w:t>
            </w:r>
          </w:p>
        </w:tc>
        <w:tc>
          <w:tcPr>
            <w:tcW w:type="dxa" w:w="2880"/>
          </w:tcPr>
          <w:p>
            <w:r>
              <w:t>標籤維護</w:t>
            </w:r>
          </w:p>
        </w:tc>
      </w:tr>
      <w:tr>
        <w:tc>
          <w:tcPr>
            <w:tcW w:type="dxa" w:w="2880"/>
          </w:tcPr>
          <w:p>
            <w:r>
              <w:t>題目庫</w:t>
            </w:r>
          </w:p>
        </w:tc>
        <w:tc>
          <w:tcPr>
            <w:tcW w:type="dxa" w:w="2880"/>
          </w:tcPr>
          <w:p>
            <w:r>
              <w:t>`/settings/question-bank`</w:t>
            </w:r>
          </w:p>
        </w:tc>
        <w:tc>
          <w:tcPr>
            <w:tcW w:type="dxa" w:w="2880"/>
          </w:tcPr>
          <w:p>
            <w:r>
              <w:t>SAQ 題目維護</w:t>
            </w:r>
          </w:p>
        </w:tc>
      </w:tr>
      <w:tr>
        <w:tc>
          <w:tcPr>
            <w:tcW w:type="dxa" w:w="2880"/>
          </w:tcPr>
          <w:p>
            <w:r>
              <w:t>評核範本設定</w:t>
            </w:r>
          </w:p>
        </w:tc>
        <w:tc>
          <w:tcPr>
            <w:tcW w:type="dxa" w:w="2880"/>
          </w:tcPr>
          <w:p>
            <w:r>
              <w:t>`/settings/questionnaire-templates/:id`</w:t>
            </w:r>
          </w:p>
        </w:tc>
        <w:tc>
          <w:tcPr>
            <w:tcW w:type="dxa" w:w="2880"/>
          </w:tcPr>
          <w:p>
            <w:r>
              <w:t>個別範本細項編輯</w:t>
            </w:r>
          </w:p>
        </w:tc>
      </w:tr>
      <w:tr>
        <w:tc>
          <w:tcPr>
            <w:tcW w:type="dxa" w:w="2880"/>
          </w:tcPr>
          <w:p>
            <w:r>
              <w:t>評分模型</w:t>
            </w:r>
          </w:p>
        </w:tc>
        <w:tc>
          <w:tcPr>
            <w:tcW w:type="dxa" w:w="2880"/>
          </w:tcPr>
          <w:p>
            <w:r>
              <w:t>`/settings/scoring-models`</w:t>
            </w:r>
          </w:p>
        </w:tc>
        <w:tc>
          <w:tcPr>
            <w:tcW w:type="dxa" w:w="2880"/>
          </w:tcPr>
          <w:p>
            <w:r>
              <w:t>AI 評分模型參數</w:t>
            </w:r>
          </w:p>
        </w:tc>
      </w:tr>
      <w:tr>
        <w:tc>
          <w:tcPr>
            <w:tcW w:type="dxa" w:w="2880"/>
          </w:tcPr>
          <w:p>
            <w:r>
              <w:t>國別風險</w:t>
            </w:r>
          </w:p>
        </w:tc>
        <w:tc>
          <w:tcPr>
            <w:tcW w:type="dxa" w:w="2880"/>
          </w:tcPr>
          <w:p>
            <w:r>
              <w:t>`/settings/country-risk`</w:t>
            </w:r>
          </w:p>
        </w:tc>
        <w:tc>
          <w:tcPr>
            <w:tcW w:type="dxa" w:w="2880"/>
          </w:tcPr>
          <w:p>
            <w:r>
              <w:t>各國地緣/勞權風險基準值</w:t>
            </w:r>
          </w:p>
        </w:tc>
      </w:tr>
    </w:tbl>
    <w:p/>
    <w:p>
      <w:r>
        <w:drawing>
          <wp:inline xmlns:a="http://schemas.openxmlformats.org/drawingml/2006/main" xmlns:pic="http://schemas.openxmlformats.org/drawingml/2006/picture">
            <wp:extent cx="5760720" cy="3600450"/>
            <wp:docPr id="17" name="Picture 17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14_market_rules.png"/>
                    <pic:cNvPicPr/>
                  </pic:nvPicPr>
                  <pic:blipFill>
                    <a:blip r:embed="rId24"/>
                    <a:stretch>
                      <a:fillRect/>
                    </a:stretch>
                  </pic:blipFill>
                  <pic:spPr>
                    <a:xfrm>
                      <a:off x="0" y="0"/>
                      <a:ext cx="5760720" cy="360045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jc w:val="center"/>
      </w:pPr>
      <w:r>
        <w:rPr>
          <w:i/>
          <w:color w:val="6B7280"/>
          <w:sz w:val="18"/>
        </w:rPr>
        <w:t>圖：市場合規規則設定頁</w:t>
      </w:r>
    </w:p>
    <w:p/>
    <w:p>
      <w:pPr>
        <w:pStyle w:val="Heading1"/>
      </w:pPr>
      <w:r>
        <w:rPr>
          <w:color w:val="1A4D3E"/>
        </w:rPr>
        <w:t>十、常見操作提醒</w:t>
      </w:r>
    </w:p>
    <w:p>
      <w:pPr>
        <w:pStyle w:val="ListBullet"/>
      </w:pPr>
      <w:r>
        <w:rPr>
          <w:b/>
        </w:rPr>
        <w:t>重複送出防呆</w:t>
      </w:r>
      <w:r>
        <w:t>：所有操作按鈕點擊後會立即 disabled 並顯示 loading，避免重複觸發（如重複建立出貨單）。</w:t>
      </w:r>
    </w:p>
    <w:p>
      <w:pPr>
        <w:pStyle w:val="ListBullet"/>
      </w:pPr>
      <w:r>
        <w:rPr>
          <w:b/>
        </w:rPr>
        <w:t>分頁</w:t>
      </w:r>
      <w:r>
        <w:t>：所有列表頁採伺服器端分頁，固定每頁 20 筆。</w:t>
      </w:r>
    </w:p>
    <w:p>
      <w:pPr>
        <w:pStyle w:val="ListBullet"/>
      </w:pPr>
      <w:r>
        <w:rPr>
          <w:b/>
        </w:rPr>
        <w:t>PCF 快照不可逆</w:t>
      </w:r>
      <w:r>
        <w:t>：PCF 一旦計算生成快照即不可修改或刪除，若物料碳排或供應商變更需要更新，會產生新版本快照，舊快照保留供追溯比對。</w:t>
      </w:r>
    </w:p>
    <w:p>
      <w:pPr>
        <w:pStyle w:val="ListBullet"/>
      </w:pPr>
      <w:r>
        <w:rPr>
          <w:b/>
        </w:rPr>
        <w:t>出貨單鎖定 PCF</w:t>
      </w:r>
      <w:r>
        <w:t>：出貨單建立後鎖定當下的 PCF 版本，之後物料資料異動不影響已出貨單據的碳排數字，確保申報數據的時點誠實性（point-in-time）。</w:t>
      </w:r>
    </w:p>
    <w:p>
      <w:pPr>
        <w:pStyle w:val="ListBullet"/>
      </w:pPr>
      <w:r>
        <w:rPr>
          <w:b/>
        </w:rPr>
        <w:t>強制放行需留痕</w:t>
      </w:r>
      <w:r>
        <w:t xml:space="preserve">：出口市場審查為 </w:t>
      </w:r>
      <w:r>
        <w:rPr>
          <w:rFonts w:ascii="Menlo" w:hAnsi="Menlo"/>
        </w:rPr>
        <w:t>fail</w:t>
      </w:r>
      <w:r>
        <w:t xml:space="preserve"> 時的強制放行操作會被記錄，供事後稽核追蹤誰在何時基於何理由放行。</w:t>
      </w:r>
    </w:p>
    <w:p>
      <w:pPr>
        <w:pStyle w:val="ListBullet"/>
      </w:pPr>
      <w:r>
        <w:rPr>
          <w:b/>
        </w:rPr>
        <w:t>供應商替換僅供輔助</w:t>
      </w:r>
      <w:r>
        <w:t>：系統提供的替換建議不會自動變更 BOM 或觸發採購行為，仍需透過 ERP 採購流程正式執行換源。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PingFang TC" w:hAnsi="PingFang TC"/>
      <w:sz w:val="21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image" Target="media/image1.png"/><Relationship Id="rId10" Type="http://schemas.openxmlformats.org/officeDocument/2006/relationships/image" Target="media/image2.png"/><Relationship Id="rId11" Type="http://schemas.openxmlformats.org/officeDocument/2006/relationships/image" Target="media/image3.png"/><Relationship Id="rId12" Type="http://schemas.openxmlformats.org/officeDocument/2006/relationships/image" Target="media/image4.png"/><Relationship Id="rId13" Type="http://schemas.openxmlformats.org/officeDocument/2006/relationships/image" Target="media/image5.png"/><Relationship Id="rId14" Type="http://schemas.openxmlformats.org/officeDocument/2006/relationships/image" Target="media/image6.png"/><Relationship Id="rId15" Type="http://schemas.openxmlformats.org/officeDocument/2006/relationships/image" Target="media/image7.png"/><Relationship Id="rId16" Type="http://schemas.openxmlformats.org/officeDocument/2006/relationships/image" Target="media/image8.png"/><Relationship Id="rId17" Type="http://schemas.openxmlformats.org/officeDocument/2006/relationships/image" Target="media/image9.png"/><Relationship Id="rId18" Type="http://schemas.openxmlformats.org/officeDocument/2006/relationships/image" Target="media/image10.png"/><Relationship Id="rId19" Type="http://schemas.openxmlformats.org/officeDocument/2006/relationships/image" Target="media/image11.png"/><Relationship Id="rId20" Type="http://schemas.openxmlformats.org/officeDocument/2006/relationships/image" Target="media/image12.png"/><Relationship Id="rId21" Type="http://schemas.openxmlformats.org/officeDocument/2006/relationships/image" Target="media/image13.png"/><Relationship Id="rId22" Type="http://schemas.openxmlformats.org/officeDocument/2006/relationships/image" Target="media/image14.png"/><Relationship Id="rId23" Type="http://schemas.openxmlformats.org/officeDocument/2006/relationships/image" Target="media/image15.png"/><Relationship Id="rId24" Type="http://schemas.openxmlformats.org/officeDocument/2006/relationships/image" Target="media/image16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